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2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8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10" w:lineRule="exact"/>
        <w:rPr>
          <w:sz w:val="24"/>
          <w:szCs w:val="24"/>
          <w:color w:val="auto"/>
        </w:rPr>
      </w:pPr>
    </w:p>
    <w:tbl>
      <w:tblPr>
        <w:tblLayout w:type="fixed"/>
        <w:tblInd w:w="378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640" w:type="dxa"/>
            <w:vAlign w:val="bottom"/>
            <w:tcBorders>
              <w:bottom w:val="single" w:sz="8" w:color="auto"/>
            </w:tcBorders>
          </w:tcPr>
          <w:p>
            <w:pPr>
              <w:spacing w:after="0"/>
              <w:rPr>
                <w:sz w:val="16"/>
                <w:szCs w:val="16"/>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98"/>
        </w:trPr>
        <w:tc>
          <w:tcPr>
            <w:tcW w:w="310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329565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tbl>
      <w:tblPr>
        <w:tblLayout w:type="fixed"/>
        <w:tblInd w:w="1600" w:type="dxa"/>
        <w:tblCellMar>
          <w:top w:w="0" w:type="dxa"/>
          <w:left w:w="0" w:type="dxa"/>
          <w:bottom w:w="0" w:type="dxa"/>
          <w:right w:w="0" w:type="dxa"/>
        </w:tblCellMar>
      </w:tblPr>
      <w:tr>
        <w:trPr>
          <w:trHeight w:val="501"/>
        </w:trPr>
        <w:tc>
          <w:tcPr>
            <w:tcW w:w="6080" w:type="dxa"/>
            <w:vAlign w:val="bottom"/>
            <w:gridSpan w:val="3"/>
          </w:tcPr>
          <w:p>
            <w:pPr>
              <w:ind w:left="2480"/>
              <w:spacing w:after="0"/>
              <w:rPr>
                <w:sz w:val="20"/>
                <w:szCs w:val="20"/>
                <w:color w:val="auto"/>
              </w:rPr>
            </w:pPr>
            <w:r>
              <w:rPr>
                <w:rFonts w:ascii="Times New Roman" w:cs="Times New Roman" w:eastAsia="Times New Roman" w:hAnsi="Times New Roman"/>
                <w:sz w:val="41"/>
                <w:szCs w:val="41"/>
                <w:b w:val="1"/>
                <w:bCs w:val="1"/>
                <w:color w:val="auto"/>
              </w:rPr>
              <w:t>AVROBIO, INC.</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80" w:type="dxa"/>
            <w:vAlign w:val="bottom"/>
            <w:gridSpan w:val="3"/>
          </w:tcPr>
          <w:p>
            <w:pPr>
              <w:ind w:left="21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0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6080" w:type="dxa"/>
            <w:vAlign w:val="bottom"/>
            <w:gridSpan w:val="3"/>
          </w:tcPr>
          <w:p>
            <w:pPr>
              <w:jc w:val="center"/>
              <w:ind w:right="37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34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81-0710585</w:t>
            </w:r>
          </w:p>
        </w:tc>
        <w:tc>
          <w:tcPr>
            <w:tcW w:w="0" w:type="dxa"/>
            <w:vAlign w:val="bottom"/>
          </w:tcPr>
          <w:p>
            <w:pPr>
              <w:spacing w:after="0"/>
              <w:rPr>
                <w:sz w:val="1"/>
                <w:szCs w:val="1"/>
                <w:color w:val="auto"/>
              </w:rPr>
            </w:pPr>
          </w:p>
        </w:tc>
      </w:tr>
      <w:tr>
        <w:trPr>
          <w:trHeight w:val="157"/>
        </w:trPr>
        <w:tc>
          <w:tcPr>
            <w:tcW w:w="6080" w:type="dxa"/>
            <w:vAlign w:val="bottom"/>
            <w:gridSpan w:val="3"/>
          </w:tcPr>
          <w:p>
            <w:pPr>
              <w:jc w:val="center"/>
              <w:ind w:right="3700"/>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40" w:type="dxa"/>
            <w:vAlign w:val="bottom"/>
          </w:tcPr>
          <w:p>
            <w:pPr>
              <w:jc w:val="center"/>
              <w:ind w:left="144"/>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080" w:type="dxa"/>
            <w:vAlign w:val="bottom"/>
            <w:gridSpan w:val="3"/>
          </w:tcPr>
          <w:p>
            <w:pPr>
              <w:jc w:val="center"/>
              <w:ind w:right="37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4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3"/>
        </w:trPr>
        <w:tc>
          <w:tcPr>
            <w:tcW w:w="6080" w:type="dxa"/>
            <w:vAlign w:val="bottom"/>
            <w:gridSpan w:val="3"/>
          </w:tcPr>
          <w:p>
            <w:pPr>
              <w:jc w:val="center"/>
              <w:ind w:right="3700"/>
              <w:spacing w:after="0"/>
              <w:rPr>
                <w:sz w:val="20"/>
                <w:szCs w:val="20"/>
                <w:color w:val="auto"/>
              </w:rPr>
            </w:pPr>
            <w:r>
              <w:rPr>
                <w:rFonts w:ascii="Times New Roman" w:cs="Times New Roman" w:eastAsia="Times New Roman" w:hAnsi="Times New Roman"/>
                <w:sz w:val="16"/>
                <w:szCs w:val="16"/>
                <w:b w:val="1"/>
                <w:bCs w:val="1"/>
                <w:color w:val="auto"/>
              </w:rPr>
              <w:t>100 Technology Square</w:t>
            </w:r>
          </w:p>
        </w:tc>
        <w:tc>
          <w:tcPr>
            <w:tcW w:w="1340" w:type="dxa"/>
            <w:vAlign w:val="bottom"/>
            <w:vMerge w:val="restart"/>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02139</w:t>
            </w:r>
          </w:p>
        </w:tc>
        <w:tc>
          <w:tcPr>
            <w:tcW w:w="0" w:type="dxa"/>
            <w:vAlign w:val="bottom"/>
          </w:tcPr>
          <w:p>
            <w:pPr>
              <w:spacing w:after="0"/>
              <w:rPr>
                <w:sz w:val="1"/>
                <w:szCs w:val="1"/>
                <w:color w:val="auto"/>
              </w:rPr>
            </w:pPr>
          </w:p>
        </w:tc>
      </w:tr>
      <w:tr>
        <w:trPr>
          <w:trHeight w:val="173"/>
        </w:trPr>
        <w:tc>
          <w:tcPr>
            <w:tcW w:w="6080" w:type="dxa"/>
            <w:vAlign w:val="bottom"/>
            <w:gridSpan w:val="3"/>
          </w:tcPr>
          <w:p>
            <w:pPr>
              <w:jc w:val="center"/>
              <w:ind w:right="3700"/>
              <w:spacing w:after="0" w:line="173" w:lineRule="exact"/>
              <w:rPr>
                <w:sz w:val="20"/>
                <w:szCs w:val="20"/>
                <w:color w:val="auto"/>
              </w:rPr>
            </w:pPr>
            <w:r>
              <w:rPr>
                <w:rFonts w:ascii="Times New Roman" w:cs="Times New Roman" w:eastAsia="Times New Roman" w:hAnsi="Times New Roman"/>
                <w:sz w:val="16"/>
                <w:szCs w:val="16"/>
                <w:b w:val="1"/>
                <w:bCs w:val="1"/>
                <w:color w:val="auto"/>
              </w:rPr>
              <w:t>Sixth Floor</w:t>
            </w: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80" w:type="dxa"/>
            <w:vAlign w:val="bottom"/>
            <w:gridSpan w:val="3"/>
          </w:tcPr>
          <w:p>
            <w:pPr>
              <w:jc w:val="center"/>
              <w:ind w:right="3700"/>
              <w:spacing w:after="0"/>
              <w:rPr>
                <w:sz w:val="20"/>
                <w:szCs w:val="20"/>
                <w:color w:val="auto"/>
              </w:rPr>
            </w:pPr>
            <w:r>
              <w:rPr>
                <w:rFonts w:ascii="Times New Roman" w:cs="Times New Roman" w:eastAsia="Times New Roman" w:hAnsi="Times New Roman"/>
                <w:sz w:val="16"/>
                <w:szCs w:val="16"/>
                <w:b w:val="1"/>
                <w:bCs w:val="1"/>
                <w:color w:val="auto"/>
              </w:rPr>
              <w:t>Cambridge, MA</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80" w:type="dxa"/>
            <w:vAlign w:val="bottom"/>
            <w:gridSpan w:val="3"/>
          </w:tcPr>
          <w:p>
            <w:pPr>
              <w:jc w:val="center"/>
              <w:ind w:right="3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40" w:type="dxa"/>
            <w:vAlign w:val="bottom"/>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3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914-8420</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One Kendall Square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Building 300, Suite 201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Cambridge, MA 02139</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170815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tcPr>
          <w:p>
            <w:pPr>
              <w:spacing w:after="0"/>
              <w:rPr>
                <w:sz w:val="13"/>
                <w:szCs w:val="1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42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44"/>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1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AVRO</w:t>
            </w:r>
          </w:p>
        </w:tc>
        <w:tc>
          <w:tcPr>
            <w:tcW w:w="120" w:type="dxa"/>
            <w:vAlign w:val="bottom"/>
          </w:tcPr>
          <w:p>
            <w:pPr>
              <w:spacing w:after="0"/>
              <w:rPr>
                <w:sz w:val="21"/>
                <w:szCs w:val="21"/>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24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9"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2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2" w:lineRule="exact"/>
        <w:rPr>
          <w:sz w:val="24"/>
          <w:szCs w:val="24"/>
          <w:color w:val="auto"/>
        </w:rPr>
      </w:pPr>
    </w:p>
    <w:p>
      <w:pPr>
        <w:ind w:right="580"/>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right="266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2, 2022, the registrant had 43,773,896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5182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03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31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94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87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Statements o</w:t>
      </w:r>
      <w:r>
        <w:rPr>
          <w:rFonts w:ascii="Times New Roman" w:cs="Times New Roman" w:eastAsia="Times New Roman" w:hAnsi="Times New Roman"/>
          <w:sz w:val="21"/>
          <w:szCs w:val="21"/>
          <w:u w:val="single" w:color="auto"/>
          <w:color w:val="0000FF"/>
        </w:rPr>
        <w:t>f</w:t>
      </w:r>
      <w:r>
        <w:rPr>
          <w:rFonts w:ascii="Times New Roman" w:cs="Times New Roman" w:eastAsia="Times New Roman" w:hAnsi="Times New Roman"/>
          <w:sz w:val="18"/>
          <w:szCs w:val="18"/>
          <w:u w:val="single" w:color="auto"/>
          <w:color w:val="0000FF"/>
        </w:rPr>
        <w:t xml:space="preserve">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6573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189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9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98980" cy="8890"/>
                    </a:xfrm>
                    <a:prstGeom prst="rect">
                      <a:avLst/>
                    </a:prstGeom>
                    <a:noFill/>
                  </pic:spPr>
                </pic:pic>
              </a:graphicData>
            </a:graphic>
          </wp:anchor>
        </w:drawing>
      </w:r>
    </w:p>
    <w:p>
      <w:pPr>
        <w:spacing w:after="0" w:line="3" w:lineRule="exact"/>
        <w:rPr>
          <w:sz w:val="20"/>
          <w:szCs w:val="20"/>
          <w:color w:val="auto"/>
        </w:rPr>
      </w:pPr>
    </w:p>
    <w:p>
      <w:pPr>
        <w:ind w:right="1960"/>
        <w:spacing w:after="0" w:line="266" w:lineRule="auto"/>
        <w:rPr>
          <w:sz w:val="20"/>
          <w:szCs w:val="20"/>
          <w:color w:val="auto"/>
        </w:rPr>
      </w:pPr>
      <w:r>
        <w:rPr>
          <w:rFonts w:ascii="Times New Roman" w:cs="Times New Roman" w:eastAsia="Times New Roman" w:hAnsi="Times New Roman"/>
          <w:sz w:val="18"/>
          <w:szCs w:val="18"/>
          <w:u w:val="single" w:color="auto"/>
          <w:color w:val="0000FF"/>
        </w:rPr>
        <w:t>Management’s Discussion and Analysis of Financial Condition and Results of Operations Quantitative and Qualitative Disclosures About Market Risk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41001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00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2766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66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1123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2833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470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740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7603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475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1233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343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81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1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826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16510</wp:posOffset>
            </wp:positionV>
            <wp:extent cx="351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3">
            <w:col w:w="740" w:space="720"/>
            <w:col w:w="8420" w:space="720"/>
            <w:col w:w="380"/>
          </w:cols>
          <w:pgMar w:left="460" w:top="117"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0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135" w:lineRule="exact"/>
        <w:rPr>
          <w:sz w:val="20"/>
          <w:szCs w:val="20"/>
          <w:color w:val="auto"/>
        </w:rPr>
      </w:pPr>
    </w:p>
    <w:p>
      <w:pPr>
        <w:ind w:left="900" w:right="6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since inception. We expect to incur net losses for the foreseeable future and may never achieve or maintain profitability.</w:t>
      </w:r>
    </w:p>
    <w:p>
      <w:pPr>
        <w:spacing w:after="0" w:line="134"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134" w:lineRule="exact"/>
        <w:rPr>
          <w:rFonts w:ascii="Times New Roman" w:cs="Times New Roman" w:eastAsia="Times New Roman" w:hAnsi="Times New Roman"/>
          <w:sz w:val="18"/>
          <w:szCs w:val="18"/>
          <w:color w:val="auto"/>
        </w:rPr>
      </w:pPr>
    </w:p>
    <w:p>
      <w:pPr>
        <w:ind w:left="900" w:right="40" w:hanging="383"/>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 loan agreement contains restrictions that potentially limit our flexibility in operating our business, and we may be required to make a prepayment or repay our outstanding indebtedness earlier than we expect. In addition, as a result of the deprioritization of our Fabry program, we can no longer draw $20.0 million of term loans that were contingent upon the achievement of certain milestones related to our development of AVR-RD-01 for Fabry disease.</w:t>
      </w:r>
    </w:p>
    <w:p>
      <w:pPr>
        <w:spacing w:after="0" w:line="17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the ongoing coronavirus disease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COVID-19”) pandemic or similar public health crises have caused and may continue to cause a disruption of the development of our product candidates and adversely impact our business.</w:t>
      </w:r>
    </w:p>
    <w:p>
      <w:pPr>
        <w:spacing w:after="0" w:line="162"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hematopoietic stem cell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HSC”) gene therapy product candidates are based on a novel technology, which makes it difficult to predict the time and cost of product candidate development and of subsequently obtaining regulatory approval.</w:t>
      </w:r>
    </w:p>
    <w:p>
      <w:pPr>
        <w:spacing w:after="0" w:line="148" w:lineRule="exact"/>
        <w:rPr>
          <w:rFonts w:ascii="Times New Roman" w:cs="Times New Roman" w:eastAsia="Times New Roman" w:hAnsi="Times New Roman"/>
          <w:sz w:val="18"/>
          <w:szCs w:val="18"/>
          <w:color w:val="auto"/>
        </w:rPr>
      </w:pPr>
    </w:p>
    <w:p>
      <w:pPr>
        <w:ind w:left="900" w:right="140" w:hanging="383"/>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early clinical trials may not be indicative of results obtained in later trials.</w:t>
      </w:r>
    </w:p>
    <w:p>
      <w:pPr>
        <w:spacing w:after="0" w:line="198"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patients in our clinical trials, which could delay or prevent us from proceeding with clinical trials of our product candidates.</w:t>
      </w:r>
    </w:p>
    <w:p>
      <w:pPr>
        <w:spacing w:after="0" w:line="134"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our clinical trials or we may fail to demonstrate safety and efficacy to the satisfaction of applicable regulatory authorities.</w:t>
      </w:r>
    </w:p>
    <w:p>
      <w:pPr>
        <w:spacing w:after="0" w:line="134" w:lineRule="exact"/>
        <w:rPr>
          <w:rFonts w:ascii="Times New Roman" w:cs="Times New Roman" w:eastAsia="Times New Roman" w:hAnsi="Times New Roman"/>
          <w:sz w:val="18"/>
          <w:szCs w:val="18"/>
          <w:color w:val="auto"/>
        </w:rPr>
      </w:pPr>
    </w:p>
    <w:p>
      <w:pPr>
        <w:ind w:left="900" w:right="7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preclinical and clinical studies, we cannot predict when or if we will obtain regulatory approval to commercialize a product candidate and the approval may be for a narrower indication than anticipated.</w:t>
      </w:r>
    </w:p>
    <w:p>
      <w:pPr>
        <w:spacing w:after="0" w:line="14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of our clinical trials utilizes our plato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w:t>
      </w:r>
    </w:p>
    <w:p>
      <w:pPr>
        <w:spacing w:after="0" w:line="162" w:lineRule="exact"/>
        <w:rPr>
          <w:rFonts w:ascii="Times New Roman" w:cs="Times New Roman" w:eastAsia="Times New Roman" w:hAnsi="Times New Roman"/>
          <w:sz w:val="18"/>
          <w:szCs w:val="18"/>
          <w:color w:val="auto"/>
        </w:rPr>
      </w:pPr>
    </w:p>
    <w:p>
      <w:pPr>
        <w:ind w:left="900" w:right="40" w:hanging="383"/>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176" w:lineRule="exact"/>
        <w:rPr>
          <w:rFonts w:ascii="Times New Roman" w:cs="Times New Roman" w:eastAsia="Times New Roman" w:hAnsi="Times New Roman"/>
          <w:sz w:val="18"/>
          <w:szCs w:val="18"/>
          <w:color w:val="auto"/>
        </w:rPr>
      </w:pPr>
    </w:p>
    <w:p>
      <w:pPr>
        <w:ind w:left="900" w:right="74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162" w:lineRule="exact"/>
        <w:rPr>
          <w:rFonts w:ascii="Times New Roman" w:cs="Times New Roman" w:eastAsia="Times New Roman" w:hAnsi="Times New Roman"/>
          <w:sz w:val="18"/>
          <w:szCs w:val="18"/>
          <w:color w:val="auto"/>
        </w:rPr>
      </w:pPr>
    </w:p>
    <w:p>
      <w:pPr>
        <w:ind w:left="900" w:right="50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162" w:lineRule="exact"/>
        <w:rPr>
          <w:rFonts w:ascii="Times New Roman" w:cs="Times New Roman" w:eastAsia="Times New Roman" w:hAnsi="Times New Roman"/>
          <w:sz w:val="18"/>
          <w:szCs w:val="18"/>
          <w:color w:val="auto"/>
        </w:rPr>
      </w:pPr>
    </w:p>
    <w:p>
      <w:pPr>
        <w:ind w:left="900" w:right="60" w:hanging="383"/>
        <w:spacing w:after="0" w:line="258"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sole source suppliers for our automated, closed cell processing system; vector supply; plasmid supply; cell culture media supply; and drug product manufacturing. In addition, we are dependent on a limited number of suppliers for some of our other components and materials used in our product candidates.</w:t>
      </w:r>
    </w:p>
    <w:p>
      <w:pPr>
        <w:spacing w:after="0" w:line="15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claims of intellectual property infringement may prevent or delay our development and commercialization efforts.</w:t>
      </w:r>
    </w:p>
    <w:p>
      <w:pPr>
        <w:spacing w:after="0" w:line="211" w:lineRule="exact"/>
        <w:rPr>
          <w:rFonts w:ascii="Times New Roman" w:cs="Times New Roman" w:eastAsia="Times New Roman" w:hAnsi="Times New Roman"/>
          <w:sz w:val="18"/>
          <w:szCs w:val="18"/>
          <w:color w:val="auto"/>
        </w:rPr>
      </w:pPr>
    </w:p>
    <w:p>
      <w:pPr>
        <w:ind w:left="900" w:right="30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product candidates are subject, in part, to the terms and conditions of licenses granted to us by others.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 w:name="page4"/>
    <w:bookmarkEnd w:id="3"/>
    <w:p>
      <w:pPr>
        <w:ind w:left="900" w:right="140" w:hanging="383"/>
        <w:spacing w:after="0" w:line="258"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6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Securities and Exchange Commission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Forward-looking Statements</w:t>
      </w:r>
    </w:p>
    <w:p>
      <w:pPr>
        <w:spacing w:after="0" w:line="108"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are made pursuant to the safe harbor provisions of Section 27A of the Securities Act of 1933, as amended (the “Securities Act”), and Section 21E of the Securities Exchange Act of 1934, as amended (the “Exchange Act”). These statements may be identified by such forward-looking terminology as “aims,” “anticipates,” “believes,” “continue,” “could,” “designed to,” “estimates,” “expects,” “intends,” “may,” “plans,” “potential,” “predicts,” “strives,” “should,”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77" w:lineRule="exact"/>
        <w:rPr>
          <w:sz w:val="20"/>
          <w:szCs w:val="20"/>
          <w:color w:val="auto"/>
        </w:rPr>
      </w:pPr>
    </w:p>
    <w:p>
      <w:pPr>
        <w:jc w:val="both"/>
        <w:ind w:left="900" w:right="80" w:hanging="383"/>
        <w:spacing w:after="0" w:line="258"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clinical trial programs, clinical supply and business generally, as well as our plans and expectations with respect to the timing and resumption of any development activities that were or may be temporarily paused as a result of the COVID-19 pandemic;</w:t>
      </w:r>
    </w:p>
    <w:p>
      <w:pPr>
        <w:spacing w:after="0" w:line="61" w:lineRule="exact"/>
        <w:rPr>
          <w:rFonts w:ascii="Times New Roman" w:cs="Times New Roman" w:eastAsia="Times New Roman" w:hAnsi="Times New Roman"/>
          <w:sz w:val="18"/>
          <w:szCs w:val="18"/>
          <w:color w:val="auto"/>
        </w:rPr>
      </w:pPr>
    </w:p>
    <w:p>
      <w:pPr>
        <w:ind w:left="900" w:right="280" w:hanging="383"/>
        <w:spacing w:after="0" w:line="258"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61" w:lineRule="exact"/>
        <w:rPr>
          <w:rFonts w:ascii="Times New Roman" w:cs="Times New Roman" w:eastAsia="Times New Roman" w:hAnsi="Times New Roman"/>
          <w:sz w:val="18"/>
          <w:szCs w:val="18"/>
          <w:color w:val="auto"/>
        </w:rPr>
      </w:pPr>
    </w:p>
    <w:p>
      <w:pPr>
        <w:ind w:left="900" w:right="380" w:hanging="383"/>
        <w:spacing w:after="0" w:line="296"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44"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durability of effects from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regulatory pathway for our product candidates and planned interactions with regulatory agencies;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product candidates into, and successfully complete, clinical studies;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for our product candidates, if approved for commercial use;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our strategic plans for our business, product candidates, technology and plato platform;</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scalability and commercial viability of our manufacturing methods and processes, including our move to a closed, automated system;</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 in particular, and gene therapy, in general;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 or obtain additional funding;</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03" w:lineRule="exact"/>
        <w:rPr>
          <w:rFonts w:ascii="Times New Roman" w:cs="Times New Roman" w:eastAsia="Times New Roman" w:hAnsi="Times New Roman"/>
          <w:sz w:val="18"/>
          <w:szCs w:val="18"/>
          <w:color w:val="auto"/>
        </w:rPr>
      </w:pPr>
    </w:p>
    <w:p>
      <w:pPr>
        <w:ind w:left="900" w:hanging="383"/>
        <w:spacing w:after="0" w:line="258"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 including other lentiviral or HSC-based gene therapy companies;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our cash reserves;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terms of our term loan agreement;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any findings of material weaknesses or significant deficiencies in the future;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 including without limitation recently enacted tax reform legislation;</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are an emerging growth company under the Jumpstart Our Business Startups Act of 2012, or JOBS Act;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52"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 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Trademarks</w:t>
      </w:r>
    </w:p>
    <w:p>
      <w:pPr>
        <w:spacing w:after="0" w:line="21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All brand names or trademarks appearing in this Quarterly Report are the property of their respective holders. Unless the context requires otherwise, references in this Quarterly Report to the “Company,” “we,” “us,” and “our” refer to AVROBIO, Inc.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bl>
      <w:tblPr>
        <w:tblLayout w:type="fixed"/>
        <w:tblInd w:w="0" w:type="dxa"/>
        <w:tblCellMar>
          <w:top w:w="0" w:type="dxa"/>
          <w:left w:w="0" w:type="dxa"/>
          <w:bottom w:w="0" w:type="dxa"/>
          <w:right w:w="0" w:type="dxa"/>
        </w:tblCellMar>
      </w:tblPr>
      <w:tr>
        <w:trPr>
          <w:trHeight w:val="145"/>
        </w:trPr>
        <w:tc>
          <w:tcPr>
            <w:tcW w:w="7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2"/>
          </w:tcPr>
          <w:p>
            <w:pPr>
              <w:jc w:val="right"/>
              <w:ind w:right="80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2"/>
                <w:szCs w:val="12"/>
                <w:color w:val="auto"/>
              </w:rPr>
            </w:pPr>
          </w:p>
        </w:tc>
        <w:tc>
          <w:tcPr>
            <w:tcW w:w="1440" w:type="dxa"/>
            <w:vAlign w:val="bottom"/>
            <w:gridSpan w:val="2"/>
          </w:tcPr>
          <w:p>
            <w:pPr>
              <w:jc w:val="right"/>
              <w:ind w:right="46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132,409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189,567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142,081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199,145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r>
      <w:tr>
        <w:trPr>
          <w:trHeight w:val="249"/>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146,244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rent</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 payable, net of discount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14,945</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34,361</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1"/>
        </w:trPr>
        <w:tc>
          <w:tcPr>
            <w:tcW w:w="774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$0.0001 par value; 150,000 shares authorized; 43,696 and 43,652 shares issued and</w:t>
            </w:r>
          </w:p>
        </w:tc>
        <w:tc>
          <w:tcPr>
            <w:tcW w:w="3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June 30, 2022 and December 31, 2021, respectively</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553,014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(441,429 )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(383,542 )</w:t>
            </w:r>
          </w:p>
        </w:tc>
      </w:tr>
      <w:tr>
        <w:trPr>
          <w:trHeight w:val="210"/>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118,343</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169,476</w:t>
            </w:r>
          </w:p>
        </w:tc>
        <w:tc>
          <w:tcPr>
            <w:tcW w:w="100" w:type="dxa"/>
            <w:vAlign w:val="bottom"/>
            <w:tcBorders>
              <w:top w:val="single" w:sz="8" w:color="CFF0FC"/>
            </w:tcBorders>
          </w:tcPr>
          <w:p>
            <w:pPr>
              <w:spacing w:after="0"/>
              <w:rPr>
                <w:sz w:val="18"/>
                <w:szCs w:val="18"/>
                <w:color w:val="auto"/>
              </w:rPr>
            </w:pPr>
          </w:p>
        </w:tc>
      </w:tr>
      <w:tr>
        <w:trPr>
          <w:trHeight w:val="250"/>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146,244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-2407920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-2390775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-1276985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firstLine="4152"/>
        <w:spacing w:after="0" w:line="343" w:lineRule="auto"/>
        <w:framePr w:w="7940" w:h="592" w:wrap="auto" w:vAnchor="page" w:hAnchor="page" w:x="1960" w:y="431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43,696 42,510 43,696 The accompanying notes are an integral part of these unaudited condensed consolidated financial statements.</w:t>
      </w:r>
    </w:p>
    <w:p>
      <w:pPr>
        <w:ind w:firstLine="4152"/>
        <w:spacing w:after="0" w:line="209" w:lineRule="auto"/>
        <w:framePr w:w="160" w:h="160" w:wrap="auto" w:vAnchor="page" w:hAnchor="page" w:x="5860" w:y="5164"/>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20" w:lineRule="exact"/>
        <w:rPr>
          <w:rFonts w:ascii="Times New Roman" w:cs="Times New Roman" w:eastAsia="Times New Roman" w:hAnsi="Times New Roman"/>
          <w:sz w:val="16"/>
          <w:szCs w:val="16"/>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rFonts w:ascii="Times New Roman" w:cs="Times New Roman" w:eastAsia="Times New Roman" w:hAnsi="Times New Roman"/>
          <w:sz w:val="16"/>
          <w:szCs w:val="16"/>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5" w:lineRule="exact"/>
        <w:rPr>
          <w:rFonts w:ascii="Times New Roman" w:cs="Times New Roman" w:eastAsia="Times New Roman" w:hAnsi="Times New Roman"/>
          <w:sz w:val="16"/>
          <w:szCs w:val="16"/>
          <w:color w:val="auto"/>
        </w:rPr>
      </w:pPr>
    </w:p>
    <w:tbl>
      <w:tblPr>
        <w:tblLayout w:type="fixed"/>
        <w:tblInd w:w="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20" w:type="dxa"/>
            <w:vAlign w:val="bottom"/>
            <w:gridSpan w:val="5"/>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4"/>
                <w:szCs w:val="14"/>
                <w:color w:val="auto"/>
              </w:rPr>
            </w:pPr>
          </w:p>
        </w:tc>
        <w:tc>
          <w:tcPr>
            <w:tcW w:w="2700" w:type="dxa"/>
            <w:vAlign w:val="bottom"/>
            <w:gridSpan w:val="5"/>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18,877</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38,130</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41,024</w:t>
            </w:r>
          </w:p>
        </w:tc>
        <w:tc>
          <w:tcPr>
            <w:tcW w:w="100" w:type="dxa"/>
            <w:vAlign w:val="bottom"/>
          </w:tcPr>
          <w:p>
            <w:pPr>
              <w:spacing w:after="0"/>
              <w:rPr>
                <w:sz w:val="18"/>
                <w:szCs w:val="18"/>
                <w:color w:val="auto"/>
              </w:rPr>
            </w:pPr>
          </w:p>
        </w:tc>
      </w:tr>
      <w:tr>
        <w:trPr>
          <w:trHeight w:val="216"/>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27,774</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57,192</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58,259</w:t>
            </w:r>
          </w:p>
        </w:tc>
        <w:tc>
          <w:tcPr>
            <w:tcW w:w="100" w:type="dxa"/>
            <w:vAlign w:val="bottom"/>
          </w:tcPr>
          <w:p>
            <w:pPr>
              <w:spacing w:after="0"/>
              <w:rPr>
                <w:sz w:val="18"/>
                <w:szCs w:val="18"/>
                <w:color w:val="auto"/>
              </w:rPr>
            </w:pPr>
          </w:p>
        </w:tc>
      </w:tr>
      <w:tr>
        <w:trPr>
          <w:trHeight w:val="210"/>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(57,192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(285 )</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(655 )</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(21 )</w:t>
            </w:r>
          </w:p>
        </w:tc>
        <w:tc>
          <w:tcPr>
            <w:tcW w:w="32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(40 )</w:t>
            </w: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10"/>
        </w:trPr>
        <w:tc>
          <w:tcPr>
            <w:tcW w:w="4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(28,054 )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(31,387 )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(57,887 )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(58,286 )</w:t>
            </w:r>
          </w:p>
        </w:tc>
      </w:tr>
      <w:tr>
        <w:trPr>
          <w:trHeight w:val="20"/>
        </w:trPr>
        <w:tc>
          <w:tcPr>
            <w:tcW w:w="4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(28,054</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(31,387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(57,887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(58,286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4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32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(0.64 )</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1"/>
              <w:spacing w:after="0" w:line="196" w:lineRule="exact"/>
              <w:rPr>
                <w:sz w:val="20"/>
                <w:szCs w:val="20"/>
                <w:color w:val="auto"/>
              </w:rPr>
            </w:pPr>
            <w:r>
              <w:rPr>
                <w:rFonts w:ascii="Times New Roman" w:cs="Times New Roman" w:eastAsia="Times New Roman" w:hAnsi="Times New Roman"/>
                <w:sz w:val="18"/>
                <w:szCs w:val="18"/>
                <w:color w:val="auto"/>
              </w:rPr>
              <w:t>(0.74 )</w:t>
            </w:r>
          </w:p>
        </w:tc>
        <w:tc>
          <w:tcPr>
            <w:tcW w:w="32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1"/>
              <w:spacing w:after="0" w:line="196" w:lineRule="exact"/>
              <w:rPr>
                <w:sz w:val="20"/>
                <w:szCs w:val="20"/>
                <w:color w:val="auto"/>
              </w:rPr>
            </w:pPr>
            <w:r>
              <w:rPr>
                <w:rFonts w:ascii="Times New Roman" w:cs="Times New Roman" w:eastAsia="Times New Roman" w:hAnsi="Times New Roman"/>
                <w:sz w:val="18"/>
                <w:szCs w:val="18"/>
                <w:color w:val="auto"/>
              </w:rPr>
              <w:t>(1.32 )</w:t>
            </w:r>
          </w:p>
        </w:tc>
        <w:tc>
          <w:tcPr>
            <w:tcW w:w="32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(1.39 )</w:t>
            </w:r>
          </w:p>
        </w:tc>
      </w:tr>
      <w:tr>
        <w:trPr>
          <w:trHeight w:val="20"/>
        </w:trPr>
        <w:tc>
          <w:tcPr>
            <w:tcW w:w="4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1"/>
        </w:trPr>
        <w:tc>
          <w:tcPr>
            <w:tcW w:w="4980" w:type="dxa"/>
            <w:vAlign w:val="bottom"/>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number of common shares outstanding — basic</w:t>
            </w: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34"/>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42,067</w:t>
            </w:r>
          </w:p>
        </w:tc>
        <w:tc>
          <w:tcPr>
            <w:tcW w:w="100" w:type="dxa"/>
            <w:vAlign w:val="bottom"/>
            <w:shd w:val="clear" w:color="auto" w:fill="CFF0FC"/>
          </w:tcPr>
          <w:p>
            <w:pPr>
              <w:spacing w:after="0"/>
              <w:rPr>
                <w:sz w:val="20"/>
                <w:szCs w:val="20"/>
                <w:color w:val="auto"/>
              </w:rPr>
            </w:pPr>
          </w:p>
        </w:tc>
      </w:tr>
      <w:tr>
        <w:trPr>
          <w:trHeight w:val="952"/>
        </w:trPr>
        <w:tc>
          <w:tcPr>
            <w:tcW w:w="4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4025265</wp:posOffset>
            </wp:positionH>
            <wp:positionV relativeFrom="paragraph">
              <wp:posOffset>-2228215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-2228215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-2228215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-1936750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-1936750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-1936750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-1370965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-1370965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-1370965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-1062355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-1045210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-1062355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-1045210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-1062355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-1045210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1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80" w:type="dxa"/>
            <w:vAlign w:val="bottom"/>
            <w:gridSpan w:val="9"/>
            <w:vMerge w:val="restart"/>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gridSpan w:val="4"/>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52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3"/>
                <w:szCs w:val="13"/>
                <w:color w:val="auto"/>
              </w:rPr>
            </w:pPr>
          </w:p>
        </w:tc>
        <w:tc>
          <w:tcPr>
            <w:tcW w:w="1180" w:type="dxa"/>
            <w:vAlign w:val="bottom"/>
          </w:tcPr>
          <w:p>
            <w:pPr>
              <w:jc w:val="center"/>
              <w:ind w:right="70"/>
              <w:spacing w:after="0" w:line="160"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80" w:type="dxa"/>
            <w:vAlign w:val="bottom"/>
            <w:gridSpan w:val="9"/>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4"/>
            <w:vMerge w:val="continue"/>
          </w:tcPr>
          <w:p>
            <w:pPr>
              <w:spacing w:after="0"/>
              <w:rPr>
                <w:sz w:val="19"/>
                <w:szCs w:val="19"/>
                <w:color w:val="auto"/>
              </w:rPr>
            </w:pPr>
          </w:p>
        </w:tc>
        <w:tc>
          <w:tcPr>
            <w:tcW w:w="1520" w:type="dxa"/>
            <w:vAlign w:val="bottom"/>
            <w:gridSpan w:val="3"/>
            <w:vMerge w:val="continue"/>
          </w:tcPr>
          <w:p>
            <w:pPr>
              <w:spacing w:after="0"/>
              <w:rPr>
                <w:sz w:val="19"/>
                <w:szCs w:val="19"/>
                <w:color w:val="auto"/>
              </w:rPr>
            </w:pP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Paid-in Capital</w:t>
            </w:r>
          </w:p>
        </w:tc>
        <w:tc>
          <w:tcPr>
            <w:tcW w:w="160" w:type="dxa"/>
            <w:vAlign w:val="bottom"/>
          </w:tcPr>
          <w:p>
            <w:pPr>
              <w:spacing w:after="0"/>
              <w:rPr>
                <w:sz w:val="18"/>
                <w:szCs w:val="18"/>
                <w:color w:val="auto"/>
              </w:rPr>
            </w:pPr>
          </w:p>
        </w:tc>
        <w:tc>
          <w:tcPr>
            <w:tcW w:w="13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41,766</w:t>
            </w:r>
          </w:p>
        </w:tc>
        <w:tc>
          <w:tcPr>
            <w:tcW w:w="1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524,241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right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(291,315 )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232,930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8"/>
                <w:szCs w:val="18"/>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5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under ATM</w:t>
            </w:r>
          </w:p>
        </w:tc>
        <w:tc>
          <w:tcPr>
            <w:tcW w:w="2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tcBorders>
              <w:left w:val="single" w:sz="8" w:color="CFF0FC"/>
            </w:tcBorders>
            <w:shd w:val="clear" w:color="auto" w:fill="CFF0FC"/>
          </w:tcPr>
          <w:p>
            <w:pPr>
              <w:spacing w:after="0"/>
              <w:rPr>
                <w:sz w:val="14"/>
                <w:szCs w:val="14"/>
                <w:color w:val="auto"/>
              </w:rPr>
            </w:pPr>
          </w:p>
        </w:tc>
        <w:tc>
          <w:tcPr>
            <w:tcW w:w="1120" w:type="dxa"/>
            <w:vAlign w:val="bottom"/>
            <w:tcBorders>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facility, net of offering costs of $67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6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tcBorders>
              <w:left w:val="single" w:sz="8" w:color="CFF0FC"/>
            </w:tcBorders>
            <w:shd w:val="clear" w:color="auto" w:fill="CFF0FC"/>
          </w:tcPr>
          <w:p>
            <w:pPr>
              <w:spacing w:after="0"/>
              <w:rPr>
                <w:sz w:val="20"/>
                <w:szCs w:val="20"/>
                <w:color w:val="auto"/>
              </w:rPr>
            </w:pPr>
          </w:p>
        </w:tc>
        <w:tc>
          <w:tcPr>
            <w:tcW w:w="1360" w:type="dxa"/>
            <w:vAlign w:val="bottom"/>
            <w:tcBorders>
              <w:right w:val="single" w:sz="8" w:color="CFF0FC"/>
            </w:tcBorders>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under the 2018</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gridSpan w:val="2"/>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(31,387 )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(31,387 )</w:t>
            </w: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43,623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543,690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(322,702 )</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80" w:type="dxa"/>
            <w:vAlign w:val="bottom"/>
            <w:gridSpan w:val="9"/>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3"/>
                <w:szCs w:val="13"/>
                <w:color w:val="auto"/>
              </w:rPr>
            </w:pPr>
          </w:p>
        </w:tc>
        <w:tc>
          <w:tcPr>
            <w:tcW w:w="1360" w:type="dxa"/>
            <w:vAlign w:val="bottom"/>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3"/>
                <w:szCs w:val="13"/>
                <w:color w:val="auto"/>
              </w:rPr>
            </w:pPr>
          </w:p>
        </w:tc>
        <w:tc>
          <w:tcPr>
            <w:tcW w:w="1180" w:type="dxa"/>
            <w:vAlign w:val="bottom"/>
          </w:tcPr>
          <w:p>
            <w:pPr>
              <w:jc w:val="center"/>
              <w:ind w:right="30"/>
              <w:spacing w:after="0" w:line="160"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80" w:type="dxa"/>
            <w:vAlign w:val="bottom"/>
            <w:tcBorders>
              <w:bottom w:val="single" w:sz="8" w:color="auto"/>
            </w:tcBorders>
            <w:gridSpan w:val="9"/>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center"/>
              <w:ind w:right="360"/>
              <w:spacing w:after="0" w:line="160"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3"/>
                <w:szCs w:val="13"/>
                <w:color w:val="auto"/>
              </w:rPr>
            </w:pPr>
          </w:p>
        </w:tc>
        <w:tc>
          <w:tcPr>
            <w:tcW w:w="1360" w:type="dxa"/>
            <w:vAlign w:val="bottom"/>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20" w:type="dxa"/>
            <w:vAlign w:val="bottom"/>
          </w:tcPr>
          <w:p>
            <w:pPr>
              <w:spacing w:after="0"/>
              <w:rPr>
                <w:sz w:val="13"/>
                <w:szCs w:val="13"/>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640" w:type="dxa"/>
            <w:vAlign w:val="bottom"/>
            <w:tcBorders>
              <w:right w:val="single" w:sz="8" w:color="CFF0FC"/>
            </w:tcBorders>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41,569</w:t>
            </w:r>
          </w:p>
        </w:tc>
        <w:tc>
          <w:tcPr>
            <w:tcW w:w="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00" w:type="dxa"/>
            <w:vAlign w:val="bottom"/>
            <w:gridSpan w:val="5"/>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518,756</w:t>
            </w:r>
          </w:p>
        </w:tc>
        <w:tc>
          <w:tcPr>
            <w:tcW w:w="1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right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(264,416 )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254,344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640" w:type="dxa"/>
            <w:vAlign w:val="bottom"/>
            <w:tcBorders>
              <w:right w:val="single" w:sz="8" w:color="CFF0FC"/>
            </w:tcBorders>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under ATM</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facility, net of offering costs of $67</w:t>
            </w:r>
          </w:p>
        </w:tc>
        <w:tc>
          <w:tcPr>
            <w:tcW w:w="1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1,829</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14,550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5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under the 2018</w:t>
            </w:r>
          </w:p>
        </w:tc>
        <w:tc>
          <w:tcPr>
            <w:tcW w:w="2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tcBorders>
              <w:left w:val="single" w:sz="8" w:color="CFF0FC"/>
            </w:tcBorders>
            <w:shd w:val="clear" w:color="auto" w:fill="CFF0FC"/>
          </w:tcPr>
          <w:p>
            <w:pPr>
              <w:spacing w:after="0"/>
              <w:rPr>
                <w:sz w:val="14"/>
                <w:szCs w:val="14"/>
                <w:color w:val="auto"/>
              </w:rPr>
            </w:pPr>
          </w:p>
        </w:tc>
        <w:tc>
          <w:tcPr>
            <w:tcW w:w="1120" w:type="dxa"/>
            <w:vAlign w:val="bottom"/>
            <w:tcBorders>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40" w:type="dxa"/>
            <w:vAlign w:val="bottom"/>
            <w:tcBorders>
              <w:right w:val="single" w:sz="8" w:color="CFF0FC"/>
            </w:tcBorders>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FF0FC"/>
          </w:tcPr>
          <w:p>
            <w:pPr>
              <w:spacing w:after="0"/>
              <w:rPr>
                <w:sz w:val="20"/>
                <w:szCs w:val="20"/>
                <w:color w:val="auto"/>
              </w:rPr>
            </w:pPr>
          </w:p>
        </w:tc>
        <w:tc>
          <w:tcPr>
            <w:tcW w:w="160" w:type="dxa"/>
            <w:vAlign w:val="bottom"/>
            <w:tcBorders>
              <w:left w:val="single" w:sz="8" w:color="CFF0FC"/>
            </w:tcBorders>
            <w:shd w:val="clear" w:color="auto" w:fill="CFF0FC"/>
          </w:tcPr>
          <w:p>
            <w:pPr>
              <w:spacing w:after="0"/>
              <w:rPr>
                <w:sz w:val="20"/>
                <w:szCs w:val="20"/>
                <w:color w:val="auto"/>
              </w:rPr>
            </w:pPr>
          </w:p>
        </w:tc>
        <w:tc>
          <w:tcPr>
            <w:tcW w:w="1360" w:type="dxa"/>
            <w:vAlign w:val="bottom"/>
            <w:tcBorders>
              <w:right w:val="single" w:sz="8" w:color="CFF0FC"/>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(58,286 )</w:t>
            </w: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(58,286 )</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2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top w:val="single" w:sz="8" w:color="auto"/>
              <w:bottom w:val="single" w:sz="8" w:color="auto"/>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43,623</w:t>
            </w: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543,690</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left w:val="single" w:sz="8" w:color="CFF0FC"/>
              <w:bottom w:val="single" w:sz="8" w:color="auto"/>
            </w:tcBorders>
            <w:shd w:val="clear" w:color="auto" w:fill="CFF0FC"/>
          </w:tcPr>
          <w:p>
            <w:pPr>
              <w:spacing w:after="0"/>
              <w:rPr>
                <w:sz w:val="21"/>
                <w:szCs w:val="21"/>
                <w:color w:val="auto"/>
              </w:rPr>
            </w:pPr>
          </w:p>
        </w:tc>
        <w:tc>
          <w:tcPr>
            <w:tcW w:w="11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(322,702</w:t>
            </w:r>
          </w:p>
        </w:tc>
        <w:tc>
          <w:tcPr>
            <w:tcW w:w="240" w:type="dxa"/>
            <w:vAlign w:val="bottom"/>
            <w:tcBorders>
              <w:bottom w:val="single" w:sz="8" w:color="CFF0FC"/>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220,992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14"/>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80" w:type="dxa"/>
            <w:vAlign w:val="bottom"/>
            <w:gridSpan w:val="9"/>
            <w:vMerge w:val="restart"/>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3"/>
                <w:szCs w:val="13"/>
                <w:color w:val="auto"/>
              </w:rPr>
            </w:pPr>
          </w:p>
        </w:tc>
        <w:tc>
          <w:tcPr>
            <w:tcW w:w="1360" w:type="dxa"/>
            <w:vAlign w:val="bottom"/>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3"/>
                <w:szCs w:val="13"/>
                <w:color w:val="auto"/>
              </w:rPr>
            </w:pPr>
          </w:p>
        </w:tc>
        <w:tc>
          <w:tcPr>
            <w:tcW w:w="1180" w:type="dxa"/>
            <w:vAlign w:val="bottom"/>
          </w:tcPr>
          <w:p>
            <w:pPr>
              <w:jc w:val="center"/>
              <w:ind w:right="30"/>
              <w:spacing w:after="0" w:line="160"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80" w:type="dxa"/>
            <w:vAlign w:val="bottom"/>
            <w:gridSpan w:val="9"/>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Borders>
              <w:top w:val="single" w:sz="8" w:color="auto"/>
            </w:tcBorders>
            <w:gridSpan w:val="3"/>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5"/>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16"/>
                <w:szCs w:val="16"/>
                <w:color w:val="auto"/>
              </w:rPr>
            </w:pPr>
          </w:p>
        </w:tc>
        <w:tc>
          <w:tcPr>
            <w:tcW w:w="1360" w:type="dxa"/>
            <w:vAlign w:val="bottom"/>
            <w:gridSpan w:val="2"/>
          </w:tcPr>
          <w:p>
            <w:pPr>
              <w:jc w:val="center"/>
              <w:ind w:right="2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Deficit</w:t>
            </w:r>
          </w:p>
        </w:tc>
        <w:tc>
          <w:tcPr>
            <w:tcW w:w="120" w:type="dxa"/>
            <w:vAlign w:val="bottom"/>
          </w:tcPr>
          <w:p>
            <w:pPr>
              <w:spacing w:after="0"/>
              <w:rPr>
                <w:sz w:val="16"/>
                <w:szCs w:val="16"/>
                <w:color w:val="auto"/>
              </w:rPr>
            </w:pPr>
          </w:p>
        </w:tc>
        <w:tc>
          <w:tcPr>
            <w:tcW w:w="128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43,696</w:t>
            </w:r>
          </w:p>
        </w:tc>
        <w:tc>
          <w:tcPr>
            <w:tcW w:w="120" w:type="dxa"/>
            <w:vAlign w:val="bottom"/>
          </w:tcPr>
          <w:p>
            <w:pPr>
              <w:spacing w:after="0"/>
              <w:rPr>
                <w:sz w:val="20"/>
                <w:szCs w:val="20"/>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w:t>
            </w:r>
          </w:p>
        </w:tc>
        <w:tc>
          <w:tcPr>
            <w:tcW w:w="40" w:type="dxa"/>
            <w:vAlign w:val="bottom"/>
          </w:tcPr>
          <w:p>
            <w:pPr>
              <w:spacing w:after="0"/>
              <w:rPr>
                <w:sz w:val="20"/>
                <w:szCs w:val="20"/>
                <w:color w:val="auto"/>
              </w:rPr>
            </w:pPr>
          </w:p>
        </w:tc>
        <w:tc>
          <w:tcPr>
            <w:tcW w:w="4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556,534</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(413,375 )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3,234</w:t>
            </w:r>
          </w:p>
        </w:tc>
        <w:tc>
          <w:tcPr>
            <w:tcW w:w="1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(28,054 )</w:t>
            </w: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(28,054 )</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2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43,696</w:t>
            </w:r>
          </w:p>
        </w:tc>
        <w:tc>
          <w:tcPr>
            <w:tcW w:w="12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3"/>
            <w:shd w:val="clear" w:color="auto" w:fill="CFF0FC"/>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559,768</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(441,429</w:t>
            </w:r>
          </w:p>
        </w:tc>
        <w:tc>
          <w:tcPr>
            <w:tcW w:w="240" w:type="dxa"/>
            <w:vAlign w:val="bottom"/>
            <w:tcBorders>
              <w:bottom w:val="single" w:sz="8" w:color="CFF0FC"/>
              <w:righ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118,343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55"/>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-4122420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-4122420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-4122420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-4122420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-4122420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-1807845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-1791335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-1807845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-1791335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-1807845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-1791335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-1807845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-1791335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-530860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-513715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-530860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-513715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-530860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-513715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-530860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-513715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700" w:type="dxa"/>
            <w:vAlign w:val="bottom"/>
          </w:tcPr>
          <w:p>
            <w:pPr>
              <w:spacing w:after="0"/>
              <w:rPr>
                <w:sz w:val="13"/>
                <w:szCs w:val="13"/>
                <w:color w:val="auto"/>
              </w:rPr>
            </w:pPr>
          </w:p>
        </w:tc>
        <w:tc>
          <w:tcPr>
            <w:tcW w:w="2660" w:type="dxa"/>
            <w:vAlign w:val="bottom"/>
            <w:gridSpan w:val="3"/>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20" w:type="dxa"/>
            <w:vAlign w:val="bottom"/>
          </w:tcPr>
          <w:p>
            <w:pPr>
              <w:spacing w:after="0"/>
              <w:rPr>
                <w:sz w:val="13"/>
                <w:szCs w:val="13"/>
                <w:color w:val="auto"/>
              </w:rPr>
            </w:pPr>
          </w:p>
        </w:tc>
        <w:tc>
          <w:tcPr>
            <w:tcW w:w="1180" w:type="dxa"/>
            <w:vAlign w:val="bottom"/>
          </w:tcPr>
          <w:p>
            <w:pPr>
              <w:jc w:val="center"/>
              <w:ind w:right="30"/>
              <w:spacing w:after="0" w:line="160"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700" w:type="dxa"/>
            <w:vAlign w:val="bottom"/>
          </w:tcPr>
          <w:p>
            <w:pPr>
              <w:spacing w:after="0"/>
              <w:rPr>
                <w:sz w:val="19"/>
                <w:szCs w:val="19"/>
                <w:color w:val="auto"/>
              </w:rPr>
            </w:pPr>
          </w:p>
        </w:tc>
        <w:tc>
          <w:tcPr>
            <w:tcW w:w="2660" w:type="dxa"/>
            <w:vAlign w:val="bottom"/>
            <w:tcBorders>
              <w:bottom w:val="single" w:sz="8" w:color="auto"/>
            </w:tcBorders>
            <w:gridSpan w:val="3"/>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132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16"/>
                <w:szCs w:val="16"/>
                <w:color w:val="auto"/>
              </w:rPr>
            </w:pPr>
          </w:p>
        </w:tc>
        <w:tc>
          <w:tcPr>
            <w:tcW w:w="10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Paid-in Capital</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600"/>
              <w:spacing w:after="0" w:line="188" w:lineRule="exact"/>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16"/>
                <w:szCs w:val="16"/>
                <w:color w:val="auto"/>
              </w:rPr>
            </w:pPr>
          </w:p>
        </w:tc>
        <w:tc>
          <w:tcPr>
            <w:tcW w:w="128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43,652</w:t>
            </w:r>
          </w:p>
        </w:tc>
        <w:tc>
          <w:tcPr>
            <w:tcW w:w="134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553,014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(383,542 )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7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under the 2018</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(57,887 )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(57,887 )</w:t>
            </w: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43,696</w:t>
            </w:r>
          </w:p>
        </w:tc>
        <w:tc>
          <w:tcPr>
            <w:tcW w:w="280" w:type="dxa"/>
            <w:vAlign w:val="bottom"/>
          </w:tcPr>
          <w:p>
            <w:pPr>
              <w:spacing w:after="0"/>
              <w:rPr>
                <w:sz w:val="18"/>
                <w:szCs w:val="18"/>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559,768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(441,429 )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-170815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-170815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10" w:name="page11"/>
    <w:bookmarkEnd w:id="10"/>
    <w:p>
      <w:pPr>
        <w:ind w:left="2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(57,887 )</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(58,286 )</w:t>
            </w: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rent expense</w:t>
            </w:r>
          </w:p>
        </w:tc>
        <w:tc>
          <w:tcPr>
            <w:tcW w:w="102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(97 )</w:t>
            </w:r>
          </w:p>
        </w:tc>
        <w:tc>
          <w:tcPr>
            <w:tcW w:w="7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(94 )</w:t>
            </w: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(3,458 )</w:t>
            </w:r>
          </w:p>
        </w:tc>
        <w:tc>
          <w:tcPr>
            <w:tcW w:w="7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(653 )</w:t>
            </w:r>
          </w:p>
        </w:tc>
      </w:tr>
      <w:tr>
        <w:trPr>
          <w:trHeight w:val="216"/>
        </w:trPr>
        <w:tc>
          <w:tcPr>
            <w:tcW w:w="7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(3,137 )</w:t>
            </w: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FF0FC"/>
          </w:tcPr>
          <w:p>
            <w:pPr>
              <w:spacing w:after="0"/>
              <w:rPr>
                <w:sz w:val="18"/>
                <w:szCs w:val="18"/>
                <w:color w:val="auto"/>
              </w:rPr>
            </w:pPr>
          </w:p>
        </w:tc>
      </w:tr>
      <w:tr>
        <w:trPr>
          <w:trHeight w:val="20"/>
        </w:trPr>
        <w:tc>
          <w:tcPr>
            <w:tcW w:w="7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(57,120 )</w:t>
            </w:r>
          </w:p>
        </w:tc>
        <w:tc>
          <w:tcPr>
            <w:tcW w:w="7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(47,304 )</w:t>
            </w:r>
          </w:p>
        </w:tc>
      </w:tr>
      <w:tr>
        <w:trPr>
          <w:trHeight w:val="20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(181 )</w:t>
            </w:r>
          </w:p>
        </w:tc>
        <w:tc>
          <w:tcPr>
            <w:tcW w:w="7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(1,344 )</w:t>
            </w:r>
          </w:p>
        </w:tc>
      </w:tr>
      <w:tr>
        <w:trPr>
          <w:trHeight w:val="210"/>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FF0FC"/>
          </w:tcPr>
          <w:p>
            <w:pPr>
              <w:spacing w:after="0"/>
              <w:rPr>
                <w:sz w:val="18"/>
                <w:szCs w:val="18"/>
                <w:color w:val="auto"/>
              </w:rPr>
            </w:pPr>
          </w:p>
        </w:tc>
      </w:tr>
      <w:tr>
        <w:trPr>
          <w:trHeight w:val="171"/>
        </w:trPr>
        <w:tc>
          <w:tcPr>
            <w:tcW w:w="73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Proceeds from issuance of common shares upon completion of public offering,</w:t>
            </w: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of offering costs</w:t>
            </w:r>
          </w:p>
        </w:tc>
        <w:tc>
          <w:tcPr>
            <w:tcW w:w="1020" w:type="dxa"/>
            <w:vAlign w:val="bottom"/>
          </w:tcPr>
          <w:p>
            <w:pPr>
              <w:spacing w:after="0"/>
              <w:rPr>
                <w:sz w:val="20"/>
                <w:szCs w:val="20"/>
                <w:color w:val="auto"/>
              </w:rPr>
            </w:pPr>
          </w:p>
        </w:tc>
        <w:tc>
          <w:tcPr>
            <w:tcW w:w="10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shares under ATM facility, net of offering costs paid</w:t>
            </w:r>
          </w:p>
        </w:tc>
        <w:tc>
          <w:tcPr>
            <w:tcW w:w="10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020" w:type="dxa"/>
            <w:vAlign w:val="bottom"/>
          </w:tcPr>
          <w:p>
            <w:pPr>
              <w:spacing w:after="0"/>
              <w:rPr>
                <w:sz w:val="18"/>
                <w:szCs w:val="18"/>
                <w:color w:val="auto"/>
              </w:rPr>
            </w:pPr>
          </w:p>
        </w:tc>
        <w:tc>
          <w:tcPr>
            <w:tcW w:w="10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(204 )</w:t>
            </w:r>
          </w:p>
        </w:tc>
      </w:tr>
      <w:tr>
        <w:trPr>
          <w:trHeight w:val="216"/>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ESPP shares</w:t>
            </w:r>
          </w:p>
        </w:tc>
        <w:tc>
          <w:tcPr>
            <w:tcW w:w="10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15,404</w:t>
            </w:r>
          </w:p>
        </w:tc>
        <w:tc>
          <w:tcPr>
            <w:tcW w:w="100" w:type="dxa"/>
            <w:vAlign w:val="bottom"/>
          </w:tcPr>
          <w:p>
            <w:pPr>
              <w:spacing w:after="0"/>
              <w:rPr>
                <w:sz w:val="18"/>
                <w:szCs w:val="18"/>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(57,158</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190,059</w:t>
            </w:r>
          </w:p>
        </w:tc>
        <w:tc>
          <w:tcPr>
            <w:tcW w:w="3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260,174</w:t>
            </w:r>
          </w:p>
        </w:tc>
        <w:tc>
          <w:tcPr>
            <w:tcW w:w="100" w:type="dxa"/>
            <w:vAlign w:val="bottom"/>
          </w:tcPr>
          <w:p>
            <w:pPr>
              <w:spacing w:after="0"/>
              <w:rPr>
                <w:sz w:val="18"/>
                <w:szCs w:val="18"/>
                <w:color w:val="auto"/>
              </w:rPr>
            </w:pPr>
          </w:p>
        </w:tc>
      </w:tr>
      <w:tr>
        <w:trPr>
          <w:trHeight w:val="249"/>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20" w:type="dxa"/>
            <w:vAlign w:val="bottom"/>
            <w:tcBorders>
              <w:bottom w:val="single" w:sz="8" w:color="auto"/>
            </w:tcBorders>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132,901</w:t>
            </w:r>
          </w:p>
        </w:tc>
        <w:tc>
          <w:tcPr>
            <w:tcW w:w="3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1"/>
        </w:trPr>
        <w:tc>
          <w:tcPr>
            <w:tcW w:w="73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Purchases of property and equipment included in accounts payable and</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020" w:type="dxa"/>
            <w:vAlign w:val="bottom"/>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20"/>
                <w:szCs w:val="20"/>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167"/>
        </w:trPr>
        <w:tc>
          <w:tcPr>
            <w:tcW w:w="736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reported within the condensed</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8"/>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0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132,409</w:t>
            </w:r>
          </w:p>
        </w:tc>
        <w:tc>
          <w:tcPr>
            <w:tcW w:w="300" w:type="dxa"/>
            <w:vAlign w:val="bottom"/>
          </w:tcPr>
          <w:p>
            <w:pPr>
              <w:spacing w:after="0"/>
              <w:rPr>
                <w:sz w:val="18"/>
                <w:szCs w:val="18"/>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226,438</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3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0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132,901</w:t>
            </w:r>
          </w:p>
        </w:tc>
        <w:tc>
          <w:tcPr>
            <w:tcW w:w="300" w:type="dxa"/>
            <w:vAlign w:val="bottom"/>
          </w:tcPr>
          <w:p>
            <w:pPr>
              <w:spacing w:after="0"/>
              <w:rPr>
                <w:sz w:val="18"/>
                <w:szCs w:val="18"/>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226,930</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-3359785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-3359785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-2785110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-1833880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-1259840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-1242695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 w:name="page12"/>
    <w:bookmarkEnd w:id="11"/>
    <w:p>
      <w:pPr>
        <w:ind w:left="49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21" w:lineRule="exact"/>
        <w:rPr>
          <w:sz w:val="20"/>
          <w:szCs w:val="20"/>
          <w:color w:val="auto"/>
        </w:rPr>
      </w:pPr>
    </w:p>
    <w:p>
      <w:pPr>
        <w:ind w:right="980" w:firstLine="509"/>
        <w:spacing w:after="0" w:line="266" w:lineRule="auto"/>
        <w:rPr>
          <w:sz w:val="20"/>
          <w:szCs w:val="20"/>
          <w:color w:val="auto"/>
        </w:rPr>
      </w:pPr>
      <w:r>
        <w:rPr>
          <w:rFonts w:ascii="Times New Roman" w:cs="Times New Roman" w:eastAsia="Times New Roman" w:hAnsi="Times New Roman"/>
          <w:sz w:val="18"/>
          <w:szCs w:val="18"/>
          <w:color w:val="auto"/>
        </w:rPr>
        <w:t>AVROBIO, Inc. (the “Company” or “AVROBIO”) is a clinical-stage gene therapy company focused on developing potentially curative hematopoietic stem cell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HSC”) gene therapies to treat rare diseases following a single dose treatment regimen.</w:t>
      </w:r>
    </w:p>
    <w:p>
      <w:pPr>
        <w:spacing w:after="0" w:line="176"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clinical-stage companies in the biotechnology industry, including but not limited to, risks associated with completing preclinical studies and clinical trials, developing and scaling a clinical and commercial supply chain,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incurred recurring losses since its inception, including net losses of $57,887 and $58,286 for the six months ended June 30, 2022</w:t>
      </w:r>
    </w:p>
    <w:p>
      <w:pPr>
        <w:spacing w:after="0" w:line="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and 2021, respectively. In addition, as of June 30, 2022, the Company had an accumulated deficit of $441,429. The Company has primarily funded these losses through the proceeds from sales of common and preferred stock. In addition, in November 2021 the Company entered into the Term Loan Agreement. Although the Company has incurred recurring losses and expects to continue to incur losses for the foreseeable future, the Company expects that its existing cash and cash equivalents on hand as of June 30, 2022 of $132,409 will be sufficient to fund current planned operations and capital expenditure requirements for at least the next twelve months from the filing date of this Quarterly Report on Form 10-Q with the Securities and Exchange Commission (“SEC”).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at all.</w:t>
      </w:r>
    </w:p>
    <w:p>
      <w:pPr>
        <w:spacing w:after="0" w:line="338" w:lineRule="exact"/>
        <w:rPr>
          <w:sz w:val="20"/>
          <w:szCs w:val="20"/>
          <w:color w:val="auto"/>
        </w:rPr>
      </w:pPr>
    </w:p>
    <w:p>
      <w:pPr>
        <w:ind w:right="7660" w:firstLine="8"/>
        <w:spacing w:after="0" w:line="362"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(the “unaudited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77"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on the same basis as the audited annual consolidated financial statements as of and for the year ended December 31, 2021, and, in the opinion of management, reflect all adjustments, consisting of normal recurring adjustments, necessary for the fair presentation of the Company’s financial position as of June 30, 2022, and the results of its operations for the three and six months ended June 30, 2022 and 2021, its statements of stockholders’ equity for the three and six months ended June 30, 2022 and 2021 and its statement of cash flows for the six months ended June 30, 2022 and 2021.</w:t>
      </w:r>
    </w:p>
    <w:p>
      <w:pPr>
        <w:spacing w:after="0" w:line="17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results for the three and six months ended June 30, 2022 are not necessarily indicative of the results to be expected for the year ending December 31, 2022, any other interim periods, or any future year or period. These interim financial statements should be read in conjunction with the audited financial statements as of and for the year ended December 31, 2021, and the notes thereto, which are included in the Company’s Annual Report on Form 10-K for the year ended December 31, 2021, filed with the SEC on March 17, 2022.</w:t>
      </w:r>
    </w:p>
    <w:p>
      <w:pPr>
        <w:spacing w:after="0" w:line="177"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the application of certain significant accounting policies as described below and elsewhere in these notes to the unaudited condensed consolidated financial statements. As of June 30, 2022, there have been no changes to the Company’s significant accounting policies as described in the Company’s Annual Report on Form 10-K for the fiscal year ended December 31, 2021.</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2" w:name="page13"/>
    <w:bookmarkEnd w:id="12"/>
    <w:p>
      <w:pPr>
        <w:ind w:left="49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Significant estimates relied upon in preparing the unaudited condensed consolidated financial statements include the determination of the fair value of share-based awards issued and the estimation of accrued research and development expenses.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9" w:lineRule="exact"/>
        <w:rPr>
          <w:sz w:val="20"/>
          <w:szCs w:val="20"/>
          <w:color w:val="auto"/>
        </w:rPr>
      </w:pPr>
    </w:p>
    <w:p>
      <w:pPr>
        <w:ind w:right="180" w:firstLine="509"/>
        <w:spacing w:after="0" w:line="247" w:lineRule="auto"/>
        <w:rPr>
          <w:sz w:val="20"/>
          <w:szCs w:val="20"/>
          <w:color w:val="auto"/>
        </w:rPr>
      </w:pPr>
      <w:r>
        <w:rPr>
          <w:rFonts w:ascii="Times New Roman" w:cs="Times New Roman" w:eastAsia="Times New Roman" w:hAnsi="Times New Roman"/>
          <w:sz w:val="18"/>
          <w:szCs w:val="18"/>
          <w:color w:val="auto"/>
        </w:rPr>
        <w:t xml:space="preserve">Prior to the adoption of Accounting Standards Update (“ASU”) No. 2018-07, </w:t>
      </w:r>
      <w:r>
        <w:rPr>
          <w:rFonts w:ascii="Times New Roman" w:cs="Times New Roman" w:eastAsia="Times New Roman" w:hAnsi="Times New Roman"/>
          <w:sz w:val="18"/>
          <w:szCs w:val="18"/>
          <w:i w:val="1"/>
          <w:iCs w:val="1"/>
          <w:color w:val="auto"/>
        </w:rPr>
        <w:t>Compensation-Stock Compensation (Topic 718):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Nonemployee Share-Based Payment Accounting</w:t>
      </w:r>
      <w:r>
        <w:rPr>
          <w:rFonts w:ascii="Times New Roman" w:cs="Times New Roman" w:eastAsia="Times New Roman" w:hAnsi="Times New Roman"/>
          <w:sz w:val="18"/>
          <w:szCs w:val="18"/>
          <w:color w:val="auto"/>
        </w:rPr>
        <w:t>, the measurement date for non-employee awards was generally the date the services are completed,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in financial reporting period adjustments to stock-based compensation during the vesting terms for changes in the fair value of the awards. After adoption of ASU 2018-07,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spacing w:after="0" w:line="18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5"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2021, the Company determined the volatility for awards granted up through December 31, 2021 based on an analysis of reported data for a group of guideline companies that issued options with substantially similar terms. Beginning with options granted in 2022, the Company estimates its expected stock volatility using a weighted-average calculation based on the historical volatility of the Company and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49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or JOBS Act, and may take advantage of certain exemptions from various reporting requirements applicable to other public companies, which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its IPO or such earlier time that it is no longer an “emerging growth company.”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 Considerations</w:t>
      </w:r>
    </w:p>
    <w:p>
      <w:pPr>
        <w:spacing w:after="0" w:line="108" w:lineRule="exact"/>
        <w:rPr>
          <w:sz w:val="20"/>
          <w:szCs w:val="20"/>
          <w:color w:val="auto"/>
        </w:rPr>
      </w:pPr>
    </w:p>
    <w:p>
      <w:pPr>
        <w:ind w:right="560" w:firstLine="509"/>
        <w:spacing w:after="0" w:line="258"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(Topic 842) Leases,</w:t>
      </w:r>
      <w:r>
        <w:rPr>
          <w:rFonts w:ascii="Times New Roman" w:cs="Times New Roman" w:eastAsia="Times New Roman" w:hAnsi="Times New Roman"/>
          <w:sz w:val="18"/>
          <w:szCs w:val="18"/>
          <w:color w:val="auto"/>
        </w:rPr>
        <w:t xml:space="preserve"> or ASU 2016-02. ASU 2016-02 requires an entity to recognize assets and liabilities arising from a lease for both financing and operating leases. The ASU will also require new qualitative and quantitative disclosures to help investors and other financial statement users better understand the amount, timing, and uncertainty of cash flows arising from leases. For public entities, ASU 2016-02 is effective for fiscal years beginning after December 15, 2018. As a result of the Company having elected the extended transition period for complying with new or revised accounting standards pursuant to Section 107(b) of the JOBS Act, ASU 2016-02 is effective for the Company for the year ended December 31, 2022, and all interim periods thereafter. Early adoption is permitted. The Company is currently evaluating the impact that the adoption of ASU 2016-02 will have on its consolidated financial statements. Based on this evaluation the Company currently expects that its operating lease commitments will be subject to the new standard and recognized as right-of-use assets and operating lease liabilities upon adoption of this standard, which will increase the Company’s total assets and total liabilities.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p>
    <w:p>
      <w:pPr>
        <w:spacing w:after="0" w:line="29"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or ASU 2016-13. ASU 2016-13 requires that credit losses be reported as an allowance using an expected losses model, representing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current estimate of credit losses expected to be incurred. The accounting guidance currently in effect is based on an incurred loss model. For available-for-sale debt securities with unrealized losses, this standard now requires allowances to be recorded instead of reducing the amortized cost of the investment. ASU 2016-13 is effective for non-EGCs for fiscal years beginning December 15, 2019 and interim periods within those fiscal years, and will be effective for the Company for fiscal years beginning after December 15, 2022 and interim periods within those fiscal years, assuming the Company remains an EGC. Early adoption is permitted. The Company expects an immaterial impact to its financial statements.</w:t>
      </w:r>
    </w:p>
    <w:p>
      <w:pPr>
        <w:spacing w:after="0" w:line="196"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In November 2019, the FASB issued ASU 2019-11, “</w:t>
      </w:r>
      <w:r>
        <w:rPr>
          <w:rFonts w:ascii="Times New Roman" w:cs="Times New Roman" w:eastAsia="Times New Roman" w:hAnsi="Times New Roman"/>
          <w:sz w:val="18"/>
          <w:szCs w:val="18"/>
          <w:i w:val="1"/>
          <w:iCs w:val="1"/>
          <w:color w:val="auto"/>
        </w:rPr>
        <w:t>Codification Improvements to Topic 326, Financial Instruments – Credit Losses</w:t>
      </w:r>
      <w:r>
        <w:rPr>
          <w:rFonts w:ascii="Times New Roman" w:cs="Times New Roman" w:eastAsia="Times New Roman" w:hAnsi="Times New Roman"/>
          <w:sz w:val="18"/>
          <w:szCs w:val="18"/>
          <w:color w:val="auto"/>
        </w:rPr>
        <w:t>,” or ASU 2019-11. ASU 2019-11 is an accounting pronouncement that amends ASU 2016-13, “</w:t>
      </w:r>
      <w:r>
        <w:rPr>
          <w:rFonts w:ascii="Times New Roman" w:cs="Times New Roman" w:eastAsia="Times New Roman" w:hAnsi="Times New Roman"/>
          <w:sz w:val="18"/>
          <w:szCs w:val="18"/>
          <w:i w:val="1"/>
          <w:iCs w:val="1"/>
          <w:color w:val="auto"/>
        </w:rPr>
        <w:t>Financial Instruments – 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on Financial Instruments</w:t>
      </w:r>
      <w:r>
        <w:rPr>
          <w:rFonts w:ascii="Times New Roman" w:cs="Times New Roman" w:eastAsia="Times New Roman" w:hAnsi="Times New Roman"/>
          <w:sz w:val="18"/>
          <w:szCs w:val="18"/>
          <w:color w:val="auto"/>
        </w:rPr>
        <w:t>.” The amendments update guidance on reporting credit losses for financial assets. These amendments affect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trade receivables, net investments in leases, off balance sheet credit exposures, reinsurance receivables, and any other financial assets not excluded from the scope that have the contractual right to receive cash. The amendments in both ASU 2016-13 and ASU 2019-11 are effective for annual reporting periods beginning after December 15, 2019, including interim periods within those fiscal years. As a result of the Company having elected the extended transition period for complying with new or revised accounting standards pursuant to Section 107(b) of the JOBS Act, 2016-13 and ASU 2019-11 are effective for the Company for fiscal years beginning after December 15, 2022, and interim periods within those fiscal years. The Company is currently evaluating ASU 2016-13 and ASU 2019-11 and their impact on its consolidated financial statements and financial statement disclosures.</w:t>
      </w:r>
    </w:p>
    <w:p>
      <w:pPr>
        <w:spacing w:after="0" w:line="187" w:lineRule="exact"/>
        <w:rPr>
          <w:sz w:val="20"/>
          <w:szCs w:val="20"/>
          <w:color w:val="auto"/>
        </w:rPr>
      </w:pPr>
    </w:p>
    <w:p>
      <w:pPr>
        <w:ind w:right="240" w:firstLine="509"/>
        <w:spacing w:after="0" w:line="251"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ASU 2019-12 is effective for non-EGCs for fiscal years beginning after December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ind w:left="49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15, 2020 and interim periods within those fiscal years and will be effective for the Company for fiscal years beginning after December 15, 2021 and interim periods beginning after December 15, 2022, assuming the Company remains an EGC. Early adoption is permitted. The Company is currently evaluating the effects the adoption of ASU 2019-12 may have on its financial statements.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License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The University of Manchester</w:t>
      </w:r>
    </w:p>
    <w:p>
      <w:pPr>
        <w:spacing w:after="0" w:line="121"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lentiviral gene therapy for use in the treatment of Hunter syndrome, or mucopolysaccharidosis type II. As consideration for the MPSII License Agreement, the Company agreed to pay UoM an upfront, one-time fee of $8,000, which was recognized as research and development expense during the year ended December 31, 2020.</w:t>
      </w:r>
    </w:p>
    <w:p>
      <w:pPr>
        <w:spacing w:after="0" w:line="181"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As part of the agreement, the Company is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double-digit percentage of any sublicense fees received by the Company. The next anticipated payment milestones under the MPSII License Agreement include $2,000, which would become due following the date of regulatory approval of the clinical trial application for the investigator-sponsored Phase 1/2 clinical trial sponsored by UoM, and $4,000, upon the dosing of the first patient in the investigator-sponsored Phase 1/2 clinical trial sponsored by UoM.</w:t>
      </w:r>
    </w:p>
    <w:p>
      <w:pPr>
        <w:spacing w:after="0" w:line="18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Unless terminated earlier, the agreement expires upon the later of 15 years from the effective date or the expiration of the last valid claim of the licensed patents, subject to certain surviving rights and obligations. UoM and the Company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by the Company or its affiliates or sublicensees.</w:t>
      </w:r>
    </w:p>
    <w:p>
      <w:pPr>
        <w:spacing w:after="0" w:line="195" w:lineRule="exact"/>
        <w:rPr>
          <w:sz w:val="20"/>
          <w:szCs w:val="20"/>
          <w:color w:val="auto"/>
        </w:rPr>
      </w:pPr>
    </w:p>
    <w:p>
      <w:pPr>
        <w:jc w:val="both"/>
        <w:ind w:right="440" w:firstLine="509"/>
        <w:spacing w:after="0" w:line="265" w:lineRule="auto"/>
        <w:rPr>
          <w:sz w:val="20"/>
          <w:szCs w:val="20"/>
          <w:color w:val="auto"/>
        </w:rPr>
      </w:pPr>
      <w:r>
        <w:rPr>
          <w:rFonts w:ascii="Times New Roman" w:cs="Times New Roman" w:eastAsia="Times New Roman" w:hAnsi="Times New Roman"/>
          <w:sz w:val="17"/>
          <w:szCs w:val="17"/>
          <w:color w:val="auto"/>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are currently expected to equal approximately £9,900 in the</w:t>
      </w:r>
    </w:p>
    <w:p>
      <w:pPr>
        <w:spacing w:after="0"/>
        <w:rPr>
          <w:sz w:val="20"/>
          <w:szCs w:val="20"/>
          <w:color w:val="auto"/>
        </w:rPr>
      </w:pPr>
      <w:r>
        <w:rPr>
          <w:rFonts w:ascii="Times New Roman" w:cs="Times New Roman" w:eastAsia="Times New Roman" w:hAnsi="Times New Roman"/>
          <w:sz w:val="18"/>
          <w:szCs w:val="18"/>
          <w:color w:val="auto"/>
        </w:rPr>
        <w:t>aggregate.</w:t>
      </w:r>
    </w:p>
    <w:p>
      <w:pPr>
        <w:spacing w:after="0" w:line="225"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and 2021 the Company incurred $417 and $825, respectively, related to the CRFA. For the six months ended June 30, 2022 and 2021 the Company incurred $1,380 and $825, respectively, related to the CRFA.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University Health Network (“UHN”)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Fabry License Agreement—</w:t>
      </w:r>
    </w:p>
    <w:p>
      <w:pPr>
        <w:spacing w:after="0" w:line="106"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9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left="49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9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7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For the three months ended June 30, 2022 and 2021, the Company recorded research and development expense related to this agreement with UHN of $0 and $24, respectively, which consists of reimbursable funded study trial costs. For the six months ended June 30, 2022 and 2021 the Company recorded research and development expense related to this agreement with UHN of $24 and $68, respectively, which consists of reimbursable funded study trial costs. No milestone or maintenance fees were incurred related to this agreement in the three and six months ended June 30, 2022 and 2021.</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Interleukin 12 License Agreement—</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27, 2016, the Company entered into an exclusive license agreement with UHN, pursuant to which UHN granted the Company a license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certain patent rights for the commercial development, manufacture, distribution and use of any products or processes resulting from development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patent rights related to Interleukin 12. Upon execution of this agreement, the Company paid an upfront license fee of CAD $264. In addition, as part</w:t>
      </w:r>
    </w:p>
    <w:p>
      <w:pPr>
        <w:spacing w:after="0" w:line="234" w:lineRule="auto"/>
        <w:rPr>
          <w:sz w:val="20"/>
          <w:szCs w:val="20"/>
          <w:color w:val="auto"/>
        </w:rPr>
      </w:pPr>
      <w:r>
        <w:rPr>
          <w:rFonts w:ascii="Times New Roman" w:cs="Times New Roman" w:eastAsia="Times New Roman" w:hAnsi="Times New Roman"/>
          <w:sz w:val="18"/>
          <w:szCs w:val="18"/>
          <w:color w:val="auto"/>
        </w:rPr>
        <w:t>of the initial consideration for the license, the Company issued to UHN 1,161,665 shares of the Company’s common stock and agreed to pay UHN up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upon the closing of an IPO if certain criteria are met. The fair value of the shares issued to UHN of $480 and the upfront fee was expensed upon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the agreement. Upon the closing of the IPO in 2018, as the criteria were met, the Company paid UHN $2,000. The Company is also required</w:t>
      </w:r>
    </w:p>
    <w:p>
      <w:pPr>
        <w:spacing w:after="0" w:line="234" w:lineRule="auto"/>
        <w:rPr>
          <w:sz w:val="20"/>
          <w:szCs w:val="20"/>
          <w:color w:val="auto"/>
        </w:rPr>
      </w:pPr>
      <w:r>
        <w:rPr>
          <w:rFonts w:ascii="Times New Roman" w:cs="Times New Roman" w:eastAsia="Times New Roman" w:hAnsi="Times New Roman"/>
          <w:sz w:val="18"/>
          <w:szCs w:val="18"/>
          <w:color w:val="auto"/>
        </w:rPr>
        <w:t>to pay UHN future annual license maintenance fees of CAD $50 on each anniversary of the effective date of the license agreement prior to expiration or</w:t>
      </w:r>
    </w:p>
    <w:p>
      <w:pPr>
        <w:spacing w:after="0" w:line="235" w:lineRule="auto"/>
        <w:rPr>
          <w:sz w:val="20"/>
          <w:szCs w:val="20"/>
          <w:color w:val="auto"/>
        </w:rPr>
      </w:pPr>
      <w:r>
        <w:rPr>
          <w:rFonts w:ascii="Times New Roman" w:cs="Times New Roman" w:eastAsia="Times New Roman" w:hAnsi="Times New Roman"/>
          <w:sz w:val="18"/>
          <w:szCs w:val="18"/>
          <w:color w:val="auto"/>
        </w:rPr>
        <w:t>termination and potential future milestone payments of up to CAD $19,275 upon the achievement of specified clinical and regulatory milestones.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also agreed to pay UHN royalties of a low single-digit percentage of net sales of licensed products sold by the Company. If the Company grants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sublicense rights under the license agreement, the Company has agreed to pay UHN a low double-digit royalty percentage of any sublicense income</w:t>
      </w:r>
    </w:p>
    <w:p>
      <w:pPr>
        <w:spacing w:after="0"/>
        <w:rPr>
          <w:sz w:val="20"/>
          <w:szCs w:val="20"/>
          <w:color w:val="auto"/>
        </w:rPr>
      </w:pPr>
      <w:r>
        <w:rPr>
          <w:rFonts w:ascii="Times New Roman" w:cs="Times New Roman" w:eastAsia="Times New Roman" w:hAnsi="Times New Roman"/>
          <w:sz w:val="18"/>
          <w:szCs w:val="18"/>
          <w:color w:val="auto"/>
        </w:rPr>
        <w:t>received by the Company.</w:t>
      </w:r>
    </w:p>
    <w:p>
      <w:pPr>
        <w:spacing w:after="0" w:line="192"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7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and 2021 the Company recorded research and development expense related to this agreement with UHN of $39 and $0, respectively. For the six months ended June 30, 2022 and 2021 the Company recorded $39 for both periods, which consists of license maintenance fees. No milestone fees were incurred related to this agreement in the three and six months ended June 30, 2022 and 2021.</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BioMarin Pharmaceutical Inc. (“BioMarin”)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ind w:left="49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8"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has a license agreement with BioMarin, pursuant to which BioMarin granted the Company an exclusive worldwide license under certain intellectual property rights owned or controlled by BioMarin to develop, commercialize and sell products for use in the treatment of Pompe disease.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recognized no expenses related to the license for the three and six months ended June 30, 2022 and 2021.</w:t>
      </w:r>
    </w:p>
    <w:p>
      <w:pPr>
        <w:spacing w:after="0" w:line="225"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Papillon Therapeutics, Inc. (previously GenStem Therapeutics, Inc.)</w:t>
      </w:r>
    </w:p>
    <w:p>
      <w:pPr>
        <w:spacing w:after="0" w:line="108"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On October 2, 2017, the Company entered into a license agreement with GenStem Therapeutics, Inc.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 that the license agreement with GenStem had been assigned to Papillon Therapeutics, Inc. (“Papillon”).</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recognized no expenses related to this agreement for the three and six months ended June 30, 2022 and 2021.</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Lund University Rights Holders</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ind w:left="49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recognized no expenses related to this agreement for the three and six months ended June 30, 2022 and 2021.</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108" w:lineRule="exact"/>
        <w:rPr>
          <w:sz w:val="20"/>
          <w:szCs w:val="20"/>
          <w:color w:val="auto"/>
        </w:rPr>
      </w:pPr>
    </w:p>
    <w:p>
      <w:pPr>
        <w:ind w:right="120" w:firstLine="509"/>
        <w:spacing w:after="0" w:line="249"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 as of June 30, 2022 and December 31, 2021:</w:t>
      </w:r>
    </w:p>
    <w:p>
      <w:pPr>
        <w:spacing w:after="0" w:line="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Fair Value Measurements as of June 30, 2022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131,379</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131,379</w:t>
            </w:r>
          </w:p>
        </w:tc>
        <w:tc>
          <w:tcPr>
            <w:tcW w:w="100" w:type="dxa"/>
            <w:vAlign w:val="bottom"/>
          </w:tcPr>
          <w:p>
            <w:pPr>
              <w:spacing w:after="0"/>
              <w:rPr>
                <w:sz w:val="18"/>
                <w:szCs w:val="18"/>
                <w:color w:val="auto"/>
              </w:rPr>
            </w:pPr>
          </w:p>
        </w:tc>
      </w:tr>
      <w:tr>
        <w:trPr>
          <w:trHeight w:val="249"/>
        </w:trPr>
        <w:tc>
          <w:tcPr>
            <w:tcW w:w="58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131,379</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72"/>
        </w:trPr>
        <w:tc>
          <w:tcPr>
            <w:tcW w:w="5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9"/>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189,332</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189,332</w:t>
            </w:r>
          </w:p>
        </w:tc>
        <w:tc>
          <w:tcPr>
            <w:tcW w:w="100" w:type="dxa"/>
            <w:vAlign w:val="bottom"/>
          </w:tcPr>
          <w:p>
            <w:pPr>
              <w:spacing w:after="0"/>
              <w:rPr>
                <w:sz w:val="18"/>
                <w:szCs w:val="18"/>
                <w:color w:val="auto"/>
              </w:rPr>
            </w:pPr>
          </w:p>
        </w:tc>
      </w:tr>
      <w:tr>
        <w:trPr>
          <w:trHeight w:val="249"/>
        </w:trPr>
        <w:tc>
          <w:tcPr>
            <w:tcW w:w="58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189,332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189,332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-848360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-831215</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-848360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-831215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-848360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-831215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cash equivalents was determined through quoted prices by third-party pricing services.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2022, there were no transfers between levels.</w:t>
      </w:r>
    </w:p>
    <w:p>
      <w:pPr>
        <w:spacing w:after="0" w:line="302" w:lineRule="exact"/>
        <w:rPr>
          <w:sz w:val="20"/>
          <w:szCs w:val="20"/>
          <w:color w:val="auto"/>
        </w:rPr>
      </w:pPr>
    </w:p>
    <w:p>
      <w:pPr>
        <w:ind w:right="7880" w:firstLine="8"/>
        <w:spacing w:after="0" w:line="338"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Prepaid expenses and other current assets</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tbl>
      <w:tblPr>
        <w:tblLayout w:type="fixed"/>
        <w:tblInd w:w="0" w:type="dxa"/>
        <w:tblCellMar>
          <w:top w:w="0" w:type="dxa"/>
          <w:left w:w="0" w:type="dxa"/>
          <w:bottom w:w="0" w:type="dxa"/>
          <w:right w:w="0" w:type="dxa"/>
        </w:tblCellMar>
      </w:tblPr>
      <w:tr>
        <w:trPr>
          <w:trHeight w:val="151"/>
        </w:trPr>
        <w:tc>
          <w:tcPr>
            <w:tcW w:w="50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3"/>
          </w:tcPr>
          <w:p>
            <w:pPr>
              <w:jc w:val="right"/>
              <w:ind w:right="800"/>
              <w:spacing w:after="0" w:line="15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6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incentive refund</w:t>
            </w: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compensation benefits</w:t>
            </w:r>
          </w:p>
        </w:tc>
        <w:tc>
          <w:tcPr>
            <w:tcW w:w="26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30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020" w:type="dxa"/>
            <w:vAlign w:val="bottom"/>
            <w:vMerge w:val="continue"/>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2700" w:type="dxa"/>
            <w:vAlign w:val="bottom"/>
            <w:gridSpan w:val="2"/>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6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(4,573 )</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(3,820 )</w:t>
            </w:r>
          </w:p>
        </w:tc>
        <w:tc>
          <w:tcPr>
            <w:tcW w:w="0" w:type="dxa"/>
            <w:vAlign w:val="bottom"/>
          </w:tcPr>
          <w:p>
            <w:pPr>
              <w:spacing w:after="0"/>
              <w:rPr>
                <w:sz w:val="1"/>
                <w:szCs w:val="1"/>
                <w:color w:val="auto"/>
              </w:rPr>
            </w:pPr>
          </w:p>
        </w:tc>
      </w:tr>
      <w:tr>
        <w:trPr>
          <w:trHeight w:val="209"/>
        </w:trPr>
        <w:tc>
          <w:tcPr>
            <w:tcW w:w="50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00" w:type="dxa"/>
            <w:vAlign w:val="bottom"/>
            <w:tcBorders>
              <w:top w:val="single" w:sz="8" w:color="CFF0FC"/>
            </w:tcBorders>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8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0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-2468245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-942340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-659130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ind w:left="49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44"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Depreciation and amortization expense was $354 and $299, respectively, for the three months ended June 30, 2022 and 2021. Depreciation and amortization expense was $753 and $589, respectively, for the six months ended June 30, 2022 and 2021.</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0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June 30, 2022 and December 31, 2021, the Company had restricted cash of $492, which consists of cash used to secure letters of credit for the benefit of the landlord in connection with the Company’s lease agreements. The cash will be restricted until the termination or modification of the lease arrangement.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bl>
      <w:tblPr>
        <w:tblLayout w:type="fixed"/>
        <w:tblInd w:w="0" w:type="dxa"/>
        <w:tblCellMar>
          <w:top w:w="0" w:type="dxa"/>
          <w:left w:w="0" w:type="dxa"/>
          <w:bottom w:w="0" w:type="dxa"/>
          <w:right w:w="0" w:type="dxa"/>
        </w:tblCellMar>
      </w:tblPr>
      <w:tr>
        <w:trPr>
          <w:trHeight w:val="151"/>
        </w:trPr>
        <w:tc>
          <w:tcPr>
            <w:tcW w:w="7720" w:type="dxa"/>
            <w:vAlign w:val="bottom"/>
          </w:tcPr>
          <w:p>
            <w:pPr>
              <w:spacing w:after="0"/>
              <w:rPr>
                <w:sz w:val="13"/>
                <w:szCs w:val="13"/>
                <w:color w:val="auto"/>
              </w:rPr>
            </w:pPr>
          </w:p>
        </w:tc>
        <w:tc>
          <w:tcPr>
            <w:tcW w:w="10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95"/>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 costs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Consulting and professional fees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12,574</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six months ended June 30, 2022 and 2021 and to the best of the Company’s knowledge, no material legal proceedings are currently pending or threatened.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is also party to various agreements, principally relating to licensed technology, that require future payments relating to milestones not met at June 30, 2022 and December 31, 2021, or royalties on future sales. No milestone or royalty payments under these agreements are expected to be payable in the immediate future, except as disclosed in Note 3 </w:t>
      </w:r>
      <w:r>
        <w:rPr>
          <w:rFonts w:ascii="Times New Roman" w:cs="Times New Roman" w:eastAsia="Times New Roman" w:hAnsi="Times New Roman"/>
          <w:sz w:val="18"/>
          <w:szCs w:val="18"/>
          <w:i w:val="1"/>
          <w:iCs w:val="1"/>
          <w:color w:val="auto"/>
        </w:rPr>
        <w:t>“License Agreements.”</w:t>
      </w:r>
    </w:p>
    <w:p>
      <w:pPr>
        <w:spacing w:after="0" w:line="169"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June 30, 2022.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Note Payable</w:t>
      </w:r>
    </w:p>
    <w:p>
      <w:pPr>
        <w:spacing w:after="0" w:line="108" w:lineRule="exact"/>
        <w:rPr>
          <w:sz w:val="20"/>
          <w:szCs w:val="20"/>
          <w:color w:val="auto"/>
        </w:rPr>
      </w:pPr>
    </w:p>
    <w:p>
      <w:pPr>
        <w:jc w:val="both"/>
        <w:ind w:right="460" w:firstLine="618"/>
        <w:spacing w:after="0" w:line="247" w:lineRule="auto"/>
        <w:rPr>
          <w:sz w:val="20"/>
          <w:szCs w:val="20"/>
          <w:color w:val="auto"/>
        </w:rPr>
      </w:pPr>
      <w:r>
        <w:rPr>
          <w:rFonts w:ascii="Times New Roman" w:cs="Times New Roman" w:eastAsia="Times New Roman" w:hAnsi="Times New Roman"/>
          <w:sz w:val="18"/>
          <w:szCs w:val="18"/>
          <w:color w:val="auto"/>
        </w:rPr>
        <w:t>On November 2, 2021 (the “Closing Date”), the Company entered into a Loan and Security Agreement (the “Loan Agreement”) with Silicon Valley Bank (“SVB”) pursuant to which a term loan in an aggregate principal amount of up to $50,000 (the “Term Loan Facility”) is available to the Company in three tranches, subject to certain terms and conditions. The first tranche of $15,000 was advanced to the Company on the Closing Date.</w:t>
      </w:r>
    </w:p>
    <w:p>
      <w:pPr>
        <w:spacing w:after="0" w:line="2" w:lineRule="exact"/>
        <w:rPr>
          <w:sz w:val="20"/>
          <w:szCs w:val="20"/>
          <w:color w:val="auto"/>
        </w:rPr>
      </w:pPr>
    </w:p>
    <w:p>
      <w:pPr>
        <w:jc w:val="both"/>
        <w:ind w:right="380"/>
        <w:spacing w:after="0" w:line="246" w:lineRule="auto"/>
        <w:rPr>
          <w:sz w:val="20"/>
          <w:szCs w:val="20"/>
          <w:color w:val="auto"/>
        </w:rPr>
      </w:pPr>
      <w:r>
        <w:rPr>
          <w:rFonts w:ascii="Times New Roman" w:cs="Times New Roman" w:eastAsia="Times New Roman" w:hAnsi="Times New Roman"/>
          <w:sz w:val="18"/>
          <w:szCs w:val="18"/>
          <w:color w:val="auto"/>
        </w:rPr>
        <w:t>Subject to the terms and conditions of the Loan Agreement, the first tranche allows the Company to borrow an additional $15,000 through October 31, 2023. Upon satisfaction of certain milestones, the second and third tranches are available under the Term Loan Facility which allows the Company to borrow an additional amount up 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ind w:left="49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8"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8"/>
          <w:szCs w:val="18"/>
          <w:color w:val="auto"/>
        </w:rPr>
        <w:t>$10,000 in each tranche through October 31, 2023. Additionally, the Company may seek to borrow up to an additional $15,000 at the sole discretion of the lender through the term of the Loan Agreement. The Loan Agreement matures on October 1, 2026 (the “Maturity Date”). The Company is required to pay an end of term fee (“End of Term Charge”) equal to 9.00% of the aggregate principal amount of the Term Loan advances upon repayment.</w:t>
      </w:r>
    </w:p>
    <w:p>
      <w:pPr>
        <w:spacing w:after="0" w:line="169" w:lineRule="exact"/>
        <w:rPr>
          <w:sz w:val="20"/>
          <w:szCs w:val="20"/>
          <w:color w:val="auto"/>
        </w:rPr>
      </w:pPr>
    </w:p>
    <w:p>
      <w:pPr>
        <w:jc w:val="both"/>
        <w:ind w:right="220" w:firstLine="618"/>
        <w:spacing w:after="0" w:line="258" w:lineRule="auto"/>
        <w:rPr>
          <w:sz w:val="20"/>
          <w:szCs w:val="20"/>
          <w:color w:val="auto"/>
        </w:rPr>
      </w:pPr>
      <w:r>
        <w:rPr>
          <w:rFonts w:ascii="Times New Roman" w:cs="Times New Roman" w:eastAsia="Times New Roman" w:hAnsi="Times New Roman"/>
          <w:sz w:val="18"/>
          <w:szCs w:val="18"/>
          <w:color w:val="auto"/>
        </w:rPr>
        <w:t>Advances under the Term Loan Facility will bear interest at a rate equal to the greater of either (i) the Prime Rate (as reported in The Wall Street Journal) plus 4.85%, and (ii) 8.10%. The Company will make interest only payments through November 1, 2024. Following the interest only period, the Company will repay the principal balance and interest of the advances in equal monthly installments through October 1, 2026.</w:t>
      </w:r>
    </w:p>
    <w:p>
      <w:pPr>
        <w:spacing w:after="0" w:line="169" w:lineRule="exact"/>
        <w:rPr>
          <w:sz w:val="20"/>
          <w:szCs w:val="20"/>
          <w:color w:val="auto"/>
        </w:rPr>
      </w:pPr>
    </w:p>
    <w:p>
      <w:pPr>
        <w:ind w:right="60" w:firstLine="618"/>
        <w:spacing w:after="0" w:line="250" w:lineRule="auto"/>
        <w:rPr>
          <w:sz w:val="20"/>
          <w:szCs w:val="20"/>
          <w:color w:val="auto"/>
        </w:rPr>
      </w:pPr>
      <w:r>
        <w:rPr>
          <w:rFonts w:ascii="Times New Roman" w:cs="Times New Roman" w:eastAsia="Times New Roman" w:hAnsi="Times New Roman"/>
          <w:sz w:val="18"/>
          <w:szCs w:val="18"/>
          <w:color w:val="auto"/>
        </w:rPr>
        <w:t>The Company may prepay advances under the Loan Agreement, in whole or in part, at any time subject to a prepayment charge (the “Prepayment Premium”) equal to: (a) 1.50% of amounts so prepaid, if such prepayment occurs during the first year following the Closing Date; (b) 1.00% of the amount so prepaid, if such prepayment occurs during the second year following the Closing Date, and (c) 0.00% of the amount so prepaid, if such prepayment occurs after the second year following the Closing Date.</w:t>
      </w:r>
    </w:p>
    <w:p>
      <w:pPr>
        <w:spacing w:after="0" w:line="177" w:lineRule="exact"/>
        <w:rPr>
          <w:sz w:val="20"/>
          <w:szCs w:val="20"/>
          <w:color w:val="auto"/>
        </w:rPr>
      </w:pPr>
    </w:p>
    <w:p>
      <w:pPr>
        <w:ind w:right="40" w:firstLine="618"/>
        <w:spacing w:after="0" w:line="282" w:lineRule="auto"/>
        <w:rPr>
          <w:sz w:val="20"/>
          <w:szCs w:val="20"/>
          <w:color w:val="auto"/>
        </w:rPr>
      </w:pPr>
      <w:r>
        <w:rPr>
          <w:rFonts w:ascii="Times New Roman" w:cs="Times New Roman" w:eastAsia="Times New Roman" w:hAnsi="Times New Roman"/>
          <w:sz w:val="18"/>
          <w:szCs w:val="18"/>
          <w:color w:val="auto"/>
        </w:rPr>
        <w:t>Upon prepayment or repayment of all or any of the term loans under the Term Loan Facility, the Company will pay (in addition to any Prepayment Premium) an end of term charge of 9.0% of the aggregate funded amount under the Term Loan Facility.</w:t>
      </w:r>
    </w:p>
    <w:p>
      <w:pPr>
        <w:spacing w:after="0" w:line="148" w:lineRule="exact"/>
        <w:rPr>
          <w:sz w:val="20"/>
          <w:szCs w:val="20"/>
          <w:color w:val="auto"/>
        </w:rPr>
      </w:pPr>
    </w:p>
    <w:p>
      <w:pPr>
        <w:ind w:right="120" w:firstLine="618"/>
        <w:spacing w:after="0" w:line="266" w:lineRule="auto"/>
        <w:rPr>
          <w:sz w:val="20"/>
          <w:szCs w:val="20"/>
          <w:color w:val="auto"/>
        </w:rPr>
      </w:pPr>
      <w:r>
        <w:rPr>
          <w:rFonts w:ascii="Times New Roman" w:cs="Times New Roman" w:eastAsia="Times New Roman" w:hAnsi="Times New Roman"/>
          <w:sz w:val="18"/>
          <w:szCs w:val="18"/>
          <w:color w:val="auto"/>
        </w:rPr>
        <w:t>The Term Loan Facility is secured by substantially all of the Company’s assets, other than the Company’s intellectual property. The Company has agreed to not pledge or secure its intellectual property to others.</w:t>
      </w:r>
    </w:p>
    <w:p>
      <w:pPr>
        <w:spacing w:after="0" w:line="176" w:lineRule="exact"/>
        <w:rPr>
          <w:sz w:val="20"/>
          <w:szCs w:val="20"/>
          <w:color w:val="auto"/>
        </w:rPr>
      </w:pPr>
    </w:p>
    <w:p>
      <w:pPr>
        <w:ind w:right="120" w:firstLine="618"/>
        <w:spacing w:after="0" w:line="253" w:lineRule="auto"/>
        <w:rPr>
          <w:sz w:val="20"/>
          <w:szCs w:val="20"/>
          <w:color w:val="auto"/>
        </w:rPr>
      </w:pPr>
      <w:r>
        <w:rPr>
          <w:rFonts w:ascii="Times New Roman" w:cs="Times New Roman" w:eastAsia="Times New Roman" w:hAnsi="Times New Roman"/>
          <w:sz w:val="18"/>
          <w:szCs w:val="18"/>
          <w:color w:val="auto"/>
        </w:rPr>
        <w:t>The End of Term Charge is recorded as a debt discount with an initial carrying balance of $1,350. During the year ended December 31, 2021 the Company recognized $103 of debt issuance costs related to legal expenses that has been included in the debt discount balance. The debt discount costs are</w:t>
      </w:r>
    </w:p>
    <w:p>
      <w:pPr>
        <w:ind w:right="540"/>
        <w:spacing w:after="0" w:line="292" w:lineRule="auto"/>
        <w:rPr>
          <w:sz w:val="20"/>
          <w:szCs w:val="20"/>
          <w:color w:val="auto"/>
        </w:rPr>
      </w:pPr>
      <w:r>
        <w:rPr>
          <w:rFonts w:ascii="Times New Roman" w:cs="Times New Roman" w:eastAsia="Times New Roman" w:hAnsi="Times New Roman"/>
          <w:sz w:val="18"/>
          <w:szCs w:val="18"/>
          <w:color w:val="auto"/>
        </w:rPr>
        <w:t>being accreted to the principal amount of debt and being amortized from the date of issuance through the Maturity Date to interest expense using the effective-interest rate method. The effective interest rate of the outstanding debt under the Loan Agreement is approximately 11.12%.</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As of June 30, 2022 the carrying value of the note payable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6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tcPr>
          <w:p>
            <w:pPr>
              <w:jc w:val="center"/>
              <w:ind w:right="8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Note payable, including End of Term Charge</w:t>
            </w:r>
          </w:p>
        </w:tc>
        <w:tc>
          <w:tcPr>
            <w:tcW w:w="960" w:type="dxa"/>
            <w:vAlign w:val="bottom"/>
          </w:tcPr>
          <w:p>
            <w:pPr>
              <w:spacing w:after="0"/>
              <w:rPr>
                <w:sz w:val="17"/>
                <w:szCs w:val="17"/>
                <w:color w:val="auto"/>
              </w:rPr>
            </w:pPr>
          </w:p>
        </w:tc>
        <w:tc>
          <w:tcPr>
            <w:tcW w:w="366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discount, net of accretion</w:t>
            </w:r>
          </w:p>
        </w:tc>
        <w:tc>
          <w:tcPr>
            <w:tcW w:w="960" w:type="dxa"/>
            <w:vAlign w:val="bottom"/>
            <w:shd w:val="clear" w:color="auto" w:fill="CFF0FC"/>
          </w:tcPr>
          <w:p>
            <w:pPr>
              <w:spacing w:after="0"/>
              <w:rPr>
                <w:sz w:val="18"/>
                <w:szCs w:val="18"/>
                <w:color w:val="auto"/>
              </w:rPr>
            </w:pPr>
          </w:p>
        </w:tc>
        <w:tc>
          <w:tcPr>
            <w:tcW w:w="3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(1,246 )</w:t>
            </w:r>
          </w:p>
        </w:tc>
        <w:tc>
          <w:tcPr>
            <w:tcW w:w="0" w:type="dxa"/>
            <w:vAlign w:val="bottom"/>
          </w:tcPr>
          <w:p>
            <w:pPr>
              <w:spacing w:after="0"/>
              <w:rPr>
                <w:sz w:val="1"/>
                <w:szCs w:val="1"/>
                <w:color w:val="auto"/>
              </w:rPr>
            </w:pPr>
          </w:p>
        </w:tc>
      </w:tr>
      <w:tr>
        <w:trPr>
          <w:trHeight w:val="210"/>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Note payable, net of discount, long-term</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As of June 30, 2022, the future principal payments due under the arrangement, excluding interest and the end of term charge,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141605</wp:posOffset>
            </wp:positionV>
            <wp:extent cx="3244215"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44215" cy="171450"/>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jc w:val="right"/>
              <w:ind w:right="213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6"/>
                <w:szCs w:val="16"/>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3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 w:firstLine="618"/>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recognized $333 and $638, respectively, of interest expense related to the Loan Agreement which is reflected in interest (expense) income, net on the consolidated statements of operations and comprehensive loss. During the three and six months ended June 30, 2021, the Company recognized no interest expense related to the Loan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ind w:left="49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i w:val="1"/>
          <w:iCs w:val="1"/>
          <w:color w:val="auto"/>
        </w:rPr>
        <w:t>ommon Stock</w:t>
      </w:r>
    </w:p>
    <w:p>
      <w:pPr>
        <w:spacing w:after="0" w:line="108" w:lineRule="exact"/>
        <w:rPr>
          <w:sz w:val="20"/>
          <w:szCs w:val="20"/>
          <w:color w:val="auto"/>
        </w:rPr>
      </w:pPr>
    </w:p>
    <w:p>
      <w:pPr>
        <w:ind w:right="240" w:firstLine="509"/>
        <w:spacing w:after="0" w:line="242" w:lineRule="auto"/>
        <w:rPr>
          <w:sz w:val="20"/>
          <w:szCs w:val="20"/>
          <w:color w:val="auto"/>
        </w:rPr>
      </w:pPr>
      <w:r>
        <w:rPr>
          <w:rFonts w:ascii="Times New Roman" w:cs="Times New Roman" w:eastAsia="Times New Roman" w:hAnsi="Times New Roman"/>
          <w:sz w:val="18"/>
          <w:szCs w:val="18"/>
          <w:color w:val="auto"/>
        </w:rPr>
        <w:t>As of June 30, 2022 and December 31, 2021, the authorized capital stock of the Company included 150,000,000 shares of common stock, $0.0001 par value and 10,000,000 shares of undesignated preferred stock. As of June 30, 2022 and December 31, 2021, no undesignated preferred stock was outstanding.</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2022, no cash dividends have been declared or paid.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2022 and December 31, 2021, the Company has reserved the following shares of common stock for future issuance:</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4"/>
                <w:szCs w:val="14"/>
                <w:color w:val="auto"/>
              </w:rPr>
            </w:pPr>
          </w:p>
        </w:tc>
        <w:tc>
          <w:tcPr>
            <w:tcW w:w="17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r>
      <w:tr>
        <w:trPr>
          <w:trHeight w:val="173"/>
        </w:trPr>
        <w:tc>
          <w:tcPr>
            <w:tcW w:w="32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72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20" w:type="dxa"/>
            <w:vAlign w:val="bottom"/>
            <w:gridSpan w:val="2"/>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7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reserved for exercise of outstanding stock options</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8,913,316</w:t>
            </w:r>
          </w:p>
        </w:tc>
        <w:tc>
          <w:tcPr>
            <w:tcW w:w="32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7,423,777</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893,259</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599,850</w:t>
            </w:r>
          </w:p>
        </w:tc>
        <w:tc>
          <w:tcPr>
            <w:tcW w:w="100" w:type="dxa"/>
            <w:vAlign w:val="bottom"/>
          </w:tcPr>
          <w:p>
            <w:pPr>
              <w:spacing w:after="0"/>
              <w:rPr>
                <w:sz w:val="18"/>
                <w:szCs w:val="18"/>
                <w:color w:val="auto"/>
              </w:rPr>
            </w:pPr>
          </w:p>
        </w:tc>
      </w:tr>
      <w:tr>
        <w:trPr>
          <w:trHeight w:val="216"/>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reserved for issuance under the 2018</w:t>
            </w:r>
          </w:p>
        </w:tc>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 and Grant Plan</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5,934,417</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2,583,736</w:t>
            </w:r>
          </w:p>
        </w:tc>
        <w:tc>
          <w:tcPr>
            <w:tcW w:w="100" w:type="dxa"/>
            <w:vAlign w:val="bottom"/>
            <w:shd w:val="clear" w:color="auto" w:fill="CFF0FC"/>
          </w:tcPr>
          <w:p>
            <w:pPr>
              <w:spacing w:after="0"/>
              <w:rPr>
                <w:sz w:val="18"/>
                <w:szCs w:val="18"/>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issuance under the 2018</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1,544,308</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1,151,010</w:t>
            </w:r>
          </w:p>
        </w:tc>
        <w:tc>
          <w:tcPr>
            <w:tcW w:w="100" w:type="dxa"/>
            <w:vAlign w:val="bottom"/>
          </w:tcPr>
          <w:p>
            <w:pPr>
              <w:spacing w:after="0"/>
              <w:rPr>
                <w:sz w:val="18"/>
                <w:szCs w:val="18"/>
                <w:color w:val="auto"/>
              </w:rPr>
            </w:pPr>
          </w:p>
        </w:tc>
      </w:tr>
      <w:tr>
        <w:trPr>
          <w:trHeight w:val="216"/>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reserved for issuance under the 2019</w:t>
            </w:r>
          </w:p>
        </w:tc>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626,623</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412,686</w:t>
            </w:r>
          </w:p>
        </w:tc>
        <w:tc>
          <w:tcPr>
            <w:tcW w:w="100" w:type="dxa"/>
            <w:vAlign w:val="bottom"/>
            <w:shd w:val="clear" w:color="auto" w:fill="CFF0FC"/>
          </w:tcPr>
          <w:p>
            <w:pPr>
              <w:spacing w:after="0"/>
              <w:rPr>
                <w:sz w:val="18"/>
                <w:szCs w:val="18"/>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issuance under the 2020</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1,637,000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1,637,000</w:t>
            </w:r>
          </w:p>
        </w:tc>
        <w:tc>
          <w:tcPr>
            <w:tcW w:w="100" w:type="dxa"/>
            <w:vAlign w:val="bottom"/>
          </w:tcPr>
          <w:p>
            <w:pPr>
              <w:spacing w:after="0"/>
              <w:rPr>
                <w:sz w:val="18"/>
                <w:szCs w:val="18"/>
                <w:color w:val="auto"/>
              </w:rPr>
            </w:pPr>
          </w:p>
        </w:tc>
      </w:tr>
      <w:tr>
        <w:trPr>
          <w:trHeight w:val="250"/>
        </w:trPr>
        <w:tc>
          <w:tcPr>
            <w:tcW w:w="7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shares of authorized common stock reserved for future issuance</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19,548,923</w:t>
            </w:r>
          </w:p>
        </w:tc>
        <w:tc>
          <w:tcPr>
            <w:tcW w:w="3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13,808,059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right="9020" w:firstLine="8"/>
        <w:spacing w:after="0" w:line="362"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b w:val="1"/>
          <w:bCs w:val="1"/>
          <w:i w:val="1"/>
          <w:iCs w:val="1"/>
          <w:color w:val="auto"/>
        </w:rPr>
        <w:t>Stock Option Valuation</w:t>
      </w:r>
    </w:p>
    <w:p>
      <w:pPr>
        <w:spacing w:after="0" w:line="1" w:lineRule="exact"/>
        <w:rPr>
          <w:sz w:val="20"/>
          <w:szCs w:val="20"/>
          <w:color w:val="auto"/>
        </w:rPr>
      </w:pPr>
    </w:p>
    <w:p>
      <w:pPr>
        <w:ind w:right="260" w:firstLine="509"/>
        <w:spacing w:after="0" w:line="241" w:lineRule="auto"/>
        <w:rPr>
          <w:sz w:val="20"/>
          <w:szCs w:val="20"/>
          <w:color w:val="auto"/>
        </w:rPr>
      </w:pPr>
      <w:r>
        <w:rPr>
          <w:rFonts w:ascii="Times New Roman" w:cs="Times New Roman" w:eastAsia="Times New Roman" w:hAnsi="Times New Roman"/>
          <w:sz w:val="18"/>
          <w:szCs w:val="18"/>
          <w:color w:val="auto"/>
        </w:rPr>
        <w:t>The assumptions that the Company used to determine the grant-date fair value of stock options granted to employees and members of the board of directors were as follows, presented on a weighted-average basis:</w:t>
      </w:r>
    </w:p>
    <w:p>
      <w:pPr>
        <w:spacing w:after="0" w:line="1"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0.76 %</w:t>
            </w:r>
          </w:p>
        </w:tc>
      </w:tr>
      <w:tr>
        <w:trPr>
          <w:trHeight w:val="216"/>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80.22 %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81.25 %</w:t>
            </w:r>
          </w:p>
        </w:tc>
      </w:tr>
      <w:tr>
        <w:trPr>
          <w:trHeight w:val="234"/>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six months ended June 30, 2022:</w:t>
      </w:r>
    </w:p>
    <w:tbl>
      <w:tblPr>
        <w:tblLayout w:type="fixed"/>
        <w:tblInd w:w="0" w:type="dxa"/>
        <w:tblCellMar>
          <w:top w:w="0" w:type="dxa"/>
          <w:left w:w="0" w:type="dxa"/>
          <w:bottom w:w="0" w:type="dxa"/>
          <w:right w:w="0" w:type="dxa"/>
        </w:tblCellMar>
      </w:tblPr>
      <w:tr>
        <w:trPr>
          <w:trHeight w:val="151"/>
        </w:trPr>
        <w:tc>
          <w:tcPr>
            <w:tcW w:w="4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17"/>
              <w:spacing w:after="0" w:line="151"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3"/>
                <w:szCs w:val="13"/>
                <w:color w:val="auto"/>
              </w:rPr>
            </w:pPr>
          </w:p>
        </w:tc>
        <w:tc>
          <w:tcPr>
            <w:tcW w:w="11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19"/>
              <w:spacing w:after="0" w:line="15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68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7,423,777</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3,455,157</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or forfeited</w:t>
            </w:r>
          </w:p>
        </w:tc>
        <w:tc>
          <w:tcPr>
            <w:tcW w:w="3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(1,965,618 )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6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8,913,316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44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June 30, 2022</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3,097,657</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2"/>
        </w:trPr>
        <w:tc>
          <w:tcPr>
            <w:tcW w:w="414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-762000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-744855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21" w:name="page22"/>
    <w:bookmarkEnd w:id="21"/>
    <w:p>
      <w:pPr>
        <w:ind w:left="49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6" w:lineRule="exact"/>
        <w:rPr>
          <w:sz w:val="20"/>
          <w:szCs w:val="20"/>
          <w:color w:val="auto"/>
        </w:rPr>
      </w:pPr>
    </w:p>
    <w:p>
      <w:pPr>
        <w:ind w:right="120" w:firstLine="509"/>
        <w:spacing w:after="0" w:line="23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86"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aggregate intrinsic value of options exercised during the six months ended June 30, 2021 was $1,729. No options were exercised during the six months ended June 30, 2022.</w:t>
      </w:r>
    </w:p>
    <w:p>
      <w:pPr>
        <w:spacing w:after="0" w:line="176"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weighted-average grant-date fair value of the Company’s stock options granted during the six months ended June 30, 2022 and 2021 was $1.23 and $9.31, respectively.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common stock units for the six months ended June 30, 2022:</w:t>
      </w:r>
    </w:p>
    <w:tbl>
      <w:tblPr>
        <w:tblLayout w:type="fixed"/>
        <w:tblInd w:w="0" w:type="dxa"/>
        <w:tblCellMar>
          <w:top w:w="0" w:type="dxa"/>
          <w:left w:w="0" w:type="dxa"/>
          <w:bottom w:w="0" w:type="dxa"/>
          <w:right w:w="0" w:type="dxa"/>
        </w:tblCellMar>
      </w:tblPr>
      <w:tr>
        <w:trPr>
          <w:trHeight w:val="151"/>
        </w:trPr>
        <w:tc>
          <w:tcPr>
            <w:tcW w:w="77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center"/>
              <w:ind w:right="219"/>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r>
      <w:tr>
        <w:trPr>
          <w:trHeight w:val="148"/>
        </w:trPr>
        <w:tc>
          <w:tcPr>
            <w:tcW w:w="7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0" w:type="dxa"/>
            <w:vAlign w:val="bottom"/>
          </w:tcPr>
          <w:p>
            <w:pPr>
              <w:spacing w:after="0"/>
              <w:rPr>
                <w:sz w:val="14"/>
                <w:szCs w:val="14"/>
                <w:color w:val="auto"/>
              </w:rPr>
            </w:pPr>
          </w:p>
        </w:tc>
      </w:tr>
      <w:tr>
        <w:trPr>
          <w:trHeight w:val="149"/>
        </w:trPr>
        <w:tc>
          <w:tcPr>
            <w:tcW w:w="7720" w:type="dxa"/>
            <w:vAlign w:val="bottom"/>
          </w:tcPr>
          <w:p>
            <w:pPr>
              <w:spacing w:after="0"/>
              <w:rPr>
                <w:sz w:val="12"/>
                <w:szCs w:val="12"/>
                <w:color w:val="auto"/>
              </w:rPr>
            </w:pPr>
          </w:p>
        </w:tc>
        <w:tc>
          <w:tcPr>
            <w:tcW w:w="182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2"/>
                <w:szCs w:val="12"/>
                <w:color w:val="auto"/>
              </w:rPr>
            </w:pPr>
          </w:p>
        </w:tc>
        <w:tc>
          <w:tcPr>
            <w:tcW w:w="130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00" w:type="dxa"/>
            <w:vAlign w:val="bottom"/>
          </w:tcPr>
          <w:p>
            <w:pPr>
              <w:spacing w:after="0"/>
              <w:rPr>
                <w:sz w:val="12"/>
                <w:szCs w:val="12"/>
                <w:color w:val="auto"/>
              </w:rPr>
            </w:pPr>
          </w:p>
        </w:tc>
      </w:tr>
      <w:tr>
        <w:trPr>
          <w:trHeight w:val="187"/>
        </w:trPr>
        <w:tc>
          <w:tcPr>
            <w:tcW w:w="7720" w:type="dxa"/>
            <w:vAlign w:val="bottom"/>
          </w:tcPr>
          <w:p>
            <w:pPr>
              <w:spacing w:after="0"/>
              <w:rPr>
                <w:sz w:val="16"/>
                <w:szCs w:val="16"/>
                <w:color w:val="auto"/>
              </w:rPr>
            </w:pP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Pr>
          <w:p>
            <w:pPr>
              <w:spacing w:after="0"/>
              <w:rPr>
                <w:sz w:val="16"/>
                <w:szCs w:val="16"/>
                <w:color w:val="auto"/>
              </w:rPr>
            </w:pPr>
          </w:p>
        </w:tc>
        <w:tc>
          <w:tcPr>
            <w:tcW w:w="130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Issued and unvested as of December 31, 2021</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599,850</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719,168</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(425,472 )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Issued and unvested as of June 30, 2022</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893,259</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fair value of restricted stock units vested during the six months ended June 30, 2022 and 2021 was $4 and $4, respectively.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0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4"/>
                <w:szCs w:val="14"/>
                <w:color w:val="auto"/>
              </w:rPr>
            </w:pPr>
          </w:p>
        </w:tc>
      </w:tr>
      <w:tr>
        <w:trPr>
          <w:trHeight w:val="169"/>
        </w:trPr>
        <w:tc>
          <w:tcPr>
            <w:tcW w:w="57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2,451</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00" w:type="dxa"/>
            <w:vAlign w:val="bottom"/>
          </w:tcPr>
          <w:p>
            <w:pPr>
              <w:spacing w:after="0"/>
              <w:rPr>
                <w:sz w:val="18"/>
                <w:szCs w:val="18"/>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3,234</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total unrecognized compensation cost related to the unvested stock-based awards was $27,456, which is expected to be recognized over a weighted-average period of 2.60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81" w:lineRule="exact"/>
        <w:rPr>
          <w:sz w:val="20"/>
          <w:szCs w:val="20"/>
          <w:color w:val="auto"/>
        </w:rPr>
      </w:pPr>
    </w:p>
    <w:p>
      <w:pPr>
        <w:ind w:right="40" w:firstLine="509"/>
        <w:spacing w:after="0" w:line="236" w:lineRule="auto"/>
        <w:rPr>
          <w:sz w:val="20"/>
          <w:szCs w:val="20"/>
          <w:color w:val="auto"/>
        </w:rPr>
      </w:pPr>
      <w:r>
        <w:rPr>
          <w:rFonts w:ascii="Times New Roman" w:cs="Times New Roman" w:eastAsia="Times New Roman" w:hAnsi="Times New Roman"/>
          <w:sz w:val="18"/>
          <w:szCs w:val="18"/>
          <w:color w:val="auto"/>
        </w:rPr>
        <w:t>For purposes of the diluted net loss per share calculation, stock options and unvested restricted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is the same.</w:t>
      </w:r>
    </w:p>
    <w:p>
      <w:pPr>
        <w:spacing w:after="0" w:line="186" w:lineRule="exact"/>
        <w:rPr>
          <w:sz w:val="20"/>
          <w:szCs w:val="20"/>
          <w:color w:val="auto"/>
        </w:rPr>
      </w:pPr>
    </w:p>
    <w:p>
      <w:pPr>
        <w:ind w:right="180" w:firstLine="509"/>
        <w:spacing w:after="0" w:line="249" w:lineRule="auto"/>
        <w:rPr>
          <w:sz w:val="20"/>
          <w:szCs w:val="20"/>
          <w:color w:val="auto"/>
        </w:rPr>
      </w:pPr>
      <w:r>
        <w:rPr>
          <w:rFonts w:ascii="Times New Roman" w:cs="Times New Roman" w:eastAsia="Times New Roman" w:hAnsi="Times New Roman"/>
          <w:sz w:val="18"/>
          <w:szCs w:val="18"/>
          <w:color w:val="auto"/>
        </w:rPr>
        <w:t>The following potentially dilutive common stock equivalents, presented based on amounts outstanding at each period end, were excluded from the computation of diluted net loss per share for the periods indicated as they were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44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4"/>
                <w:szCs w:val="14"/>
                <w:color w:val="auto"/>
              </w:rPr>
            </w:pPr>
          </w:p>
        </w:tc>
      </w:tr>
      <w:tr>
        <w:trPr>
          <w:trHeight w:val="169"/>
        </w:trPr>
        <w:tc>
          <w:tcPr>
            <w:tcW w:w="4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0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4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366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8,913,316</w:t>
            </w:r>
          </w:p>
        </w:tc>
        <w:tc>
          <w:tcPr>
            <w:tcW w:w="30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8,412,822</w:t>
            </w:r>
          </w:p>
        </w:tc>
        <w:tc>
          <w:tcPr>
            <w:tcW w:w="100" w:type="dxa"/>
            <w:vAlign w:val="bottom"/>
            <w:shd w:val="clear" w:color="auto" w:fill="CFF0FC"/>
          </w:tcPr>
          <w:p>
            <w:pPr>
              <w:spacing w:after="0"/>
              <w:rPr>
                <w:sz w:val="18"/>
                <w:szCs w:val="18"/>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5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893,259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772,511</w:t>
            </w:r>
          </w:p>
        </w:tc>
        <w:tc>
          <w:tcPr>
            <w:tcW w:w="100" w:type="dxa"/>
            <w:vAlign w:val="bottom"/>
          </w:tcPr>
          <w:p>
            <w:pPr>
              <w:spacing w:after="0"/>
              <w:rPr>
                <w:sz w:val="20"/>
                <w:szCs w:val="20"/>
                <w:color w:val="auto"/>
              </w:rPr>
            </w:pPr>
          </w:p>
        </w:tc>
      </w:tr>
      <w:tr>
        <w:trPr>
          <w:trHeight w:val="630"/>
        </w:trPr>
        <w:tc>
          <w:tcPr>
            <w:tcW w:w="4040" w:type="dxa"/>
            <w:vAlign w:val="bottom"/>
          </w:tcPr>
          <w:p>
            <w:pPr>
              <w:spacing w:after="0"/>
              <w:rPr>
                <w:sz w:val="24"/>
                <w:szCs w:val="24"/>
                <w:color w:val="auto"/>
              </w:rPr>
            </w:pPr>
          </w:p>
        </w:tc>
        <w:tc>
          <w:tcPr>
            <w:tcW w:w="366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16</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04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ind w:left="49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00"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30"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UHN</w:t>
      </w:r>
    </w:p>
    <w:p>
      <w:pPr>
        <w:spacing w:after="0" w:line="22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For the three months ended June 30, 2022 and 2021, the Company recognized $39 and $24, respectively, of research and development expense related to the license agreements with UHN. For the six months ended June 30, 2022 and 2021, the Company recognized $63 and $107, respectively, of research and development expense related to the license agreements with UHN. Refer to Note 3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for additional information regarding the UHN license agreements.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108"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For the three months ended June 30, 2022 and 2021, the Company recorded expenses of $792 and $409, respectively, related to a sublease to rent lab space, provided by an entity affiliated with a member of the Company’s board of directors. For the six months ended June 30, 2022 and 2021, the Company recorded expenses of $1,586 and $1,050, respectively, related to a sublease to rent lab space, provided by an entity affiliated with a member of the Company’s board of directors.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 Activities</w:t>
      </w:r>
    </w:p>
    <w:p>
      <w:pPr>
        <w:spacing w:after="0" w:line="108"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8"/>
          <w:szCs w:val="18"/>
          <w:color w:val="auto"/>
        </w:rPr>
        <w:t>In January 2022, the Company announced the deprioritization of AVR-RD-01, its investigational gene therapy program for Fabry disease. This decision was made due to several factors, including new clinical data showing variable engraftment patterns from the five most recently dosed patients in the Company’s Phase 2 clinical trial of AVR-RD-01 for the treatment of Fabry disease, which the Company refers to as the FAB-GT clinical trial. The emergence of such new data would have significantly extended the program’s development timeline. That development, coupled with an increasingly challenging market and regulatory environment for Fabry disease, were among the primary factors leading to the Company’s deprioritization of its Fabry program. As a result of the deprioritization, the Company has stopped enrollment of its Phase 2 FAB-GT clinical trial and has shifted focus to its other pipeline programs.</w:t>
      </w:r>
    </w:p>
    <w:p>
      <w:pPr>
        <w:spacing w:after="0" w:line="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deprioritization of AVR-RD-01 noted above, in January 2022, the Company approved changes to the Company’s organization as well as a broader operational cost reduction plan. As part of this plan, the Company approved a reduction in the Company’s workforce by approximately 23% across different areas and functions in the Company (the “Workforce Reduction”).</w:t>
      </w:r>
    </w:p>
    <w:p>
      <w:pPr>
        <w:spacing w:after="0" w:line="82"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8"/>
          <w:szCs w:val="18"/>
          <w:color w:val="auto"/>
        </w:rPr>
        <w:t>Under the Workforce Reduction, the Company recognized total restructuring expenses for the three and six months ended June 30, 2022 of $0 and $1,369, respectively. No restructuring expenses were incurred for the three and six months ended June 30, 2021. These one-time employee termination benefits are related to affected employees, who were offered separation benefits, including severance payments. During the three and six months ended June 30, 2022 approximately $45 and $1,369 of these payments were made. There are no accrued remaining payments at June 30, 2022.</w:t>
      </w:r>
    </w:p>
    <w:p>
      <w:pPr>
        <w:spacing w:after="0" w:line="86"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The outstanding restructuring liabilities are included in accrued expenses and other current liabilities on the consolidated balance sheets. The following table summarizes the charges related to the restructuring activities as of June 30,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Employee Severance</w:t>
            </w:r>
          </w:p>
        </w:tc>
        <w:tc>
          <w:tcPr>
            <w:tcW w:w="0" w:type="dxa"/>
            <w:vAlign w:val="bottom"/>
          </w:tcPr>
          <w:p>
            <w:pPr>
              <w:spacing w:after="0"/>
              <w:rPr>
                <w:sz w:val="1"/>
                <w:szCs w:val="1"/>
                <w:color w:val="auto"/>
              </w:rPr>
            </w:pPr>
          </w:p>
        </w:tc>
      </w:tr>
      <w:tr>
        <w:trPr>
          <w:trHeight w:val="187"/>
        </w:trPr>
        <w:tc>
          <w:tcPr>
            <w:tcW w:w="8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Liability included in accrued expenses and other current liabilities at January 1, 2022</w:t>
            </w:r>
          </w:p>
        </w:tc>
        <w:tc>
          <w:tcPr>
            <w:tcW w:w="300" w:type="dxa"/>
            <w:vAlign w:val="bottom"/>
          </w:tcPr>
          <w:p>
            <w:pPr>
              <w:spacing w:after="0"/>
              <w:rPr>
                <w:sz w:val="16"/>
                <w:szCs w:val="16"/>
                <w:color w:val="auto"/>
              </w:rPr>
            </w:pPr>
          </w:p>
        </w:tc>
        <w:tc>
          <w:tcPr>
            <w:tcW w:w="20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and Other Benefits</w:t>
            </w:r>
          </w:p>
        </w:tc>
        <w:tc>
          <w:tcPr>
            <w:tcW w:w="0" w:type="dxa"/>
            <w:vAlign w:val="bottom"/>
          </w:tcPr>
          <w:p>
            <w:pPr>
              <w:spacing w:after="0"/>
              <w:rPr>
                <w:sz w:val="1"/>
                <w:szCs w:val="1"/>
                <w:color w:val="auto"/>
              </w:rPr>
            </w:pPr>
          </w:p>
        </w:tc>
      </w:tr>
      <w:tr>
        <w:trPr>
          <w:trHeight w:val="210"/>
        </w:trPr>
        <w:tc>
          <w:tcPr>
            <w:tcW w:w="8860" w:type="dxa"/>
            <w:vAlign w:val="bottom"/>
            <w:vMerge w:val="continue"/>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30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300" w:type="dxa"/>
            <w:vAlign w:val="bottom"/>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(1,369 )</w:t>
            </w:r>
          </w:p>
        </w:tc>
        <w:tc>
          <w:tcPr>
            <w:tcW w:w="0" w:type="dxa"/>
            <w:vAlign w:val="bottom"/>
          </w:tcPr>
          <w:p>
            <w:pPr>
              <w:spacing w:after="0"/>
              <w:rPr>
                <w:sz w:val="1"/>
                <w:szCs w:val="1"/>
                <w:color w:val="auto"/>
              </w:rPr>
            </w:pPr>
          </w:p>
        </w:tc>
      </w:tr>
      <w:tr>
        <w:trPr>
          <w:trHeight w:val="249"/>
        </w:trPr>
        <w:tc>
          <w:tcPr>
            <w:tcW w:w="8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included in accrued expenses and other current liabilities at June 30, 2022</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23"/>
        </w:trPr>
        <w:tc>
          <w:tcPr>
            <w:tcW w:w="88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8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2021 included in our Annual Report on Form 10-K for the year ended December 31, 2021. Some of the information contained in this discussion and analysis or set forth elsewhere in this Quarterly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2021, as supplemented by our subsequent filings with the SEC.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 xml:space="preserve">We are a leading clinical-stage gene therapy company with a shared purpose to free people from a lifetime of genetic disease. Our company is focused on developing potentially curative HSC based gene therapies (which we sometimes refer to as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lentiviral-based gene therapies) to treat patients with rare diseases following a single dose treatment regimen. Our gene therapies employ hematopoietic stem cells that are harvested from the patient and then modified with a lentiviral vector to insert the equivalent of a functional copy of the gene that is mutated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$3.4 billion in worldwide net sales in 2021.</w:t>
      </w:r>
    </w:p>
    <w:p>
      <w:pPr>
        <w:spacing w:after="0" w:line="200"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Our pipeline is currently comprised of five HSC-based gene therapy programs: AVR-RD-04 for the treatment of cystinosis; AVR-RD-02 for the treatment of Gaucher disease, including a program for the treatment of Gaucher disease type 1 and a program (formerly AVR-RD -06) for the treatment of Gaucher disease type 3; AVR-RD-05 for the treatment of Hunter syndrome; and AVR-RD-03 for the treatment of Pompe disease. AVR-RD-04</w:t>
      </w:r>
    </w:p>
    <w:p>
      <w:pPr>
        <w:spacing w:after="0" w:line="190"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AVR-RD-04 is currently being studied for the treatment of cystinosis by our collaborators at the University of California, San Diego, or UCSD, in a Phase 1/2 collaborator-sponsored clinical trial. Enrollment of this clinical trial is complete with a total of six patients enrolled, and five patients have been dosed. In May 2022, we reported updated interim data from the Phase 1/2 clinical trial of AVR-RD-04 at the 25th Annual Meeting of American Society for Gene and Cell Therapy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ASGCT”) in Washington D.C. Pending the outcome of planned Food and Drug Administration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FDA”) interactions this year, we expect to initiate a Company-sponsored trial in 2023 with potential sites anticipated in the United States, Europe and the United Kingdom. Our current plan involves a two-part strategy, including both a pre-renal transplant population and a post-renal transplant population.</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AVR-RD-02 is currently being studied for the treatment of Gaucher disease type 1 in a Company-sponsored Phase 1/2 clinical trial, which we refer to as the Guard1 clinical trial. Four patients have been dosed to date in the Guard1 clinical trial, and we are actively recruiting additional potential patients for our currently active sites. We plan to provide updated interim clinical trial data in the fourth quarter of 2022.</w:t>
      </w:r>
    </w:p>
    <w:p>
      <w:pPr>
        <w:spacing w:after="0" w:line="16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AVR-RD-02 also includes a preclinical program for the treatment of Gaucher disease type 3, and we expect to engage with regulatory authorities this year to discuss a potential Phase 2/3 clinical trial to be initiated in 2023.</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AVR-RD-05 is our preclinical program for the treatment of Hunter syndrome. Our collaborators at The University of Manchester have submitted a clinical trial application related to the study of Hunter Syndrome in the United Kingdom, and if authorized we expect that a Phase 1/2 collaborator-sponsored clinical trial will be initiated in 2023.</w:t>
      </w:r>
    </w:p>
    <w:p>
      <w:pPr>
        <w:spacing w:after="0" w:line="16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AVR-RD-03 is our preclinical program for the treatment of Pompe disease, and we are planning to engage with regulatory authorities this year to discuss a potential path to the clinic. While we are continuing to advance AVR-RD-03, we are prioritizing our cystinosis and Gaucher disease clinical programs. As a result, we no longer expect to initiate a clinical trial for AVR-RD-03 in 2023.</w:t>
      </w:r>
    </w:p>
    <w:p>
      <w:pPr>
        <w:spacing w:after="0" w:line="169" w:lineRule="exact"/>
        <w:rPr>
          <w:sz w:val="20"/>
          <w:szCs w:val="20"/>
          <w:color w:val="auto"/>
        </w:rPr>
      </w:pPr>
    </w:p>
    <w:p>
      <w:pPr>
        <w:ind w:right="220" w:firstLine="509"/>
        <w:spacing w:after="0" w:line="247"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To date, we have not generated any product revenue and have financed our operations primarily through the private placement of our securities and through public offerings of our common stock. Through June 30, 2022, we had received gross cash proceeds of $87.5 million from sales of our preferred stock; gross cash proceeds, before deducting underwriting discounts and commissions and expenses, of $428.1 million from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4" w:name="page25"/>
    <w:bookmarkEnd w:id="24"/>
    <w:p>
      <w:pPr>
        <w:ind w:right="640"/>
        <w:spacing w:after="0" w:line="282" w:lineRule="auto"/>
        <w:rPr>
          <w:sz w:val="20"/>
          <w:szCs w:val="20"/>
          <w:color w:val="auto"/>
        </w:rPr>
      </w:pPr>
      <w:r>
        <w:rPr>
          <w:rFonts w:ascii="Times New Roman" w:cs="Times New Roman" w:eastAsia="Times New Roman" w:hAnsi="Times New Roman"/>
          <w:sz w:val="18"/>
          <w:szCs w:val="18"/>
          <w:color w:val="auto"/>
        </w:rPr>
        <w:t>sales of our common stock through our initial public offering and follow-on offerings; and gross cash proceeds, before deducting commissions and expenses, of $23.5 million from sales of our common stock through our “at-the-market,” or ATM, facility.</w:t>
      </w:r>
    </w:p>
    <w:p>
      <w:pPr>
        <w:spacing w:after="0" w:line="135" w:lineRule="exact"/>
        <w:rPr>
          <w:sz w:val="20"/>
          <w:szCs w:val="20"/>
          <w:color w:val="auto"/>
        </w:rPr>
      </w:pPr>
    </w:p>
    <w:p>
      <w:pPr>
        <w:ind w:right="20" w:firstLine="509"/>
        <w:spacing w:after="0" w:line="233" w:lineRule="auto"/>
        <w:rPr>
          <w:sz w:val="20"/>
          <w:szCs w:val="20"/>
          <w:color w:val="auto"/>
        </w:rPr>
      </w:pPr>
      <w:r>
        <w:rPr>
          <w:rFonts w:ascii="Times New Roman" w:cs="Times New Roman" w:eastAsia="Times New Roman" w:hAnsi="Times New Roman"/>
          <w:sz w:val="18"/>
          <w:szCs w:val="18"/>
          <w:color w:val="auto"/>
        </w:rPr>
        <w:t>Additionally,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$57.9 million and $58.3 million for the six months ended June 30, 2022 and 2021, respectively. As of June 30, 2022, we had an accumulated deficit of $441.4 million. We expect to continue to incur significant expenses for at least the next several years as we advance our current and future product candidates from discovery through preclinical development and clinical trials and seek regulatory approval of our product candidates. We currently have a total of five investigational gene therapy programs in our pipeline, two of which are currently in clinical development. Further development of these programs will require us to expend significant resources to advance these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w:t>
      </w:r>
    </w:p>
    <w:p>
      <w:pPr>
        <w:spacing w:after="0" w:line="189" w:lineRule="exact"/>
        <w:rPr>
          <w:sz w:val="20"/>
          <w:szCs w:val="20"/>
          <w:color w:val="auto"/>
        </w:rPr>
      </w:pPr>
    </w:p>
    <w:p>
      <w:pPr>
        <w:ind w:right="20" w:firstLine="509"/>
        <w:spacing w:after="0" w:line="233"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follow-on offerings and sales of common stock under our ATM facility, as well as proceeds from our Loan and Security Agreement, or the Term Loan Agreement, with the lenders party thereto from time to time, or the Lenders, and Silicon Valley Bank, as administrative agent and collateral agent for the Lenders, or the Agent. We may also pursue additional funding from outside sources, including our expansion of, or our entry into, new borrowing arrangements; research and development incentive payments from governmental entities ;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91" w:lineRule="exact"/>
        <w:rPr>
          <w:sz w:val="20"/>
          <w:szCs w:val="20"/>
          <w:color w:val="auto"/>
        </w:rPr>
      </w:pPr>
    </w:p>
    <w:p>
      <w:pPr>
        <w:ind w:right="100" w:firstLine="509"/>
        <w:spacing w:after="0"/>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5" w:lineRule="exact"/>
        <w:rPr>
          <w:sz w:val="20"/>
          <w:szCs w:val="20"/>
          <w:color w:val="auto"/>
        </w:rPr>
      </w:pPr>
    </w:p>
    <w:p>
      <w:pPr>
        <w:ind w:right="380" w:firstLine="509"/>
        <w:spacing w:after="0"/>
        <w:rPr>
          <w:sz w:val="20"/>
          <w:szCs w:val="20"/>
          <w:color w:val="auto"/>
        </w:rPr>
      </w:pPr>
      <w:r>
        <w:rPr>
          <w:rFonts w:ascii="Times New Roman" w:cs="Times New Roman" w:eastAsia="Times New Roman" w:hAnsi="Times New Roman"/>
          <w:sz w:val="18"/>
          <w:szCs w:val="18"/>
          <w:color w:val="auto"/>
        </w:rPr>
        <w:t>As of June 30, 2022, we had cash and cash equivalents of $132.4 million. We believe that our existing cash and cash equivalents as of June 30, 2022, will enable us to fund our operating expenses and capital expenditure requirements into the first quarter of 2024.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Updates</w:t>
      </w:r>
    </w:p>
    <w:p>
      <w:pPr>
        <w:spacing w:after="0" w:line="114" w:lineRule="exact"/>
        <w:rPr>
          <w:sz w:val="20"/>
          <w:szCs w:val="20"/>
          <w:color w:val="auto"/>
        </w:rPr>
      </w:pPr>
    </w:p>
    <w:p>
      <w:pPr>
        <w:jc w:val="both"/>
        <w:ind w:right="80" w:firstLine="509"/>
        <w:spacing w:after="0" w:line="219" w:lineRule="auto"/>
        <w:rPr>
          <w:sz w:val="20"/>
          <w:szCs w:val="20"/>
          <w:color w:val="auto"/>
        </w:rPr>
      </w:pPr>
      <w:r>
        <w:rPr>
          <w:rFonts w:ascii="Times New Roman" w:cs="Times New Roman" w:eastAsia="Times New Roman" w:hAnsi="Times New Roman"/>
          <w:sz w:val="18"/>
          <w:szCs w:val="18"/>
          <w:color w:val="auto"/>
        </w:rPr>
        <w:t>On July 8, 2022, we moved our corporate headquarters to 100 Technology Square,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Cambridge, MA 02139. We had previously subleased space in this location for laboratory facilities, and in January 2022, we amended our sublease agreement to, among other things, expand the square footage to include office space. The office space at One Kendall Square, Building 300, Suite 201, Cambridge, MA 02139 is still in use until the end of our lease in January 2023.</w:t>
      </w:r>
    </w:p>
    <w:p>
      <w:pPr>
        <w:spacing w:after="0" w:line="26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On July 13, 2022, we announced that the FDA has granted orphan drug designation for AVR-RD-05 for the treatment of mucopolysaccharidosis type II, or Hunter syndrome.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Consolidated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69"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76" w:lineRule="exact"/>
        <w:rPr>
          <w:rFonts w:ascii="Times New Roman" w:cs="Times New Roman" w:eastAsia="Times New Roman" w:hAnsi="Times New Roman"/>
          <w:sz w:val="18"/>
          <w:szCs w:val="18"/>
          <w:color w:val="auto"/>
        </w:rPr>
      </w:pPr>
    </w:p>
    <w:p>
      <w:pPr>
        <w:ind w:left="900" w:hanging="383"/>
        <w:spacing w:after="0" w:line="250"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5" w:name="page26"/>
    <w:bookmarkEnd w:id="25"/>
    <w:p>
      <w:pPr>
        <w:ind w:left="900" w:right="60" w:hanging="383"/>
        <w:spacing w:after="0" w:line="250"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scale-up expenses and the cost of acquiring and manufacturing preclinical and clinical trial materials and commercial materials, including manufacturing validation batches;</w:t>
      </w:r>
    </w:p>
    <w:p>
      <w:pPr>
        <w:spacing w:after="0" w:line="26" w:lineRule="exact"/>
        <w:rPr>
          <w:rFonts w:ascii="Times New Roman" w:cs="Times New Roman" w:eastAsia="Times New Roman" w:hAnsi="Times New Roman"/>
          <w:sz w:val="18"/>
          <w:szCs w:val="18"/>
          <w:color w:val="auto"/>
        </w:rPr>
      </w:pPr>
    </w:p>
    <w:p>
      <w:pPr>
        <w:ind w:left="900" w:hanging="383"/>
        <w:spacing w:after="0" w:line="207" w:lineRule="exact"/>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purchasing lab supplies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capital equipment used in our preclinical activities;</w:t>
      </w:r>
    </w:p>
    <w:p>
      <w:pPr>
        <w:spacing w:after="0" w:line="118" w:lineRule="exact"/>
        <w:rPr>
          <w:rFonts w:ascii="Times New Roman" w:cs="Times New Roman" w:eastAsia="Times New Roman" w:hAnsi="Times New Roman"/>
          <w:sz w:val="18"/>
          <w:szCs w:val="18"/>
          <w:color w:val="auto"/>
        </w:rPr>
      </w:pPr>
    </w:p>
    <w:p>
      <w:pPr>
        <w:ind w:left="900" w:right="580" w:hanging="383"/>
        <w:spacing w:after="0" w:line="237"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stock-based compensation expense for employees engaged in research and development functions;</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costs, depreciation and other expenses, which include rent and utilities.</w:t>
      </w:r>
    </w:p>
    <w:p>
      <w:pPr>
        <w:spacing w:after="0" w:line="19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recognize external development costs based on an evaluation of the progress to completion of specific tasks using information provided to us by our service providers.</w:t>
      </w:r>
    </w:p>
    <w:p>
      <w:pPr>
        <w:spacing w:after="0" w:line="149" w:lineRule="exact"/>
        <w:rPr>
          <w:sz w:val="20"/>
          <w:szCs w:val="20"/>
          <w:color w:val="auto"/>
        </w:rPr>
      </w:pPr>
    </w:p>
    <w:p>
      <w:pPr>
        <w:ind w:right="380" w:firstLine="509"/>
        <w:spacing w:after="0" w:line="226" w:lineRule="auto"/>
        <w:rPr>
          <w:sz w:val="20"/>
          <w:szCs w:val="20"/>
          <w:color w:val="auto"/>
        </w:rPr>
      </w:pPr>
      <w:r>
        <w:rPr>
          <w:rFonts w:ascii="Times New Roman" w:cs="Times New Roman" w:eastAsia="Times New Roman" w:hAnsi="Times New Roman"/>
          <w:sz w:val="18"/>
          <w:szCs w:val="18"/>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w:t>
      </w:r>
    </w:p>
    <w:p>
      <w:pPr>
        <w:spacing w:after="0" w:line="2" w:lineRule="exact"/>
        <w:rPr>
          <w:sz w:val="20"/>
          <w:szCs w:val="20"/>
          <w:color w:val="auto"/>
        </w:rPr>
      </w:pPr>
    </w:p>
    <w:p>
      <w:pPr>
        <w:ind w:right="320"/>
        <w:spacing w:after="0" w:line="223" w:lineRule="auto"/>
        <w:rPr>
          <w:sz w:val="20"/>
          <w:szCs w:val="20"/>
          <w:color w:val="auto"/>
        </w:rPr>
      </w:pPr>
      <w:r>
        <w:rPr>
          <w:rFonts w:ascii="Times New Roman" w:cs="Times New Roman" w:eastAsia="Times New Roman" w:hAnsi="Times New Roman"/>
          <w:sz w:val="17"/>
          <w:szCs w:val="17"/>
          <w:color w:val="auto"/>
        </w:rPr>
        <w:t>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w:t>
      </w:r>
    </w:p>
    <w:p>
      <w:pPr>
        <w:spacing w:after="0" w:line="220" w:lineRule="auto"/>
        <w:rPr>
          <w:sz w:val="20"/>
          <w:szCs w:val="20"/>
          <w:color w:val="auto"/>
        </w:rPr>
      </w:pPr>
      <w:r>
        <w:rPr>
          <w:rFonts w:ascii="Times New Roman" w:cs="Times New Roman" w:eastAsia="Times New Roman" w:hAnsi="Times New Roman"/>
          <w:sz w:val="18"/>
          <w:szCs w:val="18"/>
          <w:color w:val="auto"/>
        </w:rPr>
        <w:t>research and discovery as well as for managing our preclinical development, process development, manufacturing and clinical development activities.</w:t>
      </w:r>
    </w:p>
    <w:p>
      <w:pPr>
        <w:spacing w:after="0"/>
        <w:rPr>
          <w:sz w:val="20"/>
          <w:szCs w:val="20"/>
          <w:color w:val="auto"/>
        </w:rPr>
      </w:pPr>
      <w:r>
        <w:rPr>
          <w:rFonts w:ascii="Times New Roman" w:cs="Times New Roman" w:eastAsia="Times New Roman" w:hAnsi="Times New Roman"/>
          <w:sz w:val="18"/>
          <w:szCs w:val="18"/>
          <w:color w:val="auto"/>
        </w:rPr>
        <w:t>These employees work across multiple programs and, therefore, we do not track their costs by program.</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related to our product candidates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Pr>
          <w:p>
            <w:pPr>
              <w:spacing w:after="0"/>
              <w:rPr>
                <w:sz w:val="14"/>
                <w:szCs w:val="14"/>
                <w:color w:val="auto"/>
              </w:rPr>
            </w:pPr>
          </w:p>
        </w:tc>
      </w:tr>
      <w:tr>
        <w:trPr>
          <w:trHeight w:val="20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Fabry</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Gaucher</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Pr>
          <w:p>
            <w:pPr>
              <w:spacing w:after="0"/>
              <w:rPr>
                <w:sz w:val="18"/>
                <w:szCs w:val="18"/>
                <w:color w:val="auto"/>
              </w:rPr>
            </w:pPr>
          </w:p>
        </w:tc>
      </w:tr>
      <w:tr>
        <w:trPr>
          <w:trHeight w:val="22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Pompe</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FF0FC"/>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Cystinosis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r>
      <w:tr>
        <w:trPr>
          <w:trHeight w:val="230"/>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Hunter</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FF0FC"/>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activities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r>
      <w:tr>
        <w:trPr>
          <w:trHeight w:val="216"/>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11,585</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25,047</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18,877</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38,130</w:t>
            </w:r>
          </w:p>
        </w:tc>
        <w:tc>
          <w:tcPr>
            <w:tcW w:w="6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41,024</w:t>
            </w: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-170815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80"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69"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preclinical development activities,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design, initiation and completion of,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6" w:name="page27"/>
    <w:bookmarkEnd w:id="26"/>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clinical trials and for commercial launch;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disclosed in the section entitled “Risk Factors” of this Quarterly Report on Form 10-Q.</w:t>
      </w:r>
    </w:p>
    <w:p>
      <w:pPr>
        <w:spacing w:after="0" w:line="21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for any reason,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jc w:val="both"/>
        <w:ind w:right="26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6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continue to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0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Other (expense) income, net primarily consists of interest income earned on our cash and cash equivalents and changes in foreign currency, and interest expense related to our Term Loan Agreement.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40" w:type="dxa"/>
            <w:vAlign w:val="bottom"/>
            <w:gridSpan w:val="5"/>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18,877</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(3,667 )</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(3,601 )</w:t>
            </w: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(27,774</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(31,375</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(285 )</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(21 )</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(28,054 )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(31,387 )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-1019810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-1019810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decreased by approximately $3.7 million to $18.9 million for the three months ended June 30, 2022, from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million for the three months ended June 30, 2021. This decrease was driven by decreases of $1.5 million in manufacturing costs, $1.1 million in non-</w:t>
      </w:r>
    </w:p>
    <w:p>
      <w:pPr>
        <w:spacing w:after="0"/>
        <w:rPr>
          <w:sz w:val="20"/>
          <w:szCs w:val="20"/>
          <w:color w:val="auto"/>
        </w:rPr>
      </w:pPr>
      <w:r>
        <w:rPr>
          <w:rFonts w:ascii="Times New Roman" w:cs="Times New Roman" w:eastAsia="Times New Roman" w:hAnsi="Times New Roman"/>
          <w:sz w:val="18"/>
          <w:szCs w:val="18"/>
          <w:color w:val="auto"/>
        </w:rPr>
        <w:t>cash stock-based compensation, $0.7 million in preclinical costs, and $0.3 million in personnel-related costs.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$8.9 million for the three months ended June 30, 2022, compared to $8.8 million for the three months ended June 30, 2021. This increase of $0.1 million was attributable to an increase of $1.0 million in personnel-related costs, partially offset by a $0.6 million decrease in professional fees and a $0.3 million decrease in non-cash stock-based compensation.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Other (expense), net, was $(0.3) million for the three months ended June 30, 2022, compared to less than $(0.1) million for the three months ended June 30, 2021. The change is primarily due to interest expense related to our Term Loan Agreement, which we entered into in the fourth quarter of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38,130</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41,024</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(2,894 )</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19,062</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(1,067 )</w:t>
            </w: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(57,192</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(58,259</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(655 )</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(40 )</w:t>
            </w:r>
          </w:p>
        </w:tc>
        <w:tc>
          <w:tcPr>
            <w:tcW w:w="32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(46 )</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4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(57,887 )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(58,286 )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4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1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-1508125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-1508125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-659765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-659765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decreased by approximately $2.9 million to $38.1 million for the six months ended June 30, 2022, from $41.0 million for the six months ended June 30, 2021. This decrease was driven by a $2.3 million decrease in non-cash stock-based compensation, a $1.0 million decrease in manufacturing costs, a $1.0 million decrease in preclinical costs, a $0.2 million decrease in personnel-related costs, and was partially offset by an increase of $1.8 million in clinical trial consulting expenses.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$19.1 million for the six months ended June 30, 2022, compared to $17.2 million for the six months ended June 30, 2021. This increase of $1.8 million was attributable to an increase of $1.6 in personnel-related costs, and a $0.1 million increase in other expenses, primarily related to facilities costs, professional fees and legal fees.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net, was $(0.7) million for the six months ended June 30, 2022, compared to $0.0 million for the six months ended June 30,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is primarily due to interest expense related to our Term Loan Agreement, which we entered into in the fourth quarter of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and we have raised</w:t>
      </w:r>
    </w:p>
    <w:p>
      <w:pPr>
        <w:spacing w:after="0" w:line="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additional capital through subsequent follow-on offerings and our ATM facility. Through June 30, 2022,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gross cash proceeds, before deducting commissions and expenses, of $23.5 million from sales of our common stock under our ATM facility; and we had drawn $15.0 million in term loans under our Term Loan Agreement.</w:t>
      </w:r>
    </w:p>
    <w:p>
      <w:pPr>
        <w:spacing w:after="0" w:line="17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ATM offerings under the July 2019 Shelf. The July 2019 Shelf was declared effective by the SEC on July 10, 2019, and expired on July 1, 2022.</w:t>
      </w:r>
    </w:p>
    <w:p>
      <w:pPr>
        <w:spacing w:after="0" w:line="177"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p>
    <w:p>
      <w:pPr>
        <w:spacing w:after="0" w:line="190"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July 2019, we closed an underwritten public offering, or the July 2019 Follow-On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The net proceeds to us from this offering, after deducting underwriting discounts and commissions and other offering expenses payable by us, were $129.5 million.</w:t>
      </w:r>
    </w:p>
    <w:p>
      <w:pPr>
        <w:spacing w:after="0" w:line="17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2020, we closed an underwritten public offering, or the February 2020 Follow-On Offering, under the December 2019 Shelf of 4,350,000 shares of our common stock at a public offering price of $23.00 per share. The net proceeds to us from this offering, after deducting underwriting discounts and commissions and other offering expenses payable by us, were $93.6 million.</w:t>
      </w:r>
    </w:p>
    <w:p>
      <w:pPr>
        <w:spacing w:after="0" w:line="16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June 2020, we sold an aggregate of 384,140 shares of common stock under the ATM facility for net proceeds, after deducting commissions and other offering expenses payable by us, of $8.1 million.</w:t>
      </w:r>
    </w:p>
    <w:p>
      <w:pPr>
        <w:spacing w:after="0" w:line="176" w:lineRule="exact"/>
        <w:rPr>
          <w:sz w:val="20"/>
          <w:szCs w:val="20"/>
          <w:color w:val="auto"/>
        </w:rPr>
      </w:pPr>
    </w:p>
    <w:p>
      <w:pPr>
        <w:jc w:val="both"/>
        <w:ind w:right="380" w:firstLine="509"/>
        <w:spacing w:after="0" w:line="250" w:lineRule="auto"/>
        <w:rPr>
          <w:sz w:val="20"/>
          <w:szCs w:val="20"/>
          <w:color w:val="auto"/>
        </w:rPr>
      </w:pPr>
      <w:r>
        <w:rPr>
          <w:rFonts w:ascii="Times New Roman" w:cs="Times New Roman" w:eastAsia="Times New Roman" w:hAnsi="Times New Roman"/>
          <w:sz w:val="18"/>
          <w:szCs w:val="18"/>
          <w:color w:val="auto"/>
        </w:rPr>
        <w:t>In November 2020, we closed an underwritten public offering, or the November 2020 Follow-On Offering, of 5,000,000 shares of our common stock at a public offering price of $15.00 per share. The net proceeds to us from the November 2020 Follow-On Offering, after deducting underwriting discounts and commissions and other offering expenses payable by us, were $70.2 million.</w:t>
      </w:r>
    </w:p>
    <w:p>
      <w:pPr>
        <w:spacing w:after="0" w:line="190"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In May 2021, we sold an aggregate of 1,829,268 shares of common stock under the ATM facility for net proceeds, after deducting commissions and other offering expenses payable by us, of $14.5 million. As of June 30, 2022, approximately $26.5 million of common stock remained available for future issuance under the ATM facility.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9" w:name="page30"/>
    <w:bookmarkEnd w:id="29"/>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On November 2, 2021, or the Closing Date, we entered into the Term Loan Agreement. The Term Loan Agreement provided for (i) on the Closing Date, $30.0 million aggregate principal amount of term loans available through October 31, 2023; (ii) an additional $20.0 million in term loan facilities available through October 31, 2023 upon the achievement of certain regulatory or clinical milestones prior to the time of draw, or the Milestone Funding; and (iii) an additional discretionary $15.0 million term loan facility available upon our request and approval by the Agent and the Lenders, or, collectively, the Term Loans. We drew $15.0 million in term loans on the Closing Date. As a result of the deprioritization of our Fabry disease program, we are no longer able to draw the $20.0 million of Milestone Funding per the terms of the Term Loan Agreement. The loan repayment schedule provides for interest only payments until November 1, 2024, followed by consecutive monthly payments of principal and interest. All unpaid principal and accrued and unpaid interest with respect to each term loan is due and payable in full on October 1, 2026.</w:t>
      </w:r>
    </w:p>
    <w:p>
      <w:pPr>
        <w:spacing w:after="0" w:line="179"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we had cash and cash equivalents of $132.4 million. Cash in excess of immediate requirements is invested primarily with a view to liquidity and capital preservation. We believe that our existing cash and cash equivalents as of June 30, 2022 will enable us to fund our operating expenses and capital expenditure requirements into the first quarter of 2024.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 (in thousands):</w:t>
      </w:r>
    </w:p>
    <w:p>
      <w:pPr>
        <w:spacing w:after="0" w:line="327"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6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(57,120</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(181 )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(1,344 )</w:t>
            </w:r>
          </w:p>
        </w:tc>
      </w:tr>
      <w:tr>
        <w:trPr>
          <w:trHeight w:val="216"/>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6"/>
              </w:rPr>
              <w:t>(57,158 )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(33,244 )</w:t>
            </w:r>
          </w:p>
        </w:tc>
      </w:tr>
      <w:tr>
        <w:trPr>
          <w:trHeight w:val="20"/>
        </w:trPr>
        <w:tc>
          <w:tcPr>
            <w:tcW w:w="7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06"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2022, operating activities used $57.1 million of cash, cash equivalents and restricted cash, resulting from our net loss of $57.9 million and cash used by changes in our operating assets and liabilities of $6.7 million which was partially offset by non-cash charges of $7.4 million. The net changes in our operating assets and liabilities were primarily due to a decrease in accounts payable of $3.5 million, a decrease in accrued expenses and other liabilities of $3.1 million, and an increase in prepaids and other current assets of $0.1 million. The non-cash charges primarily included $6.6 million of stock-based compensation expense and $0.8 million of depreciation and amortization expense.</w:t>
      </w:r>
    </w:p>
    <w:p>
      <w:pPr>
        <w:spacing w:after="0" w:line="6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During the six months ended June 30, 2021, operating activities used $47.3 million of cash, cash equivalents and restricted cash, resulting from our net loss of $58.3 million offset by cash provided by changes in our operating assets and liabilities of $1.2 million and non-cash charges of $9.8 million. The net changes in our operating assets and liabilities were primarily due to an increase in accrued expenses and other liabilities of $1.0 million and a $0.5 million decrease in prepaids and other current assets, partially offset by a decrease in accounts payable. The non-cash charges primarily included $9.3 million of stock-based compensation expense and $0.6 million of depreciation and amortization expense.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$0.2 million for the six months ended June 30, 2022 compared to $1.3 million for the six months ended June 30, 2021. The decrease in cash used in investing activities was primarily due to a decrease in purchases of property and equipment.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0" w:firstLine="509"/>
        <w:spacing w:after="0" w:line="246" w:lineRule="auto"/>
        <w:rPr>
          <w:sz w:val="20"/>
          <w:szCs w:val="20"/>
          <w:color w:val="auto"/>
        </w:rPr>
      </w:pPr>
      <w:r>
        <w:rPr>
          <w:rFonts w:ascii="Times New Roman" w:cs="Times New Roman" w:eastAsia="Times New Roman" w:hAnsi="Times New Roman"/>
          <w:sz w:val="18"/>
          <w:szCs w:val="18"/>
          <w:color w:val="auto"/>
        </w:rPr>
        <w:t>Net cash provided by financing activities was $0.1 million for the six months ended June 30, 2022 compared to $15.4 million for the six months ended June 30, 2021. The decrease in cash provided by financing activities was primarily due to the proceeds of $14.6 million from issuance of common shares under ATM facility, net of offering costs paid and $0.9 million from proceeds from the exercise of stock options during the six months ended June 30, 2021 which was partially offset by $0.1 million in proceeds from the issuance of shares under our 2018 Employee Stock Purchase Plan during the six months ended June 30, 2022.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preclinical activities and clinical trials of our product candidates. Our expenses will also increase as we:</w:t>
      </w:r>
    </w:p>
    <w:p>
      <w:pPr>
        <w:spacing w:after="0" w:line="54"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development of our product candidates, including continuing enrollment and dosing of patients in our ongoing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clinical trials and preclinical studies for our current and future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or in-license or acquire additional product candidates and technologies;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industrialize our HSC therapy approach into a robust, scalable and, if approved, commercially viable process;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our product candidates that successfully complete clinical trials, if any;</w:t>
      </w:r>
    </w:p>
    <w:p>
      <w:pPr>
        <w:spacing w:after="0" w:line="103" w:lineRule="exact"/>
        <w:rPr>
          <w:rFonts w:ascii="Times New Roman" w:cs="Times New Roman" w:eastAsia="Times New Roman" w:hAnsi="Times New Roman"/>
          <w:sz w:val="18"/>
          <w:szCs w:val="18"/>
          <w:color w:val="auto"/>
        </w:rPr>
      </w:pPr>
    </w:p>
    <w:p>
      <w:pPr>
        <w:ind w:left="900" w:right="560" w:hanging="383"/>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medical, manufacturing, quality, commercial and scientific personnel;</w:t>
      </w:r>
    </w:p>
    <w:p>
      <w:pPr>
        <w:spacing w:after="0" w:line="117" w:lineRule="exact"/>
        <w:rPr>
          <w:rFonts w:ascii="Times New Roman" w:cs="Times New Roman" w:eastAsia="Times New Roman" w:hAnsi="Times New Roman"/>
          <w:sz w:val="18"/>
          <w:szCs w:val="18"/>
          <w:color w:val="auto"/>
        </w:rPr>
      </w:pPr>
    </w:p>
    <w:p>
      <w:pPr>
        <w:ind w:left="900" w:right="920" w:hanging="383"/>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office space and facilities to accommodate our employee base, including adding equipment and physical infrastructure to support our research and development;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incur additional public company-related costs.</w:t>
      </w:r>
    </w:p>
    <w:p>
      <w:pPr>
        <w:spacing w:after="0" w:line="212" w:lineRule="exact"/>
        <w:rPr>
          <w:sz w:val="20"/>
          <w:szCs w:val="20"/>
          <w:color w:val="auto"/>
        </w:rPr>
      </w:pPr>
    </w:p>
    <w:p>
      <w:pPr>
        <w:ind w:right="260" w:firstLine="509"/>
        <w:spacing w:after="0" w:line="239" w:lineRule="auto"/>
        <w:rPr>
          <w:sz w:val="20"/>
          <w:szCs w:val="20"/>
          <w:color w:val="auto"/>
        </w:rPr>
      </w:pPr>
      <w:r>
        <w:rPr>
          <w:rFonts w:ascii="Times New Roman" w:cs="Times New Roman" w:eastAsia="Times New Roman" w:hAnsi="Times New Roman"/>
          <w:sz w:val="18"/>
          <w:szCs w:val="18"/>
          <w:color w:val="auto"/>
        </w:rPr>
        <w:t>We believe that our $132.4 million of existing cash and cash equivalents as of June 30, 2022, will enable us to fund our operating expenses and capital expenditure requirements into the first quarter of 2024. We have based these estimates on assumptions that may prove to be wrong, and we could utilize our available capital resources sooner than we expect. If we receive regulatory approval for any of our product candidates, we expect to incur significant commercialization expenses related to product manufacturing, sales, marketing and distribution, depending on where we choose to commercialize.</w:t>
      </w:r>
    </w:p>
    <w:p>
      <w:pPr>
        <w:spacing w:after="0" w:line="184" w:lineRule="exact"/>
        <w:rPr>
          <w:sz w:val="20"/>
          <w:szCs w:val="20"/>
          <w:color w:val="auto"/>
        </w:rPr>
      </w:pPr>
    </w:p>
    <w:p>
      <w:pPr>
        <w:ind w:right="20" w:firstLine="509"/>
        <w:spacing w:after="0" w:line="237"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2021, filed with the SEC on March 17, 2022.</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08"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six months ended June 30, 2022,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2021, which was filed with the SEC on March 17, 2022, and the notes to the consolidated financial statements included in Item 1, “</w:t>
      </w:r>
      <w:r>
        <w:rPr>
          <w:rFonts w:ascii="Times New Roman" w:cs="Times New Roman" w:eastAsia="Times New Roman" w:hAnsi="Times New Roman"/>
          <w:sz w:val="18"/>
          <w:szCs w:val="18"/>
          <w:i w:val="1"/>
          <w:iCs w:val="1"/>
          <w:color w:val="auto"/>
        </w:rPr>
        <w:t>Condensed Consolidated Unaudited Financial Statements</w:t>
      </w:r>
      <w:r>
        <w:rPr>
          <w:rFonts w:ascii="Times New Roman" w:cs="Times New Roman" w:eastAsia="Times New Roman" w:hAnsi="Times New Roman"/>
          <w:sz w:val="18"/>
          <w:szCs w:val="18"/>
          <w:color w:val="auto"/>
        </w:rPr>
        <w:t>,” of this Quarterly Report on Form 10-Q.</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08" w:lineRule="exact"/>
        <w:rPr>
          <w:sz w:val="20"/>
          <w:szCs w:val="20"/>
          <w:color w:val="auto"/>
        </w:rPr>
      </w:pPr>
    </w:p>
    <w:p>
      <w:pPr>
        <w:ind w:right="20" w:firstLine="509"/>
        <w:spacing w:after="0" w:line="23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may take advantage of certain exemptions from various reporting requirements applicable to other public companies, which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 description of recently issued accounting pronouncements that may potentially impact our financial position and results of operations is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consolidated financial statements appearing at the beginning of this Quarterly Report on Form 10-Q.</w:t>
      </w:r>
    </w:p>
    <w:p>
      <w:pPr>
        <w:spacing w:after="0" w:line="27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we had cash and cash equivalents of $132.4 million, which consisted of primarily money market funds. Our primary exposure to market risk is interest rate sensitivity, which is affected by changes in the general level of U.S. interest rates, particularly because our cash equivalents are in held in short-term money market funds. Due to short-term duration of our investment portfolio and the low risk profile of our investments, an immediate 100 basis point change in interest rates would not have a material effect on the fair market value of our portfolio.</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six months ended June 30, 2022 and 2021, we recognized foreign currency transaction losses of $40 thousand and $46 thousand,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Great British Pound, and Canadian dollar would not have a material impact on our financial position or results of operations.</w:t>
      </w:r>
    </w:p>
    <w:p>
      <w:pPr>
        <w:spacing w:after="0" w:line="179"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0" w:right="379" w:bottom="1440" w:gutter="0" w:footer="0" w:header="0"/>
        </w:sectPr>
      </w:pPr>
    </w:p>
    <w:bookmarkStart w:id="32" w:name="page33"/>
    <w:bookmarkEnd w:id="3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ind w:firstLine="509"/>
        <w:spacing w:after="0" w:line="23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financial officer, respectively), evaluated the effectiveness of our disclosure controls and procedures as of June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While we continue to evaluate our disclosure controls and procedures, including new procedures and processes relating to our internal control over financial reporting, based on the evaluation of our disclosure controls and procedures as of June 30, 2022, our Chief Executive Officer and Chief Financial Officer concluded that our disclosure controls and procedures were effective at the reasonable assurance level as of June 30, 2022.</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June 30, 2022 that has materially affected, or is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From time to time, we may become subject to various legal proceedings and claims that arise in the ordinary course of our business activities. Although the results of litigation and claims cannot be predicted with certainty, as of June 30, 2022, we are not presently subject to any pending or threatened litigation that we believe,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8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risks and uncertainties, together with all other information in this Quarterly Report on Form 10-Q,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Quarterly Report on Form 10-Q.</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financial position and need for additional capital</w:t>
      </w:r>
    </w:p>
    <w:p>
      <w:pPr>
        <w:spacing w:after="0" w:line="104" w:lineRule="exact"/>
        <w:rPr>
          <w:sz w:val="20"/>
          <w:szCs w:val="20"/>
          <w:color w:val="auto"/>
        </w:rPr>
      </w:pPr>
    </w:p>
    <w:p>
      <w:pPr>
        <w:ind w:left="520" w:right="6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inception. We expect to incur net losses for the foreseeable future and may never achieve or maintain profitability.</w:t>
      </w:r>
    </w:p>
    <w:p>
      <w:pPr>
        <w:spacing w:after="0" w:line="63"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Since inception, we have incurred net losses. We incurred net losses of $119.1 million and $119.7 million for the years ended December 31, 2021 and 2020, respectively, and $57.9 million for the six months ended June 30, 2022. We historically financed our operations primarily through private placements of our preferred stock and, more recently, our initial public offering and follow-on public offerings of our common stock, as well as sales of our common stock under our ATM facility. In addition, in November 2021 we entered into the Term Loan Agreement.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73" w:lineRule="exact"/>
        <w:rPr>
          <w:sz w:val="20"/>
          <w:szCs w:val="20"/>
          <w:color w:val="auto"/>
        </w:rPr>
      </w:pPr>
    </w:p>
    <w:p>
      <w:pPr>
        <w:ind w:left="900" w:right="24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development of our product candidates, including continuing enrollment in our ongoing clinical trials, particularly if and as we commence and continue clinical-stage activities for our product candidates;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clinical trials and preclinical studies for our current and future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or interruptions in preclinical studies, clinical trials, or our supply chain due to the ongoing COVID-19 pandemic;</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or in-license additional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our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900" w:right="56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54"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implementation of our plato platform as we seek to industrialize our HSC gene therapy approach into a robust, scalable and, if approved, commercially viable process;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quality control, regulatory and scientific personnel;</w:t>
      </w:r>
    </w:p>
    <w:p>
      <w:pPr>
        <w:spacing w:after="0" w:line="10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office space, infrastructure and facilities as needed to accommodate our employee base, including adding equipment and physical infrastructure to support our research and development; and</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incur additional public company-related costs.</w:t>
      </w:r>
    </w:p>
    <w:p>
      <w:pPr>
        <w:spacing w:after="0" w:line="21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4" w:name="page35"/>
    <w:bookmarkEnd w:id="34"/>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do not expect to do so for the next several years, if ever.</w:t>
      </w:r>
    </w:p>
    <w:p>
      <w:pPr>
        <w:spacing w:after="0" w:line="108"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69"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preclinical and clinical development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and marketing approvals for product candidates for which we complete clinical trials;</w:t>
      </w:r>
    </w:p>
    <w:p>
      <w:pPr>
        <w:spacing w:after="0" w:line="103" w:lineRule="exact"/>
        <w:rPr>
          <w:rFonts w:ascii="Times New Roman" w:cs="Times New Roman" w:eastAsia="Times New Roman" w:hAnsi="Times New Roman"/>
          <w:sz w:val="18"/>
          <w:szCs w:val="18"/>
          <w:color w:val="auto"/>
        </w:rPr>
      </w:pPr>
    </w:p>
    <w:p>
      <w:pPr>
        <w:ind w:left="900" w:right="54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adequate coverage and reimbursement by government and third-party payors for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line="296" w:lineRule="auto"/>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supply and manufacturing processes and relationships with third parties that can provide adequate, in both amount and quality, products and services to support clinical development and the commercial market demand for our product candidates, if approved;</w:t>
      </w:r>
    </w:p>
    <w:p>
      <w:pPr>
        <w:spacing w:after="0" w:line="44"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if approved, as a viable treatment option;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03"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under such arrangements; and</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12"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81" w:lineRule="exact"/>
        <w:rPr>
          <w:sz w:val="20"/>
          <w:szCs w:val="20"/>
          <w:color w:val="auto"/>
        </w:rPr>
      </w:pPr>
    </w:p>
    <w:p>
      <w:pPr>
        <w:ind w:left="5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3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As of June 30, 2022, we had cash and cash equivalents of $132.4 million. We believe that our existing cash and cash equivalents as of June 30, 2022, will enable us to fund our operating expenses and capital expenditure requirements into the first quarter of 2024.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spacing w:after="0" w:line="19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Furthermore, we currently have a total of five gene therapy programs in our pipeline, two of which are in clinical development. Further development of these programs will require us to expend significant resources to advance these candidates.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 Our future capital requirements will depend on many factors, including: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 w:name="page36"/>
    <w:bookmarkEnd w:id="35"/>
    <w:p>
      <w:pPr>
        <w:ind w:left="900" w:right="6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laboratory testing, preclinical development and clinical trials for our current and future product candidates, including the extent of any impacts from the ongoing COVID-19 pandemic on these activities;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03" w:lineRule="exact"/>
        <w:rPr>
          <w:rFonts w:ascii="Times New Roman" w:cs="Times New Roman" w:eastAsia="Times New Roman" w:hAnsi="Times New Roman"/>
          <w:sz w:val="18"/>
          <w:szCs w:val="18"/>
          <w:color w:val="auto"/>
        </w:rPr>
      </w:pPr>
    </w:p>
    <w:p>
      <w:pPr>
        <w:ind w:left="900" w:right="62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our product candidates for which we receive marketing approval;</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our manufacturing process development and evaluation of third-party manufacturers;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 of our products, should any of our product candidates receive marketing approval;</w:t>
      </w:r>
    </w:p>
    <w:p>
      <w:pPr>
        <w:spacing w:after="0" w:line="117" w:lineRule="exact"/>
        <w:rPr>
          <w:rFonts w:ascii="Times New Roman" w:cs="Times New Roman" w:eastAsia="Times New Roman" w:hAnsi="Times New Roman"/>
          <w:sz w:val="18"/>
          <w:szCs w:val="18"/>
          <w:color w:val="auto"/>
        </w:rPr>
      </w:pPr>
    </w:p>
    <w:p>
      <w:pPr>
        <w:ind w:left="900" w:right="42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current and any future license agreements and collaborations;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5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Term Loan Agreement contains restrictions that potentially limit our flexibility in operating our business, and we may be required to make a prepayment or repay our outstanding indebtedness earlier than we expect. In addition, as a result of the deprioritization of our Fabry program, we can no longer draw $20.0 million of term loans that were contingent upon the achievement of certain milestones related to our development of AVR-RD-01 for Fabry disease.</w:t>
      </w:r>
    </w:p>
    <w:p>
      <w:pPr>
        <w:spacing w:after="0" w:line="53" w:lineRule="exact"/>
        <w:rPr>
          <w:sz w:val="20"/>
          <w:szCs w:val="20"/>
          <w:color w:val="auto"/>
        </w:rPr>
      </w:pPr>
    </w:p>
    <w:p>
      <w:pPr>
        <w:ind w:right="40" w:firstLine="576"/>
        <w:spacing w:after="0" w:line="244" w:lineRule="auto"/>
        <w:rPr>
          <w:sz w:val="20"/>
          <w:szCs w:val="20"/>
          <w:color w:val="auto"/>
        </w:rPr>
      </w:pPr>
      <w:r>
        <w:rPr>
          <w:rFonts w:ascii="Times New Roman" w:cs="Times New Roman" w:eastAsia="Times New Roman" w:hAnsi="Times New Roman"/>
          <w:sz w:val="18"/>
          <w:szCs w:val="18"/>
          <w:color w:val="auto"/>
        </w:rPr>
        <w:t>On November 2, 2021, we entered into the Term Loan Agreement. The Term Loan Agreement provided for term loans of up to $65.0 million in the aggregate available in three tranches, but due to the deprioritization of our Fabry program we can no longer draw $20.0 million of term loans that were contingent upon the achievement of certain milestones related to our development of AVR-RD-01 for Fabry disease. As a result, the amount that remains available to us for future drawdown, subject to satisfaction of the conditions in the Term Loan Agreement, is $30.0 million, $15.0 million of which requires the consent of the Agent and Lenders. The Term Loan Agreement contains various covenants that limit our ability to engage in specified types of transactions. These covenants limit our ability to, among other things:</w:t>
      </w:r>
    </w:p>
    <w:p>
      <w:pPr>
        <w:spacing w:after="0" w:line="74"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certain debt;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acquire all or substantially all of the capital stock or property of another entity;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our business;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organizational structure or type;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transfer, or dispose of certain assets;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certain types of liens on our assets;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dividends;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 transactions with affiliates.</w:t>
      </w:r>
    </w:p>
    <w:p>
      <w:pPr>
        <w:spacing w:after="0" w:line="90"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Term Loan Agreement. An event of default will also occur if, among other things, a material adverse change in our business, operations, or condition occurs, which could potentially include a material impairment of the prospect of our repayment of any portion of the amounts we owe under the Term Loan Agreement. In the case of a continuing event of default under the Term Loan Agreement, the lenders could elect to declare all amounts outstanding to be immediately due and payable, proceed against the collateral in which we granted the Lenders a security interest under the Term Loan Agreement, or otherwise exercise the rights of a secured creditor. Amounts outstanding under the Term Loan Agreement are secured by all of our existing and future assets, excluding intellectual property, which is subject to a negative pledge arrangement.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6" w:name="page37"/>
    <w:bookmarkEnd w:id="36"/>
    <w:p>
      <w:pPr>
        <w:ind w:firstLine="576"/>
        <w:spacing w:after="0" w:line="245" w:lineRule="auto"/>
        <w:rPr>
          <w:sz w:val="20"/>
          <w:szCs w:val="20"/>
          <w:color w:val="auto"/>
        </w:rPr>
      </w:pPr>
      <w:r>
        <w:rPr>
          <w:rFonts w:ascii="Times New Roman" w:cs="Times New Roman" w:eastAsia="Times New Roman" w:hAnsi="Times New Roman"/>
          <w:sz w:val="18"/>
          <w:szCs w:val="18"/>
          <w:color w:val="auto"/>
        </w:rPr>
        <w:t>At closing, we drew $15.0 million of the $30.0 million available to us as part of the first tranche. As executed, the Term Loan Agreement also provided the ability to access up to an additional $35.0 million, of which $20.0 million could be drawn in two additional tranches subject to the achievement of certain regulatory and clinical milestones, or the Milestone Funding, and of which $15.0 million could be drawn in an additional tranche with the approval of the Agent and the Lenders. However, as a result of the deprioritization of our Fabry disease program, we are no longer able to draw the $20.0 million of Milestone Funding per the terms of the Term Loan Agreement. Moreover, if the Agent and Lenders do not consent, we would not be able to draw down the final $15.0 million tranche of financing. If we are unable to access the final $15.0 million tranche, there can be no assurance that we will be able to obtain alternative financing to replace such tranche on commercially reasonable terms or at all, which could adversely impact our business.</w:t>
      </w:r>
    </w:p>
    <w:p>
      <w:pPr>
        <w:spacing w:after="0" w:line="60" w:lineRule="exact"/>
        <w:rPr>
          <w:sz w:val="20"/>
          <w:szCs w:val="20"/>
          <w:color w:val="auto"/>
        </w:rPr>
      </w:pPr>
    </w:p>
    <w:p>
      <w:pPr>
        <w:ind w:right="40" w:firstLine="576"/>
        <w:spacing w:after="0" w:line="250" w:lineRule="auto"/>
        <w:rPr>
          <w:sz w:val="20"/>
          <w:szCs w:val="20"/>
          <w:color w:val="auto"/>
        </w:rPr>
      </w:pPr>
      <w:r>
        <w:rPr>
          <w:rFonts w:ascii="Times New Roman" w:cs="Times New Roman" w:eastAsia="Times New Roman" w:hAnsi="Times New Roman"/>
          <w:sz w:val="18"/>
          <w:szCs w:val="18"/>
          <w:color w:val="auto"/>
        </w:rPr>
        <w:t>We may not have enough available cash to repay or refinance our indebtedness at the time any such repayment is required. In such an event, we may be required to delay, limit, reduce, or terminate our preclinical and clinical product development or grant others rights to develop and market product candidates that we would otherwise prefer to develop and market ourselves. Our business, financial condition, and results of operations could be materially adversely affected as a result.</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cause us to relinquish valuable rights.</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3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08"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certain of our product candidates and establishing research and development and manufacturing capabilities. We have not yet demonstrated the ability to complete clinical trials of our product candidates, obtain marketing approvals, manufacture products on a commercial scale or conduct sales and marketing activities necessary for successful commercialization. Consequently, any predictions you make about our future success or viability may not be as accurate as they could be if we had a longer operating history. In addition, as an early-stage company, we may encounter unforeseen expenses, difficulties, complications, delays and other known and unknown factors.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04" w:lineRule="exact"/>
        <w:rPr>
          <w:sz w:val="20"/>
          <w:szCs w:val="20"/>
          <w:color w:val="auto"/>
        </w:rPr>
      </w:pPr>
    </w:p>
    <w:p>
      <w:pPr>
        <w:ind w:left="5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3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The ongoing COVID-19 pandemic has continued to disrupt normal business operations both in and outside of affected areas and has had significant negative impacts on businesses and financial markets worldwide. We continue to monitor our operations and follow applicable government recommendations and the majority of our employees, other than our laboratory staff, have adopted a “hybrid” work schedule which is intended to limit the number of people in our office at any particular time. Notwithstanding these measures, the evolving COVID-19 pandemic, including potential outbreaks of new variants, could affect the health and availability of our workforce as well as those of the third parties on which we rely. If members of our management and other key personnel are unable to perform their duties or have limited availability due to COVID-19, we may not be able to execute on our business strategy and/or our operations may be negatively impacted. We may experience limitations in employee resources, including because of sickness of employees or their families or the desire of employees to avoid contact with individuals or large groups of people.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37" w:name="page38"/>
    <w:bookmarkEnd w:id="37"/>
    <w:p>
      <w:pPr>
        <w:ind w:firstLine="509"/>
        <w:spacing w:after="0" w:line="246" w:lineRule="auto"/>
        <w:rPr>
          <w:sz w:val="20"/>
          <w:szCs w:val="20"/>
          <w:color w:val="auto"/>
        </w:rPr>
      </w:pPr>
      <w:r>
        <w:rPr>
          <w:rFonts w:ascii="Times New Roman" w:cs="Times New Roman" w:eastAsia="Times New Roman" w:hAnsi="Times New Roman"/>
          <w:sz w:val="18"/>
          <w:szCs w:val="18"/>
          <w:color w:val="auto"/>
        </w:rPr>
        <w:t>In addition, clinical trial activities, including patient enrollment and data collection, are dependent upon global clinical trial sites which have been and continue to be adversely affected by the ongoing COVID-19 pandemic. For example, as the global healthcare community responded to the fluctuations in COVID-19 cases and hospitalizations, many hospitals, including our clinical sites, temporarily paused elective procedures, which included dosing of new patients with our investigational gene therapies. While dosing of new patients began to resume in the first half of 2021, our ability to continue clinical activities without further delay or interruption will depend on future developments that are highly uncertain and cannot be accurately predicted. Additionally, while ongoing data collection has continued for our patients that have been dosed, certain data collection was previously delayed and additional delays could result from COVID-19-related interruptions, particularly as new variants of the virus are identified and continue to spread. We are currently conducting and planning to conduct clinical trials for our product candidates in geographies that have been affected by COVID-19.</w:t>
      </w:r>
    </w:p>
    <w:p>
      <w:pPr>
        <w:spacing w:after="0" w:line="1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Additional factors from the ongoing COVID-19 pandemic that have delayed and may continue to delay or otherwise adversely affect enrollment in or the progress of the clinical trials of our product candidates, as well as our business generally, include:</w:t>
      </w:r>
    </w:p>
    <w:p>
      <w:pPr>
        <w:spacing w:after="0" w:line="54" w:lineRule="exact"/>
        <w:rPr>
          <w:sz w:val="20"/>
          <w:szCs w:val="20"/>
          <w:color w:val="auto"/>
        </w:rPr>
      </w:pPr>
    </w:p>
    <w:p>
      <w:pPr>
        <w:jc w:val="both"/>
        <w:ind w:left="900" w:right="120" w:hanging="383"/>
        <w:spacing w:after="0" w:line="258"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61" w:lineRule="exact"/>
        <w:rPr>
          <w:rFonts w:ascii="Times New Roman" w:cs="Times New Roman" w:eastAsia="Times New Roman" w:hAnsi="Times New Roman"/>
          <w:sz w:val="18"/>
          <w:szCs w:val="18"/>
          <w:color w:val="auto"/>
        </w:rPr>
      </w:pPr>
    </w:p>
    <w:p>
      <w:pPr>
        <w:ind w:left="900" w:hanging="383"/>
        <w:spacing w:after="0" w:line="25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spacing w:after="0" w:line="82" w:lineRule="exact"/>
        <w:rPr>
          <w:rFonts w:ascii="Times New Roman" w:cs="Times New Roman" w:eastAsia="Times New Roman" w:hAnsi="Times New Roman"/>
          <w:sz w:val="18"/>
          <w:szCs w:val="18"/>
          <w:color w:val="auto"/>
        </w:rPr>
      </w:pPr>
    </w:p>
    <w:p>
      <w:pPr>
        <w:ind w:left="900" w:right="46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54" w:lineRule="exact"/>
        <w:rPr>
          <w:rFonts w:ascii="Times New Roman" w:cs="Times New Roman" w:eastAsia="Times New Roman" w:hAnsi="Times New Roman"/>
          <w:sz w:val="18"/>
          <w:szCs w:val="18"/>
          <w:color w:val="auto"/>
        </w:rPr>
      </w:pPr>
    </w:p>
    <w:p>
      <w:pPr>
        <w:ind w:left="900" w:hanging="383"/>
        <w:spacing w:after="0" w:line="247"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 impair the productivity of our personnel, subject us to additional cybersecurity risks, create data accessibility problems, cause us to become more susceptible to communication disruptions, or delay necessary interactions with local regulators, ethics committees and other important agencies and contractors;</w:t>
      </w:r>
    </w:p>
    <w:p>
      <w:pPr>
        <w:spacing w:after="0" w:line="71"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involving our third parties on whom we rely, including CROs and other collaborators for the conduct of our clinical trials or our third party suppliers or manufacturers, which could impact their ability to perform adequately or disrupt our supply chain; and</w:t>
      </w:r>
    </w:p>
    <w:p>
      <w:pPr>
        <w:spacing w:after="0" w:line="6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hospital or research institution policies or government regulations, which could delay or adversely impact our ability to conduct our clinical trials.</w:t>
      </w:r>
    </w:p>
    <w:p>
      <w:pPr>
        <w:spacing w:after="0" w:line="162"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Since the beginning of the COVID-19 pandemic, several vaccines for COVID-19 have received Emergency Use Authorization by the FDA and a number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77"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These and other factors arising from the ongoing COVID-19 pandemic could worsen and further adversely impact our ability to conduct clinical trials and our business generally, and could have a material adverse impact on our operations and financial condition and results. The extent to which the ongoing COVID-19 pandemic impacts our operations or those of our third party partners will depend on future developments, which are highly uncertain and cannot be predicted with confidence, including the duration of the pandemic, the efficacy and safety of vaccines, including against emerging variants, the ability of third parties to manufacture and distribute vaccines and the public’s willingness to receive such vaccines, and new information that may emerge concerning mutations of the coronavirus that causes COVID-19, among others.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38" w:name="page39"/>
    <w:bookmarkEnd w:id="38"/>
    <w:p>
      <w:pPr>
        <w:ind w:left="5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HSC-based gene therapy product candidates are based on a novel technology, which makes it difficult to predict the time and cost of product candidate development and of subsequently obtaining regulatory approval.</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have concentrated our research and development efforts on our HSC-based gene therapy approach, and our future success depends on our</w:t>
      </w:r>
    </w:p>
    <w:p>
      <w:pPr>
        <w:spacing w:after="0" w:line="1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timely enrollment in our clinical trials is dependent upon global clinical trial sites which have been and may continue to be adversely affected by the ongoing COVID-19 pandemic, especially if a resurgence of cases occurs. In addition, the implementation of our plato platform and upgrades, including our current conditioning regimen or any conditioning regimen we implement in the future, may result in delays or setbacks in our research and development activities, and we may not realize the intended benefits of these efforts. In addition,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as of August 1, 2022, we have only dosed ten patients using our plato platform in our clinical trials, which includes six patients in our FAB-GT clinical trial for which we have halted enrollment. Our implementation of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ultimately achieve the same favorable preliminary results observed to date. Furthermore, the FDA generally prefers that clinical trials be double-blinded and potentially include sham controls. Such a trial design could be challenging to implement due to the nature of the treatment regimen of HSC gene therapy.</w:t>
      </w:r>
    </w:p>
    <w:p>
      <w:pPr>
        <w:spacing w:after="0" w:line="183"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the United States, Canada, Europe, Japan or other major markets or how long it will take to commercialize our product candidates, if any are approved. Approvals by foreign regulatory authorities may not be indicative of what the FDA may require for approval, and vice versa.</w:t>
      </w:r>
    </w:p>
    <w:p>
      <w:pPr>
        <w:spacing w:after="0" w:line="18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Before a clinical trial can begin at any institution, that institution’s review board, or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8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77"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39" w:name="page40"/>
    <w:bookmarkEnd w:id="39"/>
    <w:p>
      <w:pPr>
        <w:ind w:right="20"/>
        <w:spacing w:after="0" w:line="282" w:lineRule="auto"/>
        <w:rPr>
          <w:sz w:val="20"/>
          <w:szCs w:val="20"/>
          <w:color w:val="auto"/>
        </w:rPr>
      </w:pPr>
      <w:r>
        <w:rPr>
          <w:rFonts w:ascii="Times New Roman" w:cs="Times New Roman" w:eastAsia="Times New Roman" w:hAnsi="Times New Roman"/>
          <w:sz w:val="18"/>
          <w:szCs w:val="18"/>
          <w:color w:val="auto"/>
        </w:rPr>
        <w:t>potential product to market could decrease our ability to generate sufficient product revenue, and our business, financial condition, results of operations and prospects would be materially and adversely affected.</w:t>
      </w:r>
    </w:p>
    <w:p>
      <w:pPr>
        <w:spacing w:after="0" w:line="148"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8"/>
          <w:szCs w:val="18"/>
          <w:color w:val="auto"/>
        </w:rPr>
        <w:t>The FDA continues to develop its approach to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We cannot be certain whether such guidance, or other guidance that the FDA may issue, will be relevant to or have an adverse impact on our gene therapy candidates or the duration or expense of any applicable regulatory development and review processes.</w:t>
      </w:r>
    </w:p>
    <w:p>
      <w:pPr>
        <w:spacing w:after="0" w:line="285" w:lineRule="exact"/>
        <w:rPr>
          <w:sz w:val="20"/>
          <w:szCs w:val="20"/>
          <w:color w:val="auto"/>
        </w:rPr>
      </w:pPr>
    </w:p>
    <w:p>
      <w:pPr>
        <w:jc w:val="both"/>
        <w:ind w:left="520" w:righ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6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7"/>
          <w:szCs w:val="17"/>
          <w:color w:val="auto"/>
        </w:rPr>
        <w:t>During the conduct of clinical trials, patients may experience changes in their health, including illnesses, injuries, discomforts or a fatal outcome. It is possible that as we test our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the Company’s investigational therapies, such as through expanded or Right to Try access, may lead to discovery of undesirable side effects that could have adverse effects on the development programs for current and future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If additional clinical or long-term follow-up experience indicates that any of our product candidates have side effects or cause serious or life-threatening side effects, the development of the product candidate may fail or be delayed, or, if the product candidate has received regulatory approval, such approval may be revoked or limited.</w:t>
      </w:r>
    </w:p>
    <w:p>
      <w:pPr>
        <w:spacing w:after="0" w:line="17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Gene therapy is still a relatively new approach to disease treatment and adverse side effects could develop. A safety concern for gene therapies using lentiviral vectors has been the possibility of insertional oncogenesis, leading to malignant transformation of transduced cells and cellular outgrowth. As more patients are dosed with lentiviral gene therapies, it is expected that very rare cases of insertional oncogenesis may occur. For example, several patients with cerebral adrenoleukodystrophy treated in a third-party lentiviral gene therapy clinical trial have been diagnosed with treatment-related myelodysplastic syndrome to date. In addition, persistent clonal dominance due to vector integration has been observed in third-party lentiviral gene therapy clinical trials. While our lentiviral gene therapy approach is designed to avoid insertional oncogenesis, there can be no assurance that patients will not experience such adverse side effects, including death. In addition, although in the future we may potentially implement molecular cytogenetic screening, there can be no assurance that we will successfully implement such screening procedures in a timely manner or at all, or that, if implemented, they will enhance the safety profile of our gene therapy product candidates. If any of our gene therapy product candidates demonstrates adverse side effects at unacceptable rates or degrees of severity, we may decide or be required to halt or delay clinical development of such product candidates.</w:t>
      </w:r>
    </w:p>
    <w:p>
      <w:pPr>
        <w:spacing w:after="0" w:line="186"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side effects and, among other potential risks, can transiently compromise the patient’s immune system, known as neutropenia, and reduce blood clotting, known as thrombocytopenia.</w:t>
      </w:r>
    </w:p>
    <w:p>
      <w:pPr>
        <w:spacing w:after="0" w:line="195" w:lineRule="exact"/>
        <w:rPr>
          <w:sz w:val="20"/>
          <w:szCs w:val="20"/>
          <w:color w:val="auto"/>
        </w:rPr>
      </w:pPr>
    </w:p>
    <w:p>
      <w:pPr>
        <w:ind w:right="160" w:firstLine="509"/>
        <w:spacing w:after="0" w:line="243" w:lineRule="auto"/>
        <w:rPr>
          <w:sz w:val="20"/>
          <w:szCs w:val="20"/>
          <w:color w:val="auto"/>
        </w:rPr>
      </w:pPr>
      <w:r>
        <w:rPr>
          <w:rFonts w:ascii="Times New Roman" w:cs="Times New Roman" w:eastAsia="Times New Roman" w:hAnsi="Times New Roman"/>
          <w:sz w:val="18"/>
          <w:szCs w:val="18"/>
          <w:color w:val="auto"/>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is designed to utilize a precision dosing program called Target Concentration Intervention, or TCI, to achieve a balance between the removal of a sufficient amount of bone marrow cells from a patient against potential risks such as toxicity or graft failure. In addition, we are evaluating the potential future use of alternative conditioning agents in lieu of the current busulfan TCI conditioning regimen. For example, we have entered into collaboration agreements with Jasper Therapeutics and Magenta Therapeutics and are currently evaluating the potential use of their respective monoclonal antibody conditioning agents. We are also evaluating the potential use of additional agents to tailor the conditioning regimen for certain disease indications. However,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 w:name="page41"/>
    <w:bookmarkEnd w:id="40"/>
    <w:p>
      <w:pPr>
        <w:spacing w:after="0" w:line="242" w:lineRule="auto"/>
        <w:rPr>
          <w:sz w:val="20"/>
          <w:szCs w:val="20"/>
          <w:color w:val="auto"/>
        </w:rPr>
      </w:pPr>
      <w:r>
        <w:rPr>
          <w:rFonts w:ascii="Times New Roman" w:cs="Times New Roman" w:eastAsia="Times New Roman" w:hAnsi="Times New Roman"/>
          <w:sz w:val="18"/>
          <w:szCs w:val="18"/>
          <w:color w:val="auto"/>
        </w:rPr>
        <w:t>there can be no assurances these alternative conditioning regimens will be implemented or would be successful if implemented. Our conditioning regimens may not be successful or may nevertheless result in adverse side effects. For example, in each of our ongoing clinical trials several adverse events, including suppression of neutrophils and platelet counts following the conditioning process, have been observed. While such adverse events in connection with conditioning are expected, if in the future any such adverse events caused by the conditioning process or related procedures continue at unacceptable rates or degrees of severity, the FDA or other foreign regulatory authorities could order us to cease development of, or deny approval of, our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Although in the future we may potentially implement molecular cytogenetic screening as an additional risk reduction measure, there can be no guarantees that these procedures will be implemented in a timely manner or would be successful if implemented. Even if we are able to demonstrate that adverse events are not product-related, such occurrences could adversely affect patient recruitment or the ability of enrolled patients to complete the clinical trial, and lead to a decline in our stock price.</w:t>
      </w:r>
    </w:p>
    <w:p>
      <w:pPr>
        <w:spacing w:after="0" w:line="202" w:lineRule="exact"/>
        <w:rPr>
          <w:sz w:val="20"/>
          <w:szCs w:val="20"/>
          <w:color w:val="auto"/>
        </w:rPr>
      </w:pPr>
    </w:p>
    <w:p>
      <w:pPr>
        <w:jc w:val="both"/>
        <w:ind w:right="360" w:firstLine="509"/>
        <w:spacing w:after="0" w:line="246"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our product candidates, several potentially significant negative consequences could result, including:</w:t>
      </w:r>
    </w:p>
    <w:p>
      <w:pPr>
        <w:spacing w:after="0" w:line="73" w:lineRule="exact"/>
        <w:rPr>
          <w:sz w:val="20"/>
          <w:szCs w:val="20"/>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or boxed warnings on the label;</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distributed, dispensed, or administered or conduct additional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1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lead to a decline in our stock price, and significantly harm our business, prospects, financial condition and results of operations.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never completed a pivotal or registrational clinical trial, and may be unable to do so for any product candidates we may develop.</w:t>
      </w:r>
    </w:p>
    <w:p>
      <w:pPr>
        <w:spacing w:after="0" w:line="108"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are at an early stage of development for all of our product candidates. As of August 1, 2022, only 23 patients have been dosed in our clinical trials, which includes 14 patients from our Fabry program that we deprioritized in January 2022. Our ongoing clinical trials, as well as potentially additional pivotal clinical trials (also referred to as registrational trials), must be completed in order to obtain FDA or other regulatory approval to market these product candidates. We have limited experience in preparing, submitting and prosecuting regulatory filings, and have not previously submitted a biologics license application, or BLA, for any product candidate. Carrying out later-stage clinical trials is a complicated and lengthy process, and we do not expect that all data from patients participating in the clinical trials will be relevant or meaningful.</w:t>
      </w:r>
    </w:p>
    <w:p>
      <w:pPr>
        <w:spacing w:after="0" w:line="195"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In addition, across our Company-sponsored clinical trials we have dosed only three patients in the United States, and our interactions with the FDA have generally been limited. We cannot be certain how many additional clinical trials of AVR-RD-04, AVR-RD-02 or any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While we have received clearance from the FDA to commence clinical testing in the United States for AVR-RD-02 and AVR-RD-04, and the sponsor of the collaborator-led clinical trial for AVR-RD-04 has received the same,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any of our product candidates.</w:t>
      </w:r>
    </w:p>
    <w:p>
      <w:pPr>
        <w:spacing w:after="0" w:line="19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ongoing Phase 1/2 clinical trial of AVR-RD-04 is being conducted by our collaborators at the University of California, San Diego. In addition, the planned Phase 1/2 clinical trial of AVR-RD-05 will be a collaborator-sponsored trial conducted by our</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1" w:name="page42"/>
    <w:bookmarkEnd w:id="41"/>
    <w:p>
      <w:pPr>
        <w:spacing w:after="0" w:line="243" w:lineRule="auto"/>
        <w:rPr>
          <w:sz w:val="20"/>
          <w:szCs w:val="20"/>
          <w:color w:val="auto"/>
        </w:rPr>
      </w:pPr>
      <w:r>
        <w:rPr>
          <w:rFonts w:ascii="Times New Roman" w:cs="Times New Roman" w:eastAsia="Times New Roman" w:hAnsi="Times New Roman"/>
          <w:sz w:val="18"/>
          <w:szCs w:val="18"/>
          <w:color w:val="auto"/>
        </w:rPr>
        <w:t>collaborators at The University of Manchester. We do not control the design or administration of collaborator-sponsored trials, nor the submission or approval of any IND or foreign equivalent required to conduct these trials, and the collaborator-sponsored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these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collaborator-sponsored trials could be useful to inform our own clinical development efforts, there is no guarantee that we will be able to use the data from these trials to form the basis for regulatory approval of our product candidates.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early clinical trials may not be indicative of results obtained in later trials.</w:t>
      </w:r>
    </w:p>
    <w:p>
      <w:pPr>
        <w:spacing w:after="0" w:line="121"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 xml:space="preserve">Results from preclinical studies or early clinical trials are not necessarily predictive of future clinical trial results and are not necessarily indicative of final results.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For example, in January 2022 we announced the deprioritization of our Fabry program due to several factors, including new clinical data showing variable engraftment patterns from the five most recently dosed Phase 2 FAB-GT patients. Although previously reported data from 13 patients treated across our clinical-stage programs had shown durable engraftment out 9 to 54 months, the new data from the five most recently dosed Phase 2 FAB-GT patients were discordant with these other data and showed variable engraftment. Data from three of the five patients showed both a reduction to near baseline levels in alpha-galactosidase A enzyme activity in leukocytes and plasma, and a reduction in vector copy number in whole blood, potentially suggesting resistance to persistent engraftment of the genetically modified cells observed at three to nine months post infusion of AVR-RD-01. Based on our internal assessment, we believe, due to the large degree of heterogeneity in Fabry disease, that in some cases there may be intrinsic resistance to engraftment related to the unique underlying pathophysiology of untreated Fabry disease, potentially caused by the persistently stressed vascular endothelium. However, while this belief is based on a thorough review and analysis conducted by the Company, it remains a hypothesis and there can be no assurances that similar engraftment or other issues will not occur in clinical trials of our other product candidates, which are all based on our technology and the same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lentiviral approach utilized for AVR-RD-01. For example, although we believe the variable engraftment data were caused by factors intrinsic to certain Fabry disease patients and we do not anticipate readthrough to other clinical trials, if the variable engraftment data were actually caused, directly or indirectly, by any other factors, including any aspect of our plato platform or the conditioning process, we could see similar issues in other clinical trials.</w:t>
      </w:r>
    </w:p>
    <w:p>
      <w:pPr>
        <w:spacing w:after="0" w:line="85"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w:t>
      </w:r>
    </w:p>
    <w:p>
      <w:pPr>
        <w:spacing w:after="0" w:line="180"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7"/>
          <w:szCs w:val="17"/>
          <w:color w:val="auto"/>
        </w:rPr>
        <w:t>We also may experience regulatory delays or rejections as a result of many factors, including due to changes in regulatory policy or the approval of competitive therapies during the period of our product candidate development. Any of our current or future product candidates may fail to show the desired safety and efficacy in clinical development despite positive results in preclinical studies. Any such failure would cause us to abandon the product candidate.</w:t>
      </w:r>
    </w:p>
    <w:p>
      <w:pPr>
        <w:spacing w:after="0" w:line="153"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Because our clinical trials are ongoing, the data that we report are preliminary and subject to change. As is typical in open-label studies in which interim reports are provided, the safety and efficacy data are regularly reviewed and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2" w:name="page43"/>
    <w:bookmarkEnd w:id="42"/>
    <w:p>
      <w:pPr>
        <w:ind w:right="300"/>
        <w:spacing w:after="0" w:line="282" w:lineRule="auto"/>
        <w:rPr>
          <w:sz w:val="20"/>
          <w:szCs w:val="20"/>
          <w:color w:val="auto"/>
        </w:rPr>
      </w:pPr>
      <w:r>
        <w:rPr>
          <w:rFonts w:ascii="Times New Roman" w:cs="Times New Roman" w:eastAsia="Times New Roman" w:hAnsi="Times New Roman"/>
          <w:sz w:val="18"/>
          <w:szCs w:val="18"/>
          <w:color w:val="auto"/>
        </w:rPr>
        <w:t>validated. As a result, certain data may change over time, including reductions or increases in the number of reported safety events, until the database is locked at the end of the study.</w:t>
      </w:r>
    </w:p>
    <w:p>
      <w:pPr>
        <w:spacing w:after="0" w:line="252" w:lineRule="exact"/>
        <w:rPr>
          <w:sz w:val="20"/>
          <w:szCs w:val="20"/>
          <w:color w:val="auto"/>
        </w:rPr>
      </w:pPr>
    </w:p>
    <w:p>
      <w:pPr>
        <w:ind w:left="520"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3"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The timing and success of our patient enrollment and clinical trial activities depend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including as a result of the ongoing COVID-19 pandemic, which could result in increased costs, delays in advancing our product candidates, delays in testing the effectiveness of our product candidates or termination of the clinical trials altogether. For example, as a result of the COVID-19 pandemic, patient enrollment and dosing was temporarily paused in our ongoing clinical trials and certain data collection has been delayed. While patient enrollment and dosing activities have resumed, there could be additional pauses in the future as a result of the ongoing COVID-19 pandemic or other factors.</w:t>
      </w:r>
    </w:p>
    <w:p>
      <w:pPr>
        <w:spacing w:after="0" w:line="20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may not be able to identify, recruit and enroll a sufficient number of patients, or those with required or desired characteristics, to complete our clinical trials in a timely manner or at all. Although we currently expect to have enrolled by the end of 2022 up to a total of eight patients in our Company-sponsored clinical trial of AVR-RD-02 for Gaucher disease type 1, which we refer to as the Guard1 clinical trial, there can be no assurances we will achieve that goal or any of our other patient enrollment goals. For example, in 2019 we encountered delays in the enrollment of patients in the Guard1 clinical trial due to patient pre-screening failures that impacted the commencement of enrollment. Additionally, as a result of the COVID-19 pandemic, in 2020 we encountered protracted timelines with our Guard1 investigational site startup activities, which also impacted patient enrollment.</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and trial completion is affected by factors including the:</w:t>
      </w:r>
    </w:p>
    <w:p>
      <w:pPr>
        <w:spacing w:after="0" w:line="104"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enroll patients and conduct studies as a result of the ongoing COVID-19 pandemic;</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03"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gene therapy-based approaches to treatment of diseases, including any required pretreatment conditioning regimens;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genetic testing for potential patients;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subject consent;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22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7"/>
          <w:szCs w:val="17"/>
          <w:color w:val="auto"/>
        </w:rPr>
        <w:t>We have expanded our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We have encountered and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 In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 w:name="page44"/>
    <w:bookmarkEnd w:id="43"/>
    <w:p>
      <w:pPr>
        <w:ind w:right="180"/>
        <w:spacing w:after="0" w:line="258" w:lineRule="auto"/>
        <w:rPr>
          <w:sz w:val="20"/>
          <w:szCs w:val="20"/>
          <w:color w:val="auto"/>
        </w:rPr>
      </w:pPr>
      <w:r>
        <w:rPr>
          <w:rFonts w:ascii="Times New Roman" w:cs="Times New Roman" w:eastAsia="Times New Roman" w:hAnsi="Times New Roman"/>
          <w:sz w:val="18"/>
          <w:szCs w:val="18"/>
          <w:color w:val="auto"/>
        </w:rPr>
        <w:t>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w:t>
      </w:r>
    </w:p>
    <w:p>
      <w:pPr>
        <w:spacing w:after="0" w:line="1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83" w:lineRule="exact"/>
        <w:rPr>
          <w:sz w:val="20"/>
          <w:szCs w:val="20"/>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contract research organizations, or CROs, clinical study sites and physicians;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in some countries of established groups with sufficient regulatory expertise for review of gene therapy protocols;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locate qualified local consultants, physicians and partners; and</w:t>
      </w:r>
    </w:p>
    <w:p>
      <w:pPr>
        <w:spacing w:after="0" w:line="11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62" w:lineRule="exact"/>
        <w:rPr>
          <w:sz w:val="20"/>
          <w:szCs w:val="20"/>
          <w:color w:val="auto"/>
        </w:rPr>
      </w:pPr>
    </w:p>
    <w:p>
      <w:pPr>
        <w:jc w:val="both"/>
        <w:ind w:right="420" w:firstLine="509"/>
        <w:spacing w:after="0" w:line="312" w:lineRule="auto"/>
        <w:rPr>
          <w:sz w:val="20"/>
          <w:szCs w:val="20"/>
          <w:color w:val="auto"/>
        </w:rPr>
      </w:pPr>
      <w:r>
        <w:rPr>
          <w:rFonts w:ascii="Times New Roman" w:cs="Times New Roman" w:eastAsia="Times New Roman" w:hAnsi="Times New Roman"/>
          <w:sz w:val="17"/>
          <w:szCs w:val="17"/>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0" w:lineRule="exact"/>
        <w:rPr>
          <w:sz w:val="20"/>
          <w:szCs w:val="20"/>
          <w:color w:val="auto"/>
        </w:rPr>
      </w:pPr>
    </w:p>
    <w:p>
      <w:pPr>
        <w:ind w:left="520"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3"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69"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 a result of the ongoing COVID-19 pandemic;</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study sites;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or IRB, approval at each clinical study site;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our clinical studies;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agencies, after an inspection of our clinical study operations or study sites;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adhere to clinical study requirements;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good clinical practices, or GCP, or applicable regulatory guidelines in other countries;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clinical sites;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study or return for post-treatment follow-up;</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study sites or patients dropping out of a study;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serious adverse events associated with the product candidate that are viewed to outweigh its potential benefits;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1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4" w:name="page45"/>
    <w:bookmarkEnd w:id="44"/>
    <w:p>
      <w:pPr>
        <w:spacing w:after="0" w:line="241" w:lineRule="auto"/>
        <w:rPr>
          <w:sz w:val="20"/>
          <w:szCs w:val="20"/>
          <w:color w:val="auto"/>
        </w:rPr>
      </w:pPr>
      <w:r>
        <w:rPr>
          <w:rFonts w:ascii="Times New Roman" w:cs="Times New Roman" w:eastAsia="Times New Roman" w:hAnsi="Times New Roman"/>
          <w:sz w:val="18"/>
          <w:szCs w:val="18"/>
          <w:color w:val="auto"/>
        </w:rPr>
        <w:t>bridge our modified product candidates to earlier versions, which could delay our clinical development plan or marketing approval for our product candidates. For example, we have transitioned our lentiviral vectors to an LV2 version in connection with our plato platform implementation.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CTA (including amendments) and IND for our Guard1 clinical study of AVR-RD-02 for Gaucher disease in Canada and the United States, for which Health Canada has issued no objection letters and the FDA has cleared, respectively, included data utilizing LV2 and our automated manufacturing platform. While these applications included data relating to our LV2 lentiviral vector and our automated manufacturing process, which are elements of our plato platform, we expect that the FDA, Health Canada or other regulatory authorities will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collaborator-sponsored clinical study of AVR-RD-04 for cystinosis in the United States, which has been cleared by the FDA, does not include our LV2 lentiviral vector or our automated manufacturing platform. Additionally, the study drug for the planned collaborator-sponsored clinical study of AVR-RD-05 for Hunter syndrome will not be manufactured using our plato platform, and neither the automated, closed manufacturing system nor LV2 will be used in connection with this clinical trial. Moreover, we are currently evaluating the implementation of an additional, new conditioning regimen that utilizes conditioning agents other than busulfan. We anticipate that we will be required to submit comparability data in future regulatory filings relating to our transition to LV2, the automated manufacturing platform and any new conditioning regiment that we implement.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 results of our clinical studies are inconclusive or if there are safety concerns or adverse events associated with our product candidates, we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w:t>
      </w:r>
    </w:p>
    <w:p>
      <w:pPr>
        <w:spacing w:after="0" w:line="84"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if at all;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with the way the product is administered;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studies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their approval of the product or impose restrictions on its distribution in the form of a REMS;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12" w:lineRule="exact"/>
        <w:rPr>
          <w:sz w:val="20"/>
          <w:szCs w:val="20"/>
          <w:color w:val="auto"/>
        </w:rPr>
      </w:pPr>
    </w:p>
    <w:p>
      <w:pPr>
        <w:ind w:right="76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and impair our ability to commercialize our products.</w:t>
      </w:r>
    </w:p>
    <w:p>
      <w:pPr>
        <w:spacing w:after="0" w:line="280" w:lineRule="exact"/>
        <w:rPr>
          <w:sz w:val="20"/>
          <w:szCs w:val="20"/>
          <w:color w:val="auto"/>
        </w:rPr>
      </w:pPr>
    </w:p>
    <w:p>
      <w:pPr>
        <w:ind w:left="520" w:right="9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50"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5" w:name="page46"/>
    <w:bookmarkEnd w:id="4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Only one of our ongoing clinical trials utilizes our commercial-scale plato platform.</w:t>
      </w:r>
    </w:p>
    <w:p>
      <w:pPr>
        <w:spacing w:after="0" w:line="121"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While we have submitted and intend to continue to submit comparability studies to the FDA and other regulatory agencies, as needed, with respect to our implementation of our commercial-scale plato platform, there can be no assurance that the FDA or other regulatory agencies will not in the future require us to conduct additional preclinical studies or clinical trials that could result in delays and additional costs in our development or commercialization programs for our product candidates, which could adversely affect our business. We intend to continue implementing our commercial-scale plato platform, including heightened vector efficiency, our closed, automated manufacturing system and utilization of a customized conditioning regimen, in connection with each of our investigational product candidates. We have developed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have been and will be required to conduct additional studies to bridge our modified product candidates to earlier versions, which could delay our clinical development plans or marketing approvals, if any.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296" w:lineRule="exact"/>
        <w:rPr>
          <w:sz w:val="20"/>
          <w:szCs w:val="20"/>
          <w:color w:val="auto"/>
        </w:rPr>
      </w:pPr>
    </w:p>
    <w:p>
      <w:pPr>
        <w:ind w:left="520"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6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7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anticipate competing with the largest pharmaceutical companies in the world. For example, for Gaucher disease, Sanofi Genzyme, Pfizer, and Takeda market existing enzyme replacement therapies, or ERTs, that represent the standard of care for Gaucher patients. For Gaucher disease we also expect to compete with oral therapies marketed by Actelion and Sanofi. Sanofi also markets an enzyme replacement therapy for Pompe disease, and Takeda markets an enzyme replacement therapy for Hunter syndrome. Denali Therapeutics has an ERT in late-stage clinical development for Hunter syndrome. Cystinosis is currently treated by therapies marketed by Horizon Orphan, Mylan, Chiesi, Recordati, Orphan Europe and Leadiant Biosciences. In addition, we may compete with other gene therapy companies in our industry such as Freeline Therapeutics, Generation Bio, Prevail Therapeutics or Graphite Bio. Freeline Therapeutics, for example, is developing an adeno-associated virus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AAV”) based gene therapy for Gaucher disease type 1. Moreover, a number of gene therapy companies have announced preclinical or clinical non-viral AAV based gene therapy programs that, if successful in obtaining regulatory approval, could compete with our gene therapies.</w:t>
      </w:r>
    </w:p>
    <w:p>
      <w:pPr>
        <w:spacing w:after="0" w:line="201" w:lineRule="exact"/>
        <w:rPr>
          <w:sz w:val="20"/>
          <w:szCs w:val="20"/>
          <w:color w:val="auto"/>
        </w:rPr>
      </w:pPr>
    </w:p>
    <w:p>
      <w:pPr>
        <w:jc w:val="both"/>
        <w:ind w:right="120" w:firstLine="509"/>
        <w:spacing w:after="0" w:line="247"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w:t>
      </w:r>
    </w:p>
    <w:p>
      <w:pPr>
        <w:spacing w:after="0" w:line="241" w:lineRule="auto"/>
        <w:rPr>
          <w:sz w:val="20"/>
          <w:szCs w:val="20"/>
          <w:color w:val="auto"/>
        </w:rPr>
      </w:pPr>
      <w:r>
        <w:rPr>
          <w:rFonts w:ascii="Times New Roman" w:cs="Times New Roman" w:eastAsia="Times New Roman" w:hAnsi="Times New Roman"/>
          <w:sz w:val="18"/>
          <w:szCs w:val="18"/>
          <w:color w:val="auto"/>
        </w:rPr>
        <w:t>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84"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6" w:name="page47"/>
    <w:bookmarkEnd w:id="46"/>
    <w:p>
      <w:pPr>
        <w:ind w:left="5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80"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82"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85"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In July 2021 we received Fast Track Designation from the FDA for AVR-RD-04 for the treatment of cystinosis to improve renal function. However, the FDA has broad discretion whether or not to grant this designation, so even if we believe another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200"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7" w:name="page48"/>
    <w:bookmarkEnd w:id="47"/>
    <w:p>
      <w:pPr>
        <w:ind w:left="5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37"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86"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In October 2019 and March 2020, the FDA granted our requests for orphan drug designation for AVR-RD-02 for the treatment of Gaucher disease and AVR-RD-04 for the treatment of cystinosis, respectively. Additionally, in July 2022, we announced that the FDA granted our request for orphan drug designation for AVR-RD-05 for the treatment of Hunter syndrome. In September 2020 and March 2021 we announced that the European Commission granted our request for orphan drug designation for AVR-RD-02 for the treatment of Gaucher disease and AVR-RD-04 for the treatment of cystinosis, respectively. However, if we request orphan drug designation (or the foreign equivalent) for any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5"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applicable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nine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20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73" w:lineRule="exact"/>
        <w:rPr>
          <w:sz w:val="20"/>
          <w:szCs w:val="20"/>
          <w:color w:val="auto"/>
        </w:rPr>
      </w:pPr>
    </w:p>
    <w:p>
      <w:pPr>
        <w:ind w:left="900" w:right="60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40"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67" w:lineRule="exact"/>
        <w:rPr>
          <w:rFonts w:ascii="Times New Roman" w:cs="Times New Roman" w:eastAsia="Times New Roman" w:hAnsi="Times New Roman"/>
          <w:sz w:val="18"/>
          <w:szCs w:val="18"/>
          <w:color w:val="auto"/>
        </w:rPr>
      </w:pPr>
    </w:p>
    <w:p>
      <w:pPr>
        <w:ind w:left="900" w:right="360" w:hanging="383"/>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266" w:lineRule="exact"/>
        <w:rPr>
          <w:sz w:val="20"/>
          <w:szCs w:val="20"/>
          <w:color w:val="auto"/>
        </w:rPr>
      </w:pPr>
    </w:p>
    <w:p>
      <w:pPr>
        <w:ind w:left="5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received rare pediatric disease designation for AVR-RD-05 for the treatment of Hunter syndrome. However, a marketing application for AVR-RD-05, if approved, may not meet the eligibility criteria for a Priority Review Voucher, or PRV, or the rare pediatric disease designation program may sunset before FDA is able consider us for a voucher.</w:t>
      </w:r>
    </w:p>
    <w:p>
      <w:pPr>
        <w:spacing w:after="0" w:line="6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received rare pediatric disease designation for AVR-RD-05 for the treatment of Hunter syndrome. Designation of a drug or biologic as a product for a rare pediatric disease does not guarantee that a BLA for such drug or biologic will meet the eligibility criteria for a rare pediatric disease PRV at the time the application is approved. Under the FDCA, we will need to request a</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8" w:name="page49"/>
    <w:bookmarkEnd w:id="48"/>
    <w:p>
      <w:pPr>
        <w:ind w:right="420"/>
        <w:spacing w:after="0" w:line="282" w:lineRule="auto"/>
        <w:rPr>
          <w:sz w:val="20"/>
          <w:szCs w:val="20"/>
          <w:color w:val="auto"/>
        </w:rPr>
      </w:pPr>
      <w:r>
        <w:rPr>
          <w:rFonts w:ascii="Times New Roman" w:cs="Times New Roman" w:eastAsia="Times New Roman" w:hAnsi="Times New Roman"/>
          <w:sz w:val="18"/>
          <w:szCs w:val="18"/>
          <w:color w:val="auto"/>
        </w:rPr>
        <w:t>rare pediatric disease PRV in our original BLA for AVR-RD-05. The FDA may determine that a BLA for AVR-RD-05, if approved, does not meet the eligibility criteria for a PRV, including for the following reasons:</w:t>
      </w:r>
    </w:p>
    <w:p>
      <w:pPr>
        <w:spacing w:after="0" w:line="40"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Hunter syndrome no longer meets the definition of a rare pediatric disease;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contains an active ingredient that has been previously approved in a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is not deemed eligible for priority review;</w:t>
      </w:r>
    </w:p>
    <w:p>
      <w:pPr>
        <w:spacing w:after="0" w:line="103" w:lineRule="exact"/>
        <w:rPr>
          <w:rFonts w:ascii="Times New Roman" w:cs="Times New Roman" w:eastAsia="Times New Roman" w:hAnsi="Times New Roman"/>
          <w:sz w:val="18"/>
          <w:szCs w:val="18"/>
          <w:color w:val="auto"/>
        </w:rPr>
      </w:pPr>
    </w:p>
    <w:p>
      <w:pPr>
        <w:ind w:left="1020" w:right="38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is approved for a different adult indication than the rare pediatric disease for which AVR-RD-05 is designated.</w:t>
      </w:r>
    </w:p>
    <w:p>
      <w:pPr>
        <w:spacing w:after="0" w:line="104" w:lineRule="exact"/>
        <w:rPr>
          <w:sz w:val="20"/>
          <w:szCs w:val="20"/>
          <w:color w:val="auto"/>
        </w:rPr>
      </w:pPr>
    </w:p>
    <w:p>
      <w:pPr>
        <w:jc w:val="both"/>
        <w:ind w:right="220" w:firstLine="509"/>
        <w:spacing w:after="0" w:line="250" w:lineRule="auto"/>
        <w:rPr>
          <w:sz w:val="20"/>
          <w:szCs w:val="20"/>
          <w:color w:val="auto"/>
        </w:rPr>
      </w:pPr>
      <w:r>
        <w:rPr>
          <w:rFonts w:ascii="Times New Roman" w:cs="Times New Roman" w:eastAsia="Times New Roman" w:hAnsi="Times New Roman"/>
          <w:sz w:val="18"/>
          <w:szCs w:val="18"/>
          <w:color w:val="auto"/>
        </w:rPr>
        <w:t>The authority for the FDA to award rare pediatric disease PRVs for drugs that have received rare pediatric disease designation prior to September 30, 2024 currently expires on September 30, 2026. If the BLA for AVR-RD-05 is not approved prior to September 30, 2026 for any reason, regardless of whether it meets the criteria for a rare pediatric disease PRV, it will not be eligible for a PRV. However, it is also possible the authority for FDA to award rare pediatric disease PRVs will be further extended through federal lawmaking.</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regulatory oversight.</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20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any of our product candidates, a regulatory authority may:</w:t>
      </w:r>
    </w:p>
    <w:p>
      <w:pPr>
        <w:spacing w:after="0" w:line="104"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warning letter asserting that we are in violation of the law;</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comparable foreign marketing application (or any supplements thereto) submitted by us or our strategic partners;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product or otherwise require the withdrawal of the product from the market;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products; or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9" w:name="page50"/>
    <w:bookmarkEnd w:id="49"/>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225" w:lineRule="exact"/>
        <w:rPr>
          <w:sz w:val="20"/>
          <w:szCs w:val="20"/>
          <w:color w:val="auto"/>
        </w:rPr>
      </w:pPr>
    </w:p>
    <w:p>
      <w:pPr>
        <w:jc w:val="both"/>
        <w:ind w:right="100" w:firstLine="509"/>
        <w:spacing w:after="0" w:line="250"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90"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6" w:lineRule="exact"/>
        <w:rPr>
          <w:sz w:val="20"/>
          <w:szCs w:val="20"/>
          <w:color w:val="auto"/>
        </w:rPr>
      </w:pPr>
    </w:p>
    <w:p>
      <w:pPr>
        <w:ind w:left="5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3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As part of our growth strategy, we intend to identify, develop and market additional product candidates beyond our existing product candidates.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our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8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6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Accordingly, our focus on treating these diseases may not result in the development of commercially viable products.</w:t>
      </w:r>
    </w:p>
    <w:p>
      <w:pPr>
        <w:spacing w:after="0" w:line="177"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104" w:lineRule="exact"/>
        <w:rPr>
          <w:sz w:val="20"/>
          <w:szCs w:val="20"/>
          <w:color w:val="auto"/>
        </w:rPr>
      </w:pPr>
    </w:p>
    <w:p>
      <w:pPr>
        <w:ind w:left="520" w:right="8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3"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9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applicable process and specifications. Problems with the manufacturing process, including even minor deviations from the intended process, could result in product defects or manufacturing failures that result in lot failures, product recalls, product liability claims or insufficient inventory. We may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0" w:name="page51"/>
    <w:bookmarkEnd w:id="50"/>
    <w:p>
      <w:pPr>
        <w:ind w:right="600"/>
        <w:spacing w:after="0" w:line="282" w:lineRule="auto"/>
        <w:rPr>
          <w:sz w:val="20"/>
          <w:szCs w:val="20"/>
          <w:color w:val="auto"/>
        </w:rPr>
      </w:pPr>
      <w:r>
        <w:rPr>
          <w:rFonts w:ascii="Times New Roman" w:cs="Times New Roman" w:eastAsia="Times New Roman" w:hAnsi="Times New Roman"/>
          <w:sz w:val="18"/>
          <w:szCs w:val="18"/>
          <w:color w:val="auto"/>
        </w:rPr>
        <w:t>encounter problems achieving adequate quantities and quality of clinical-grade materials that meet FDA or other applicable regulatory standards or specifications with consistent and acceptable production yields and costs.</w:t>
      </w:r>
    </w:p>
    <w:p>
      <w:pPr>
        <w:spacing w:after="0" w:line="14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04" w:lineRule="exact"/>
        <w:rPr>
          <w:sz w:val="20"/>
          <w:szCs w:val="20"/>
          <w:color w:val="auto"/>
        </w:rPr>
      </w:pPr>
    </w:p>
    <w:p>
      <w:pPr>
        <w:ind w:left="520"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6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Any of these third parties may terminate their engagements with us or renegotiate the terms of our agreements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73"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Even with relevant experience and expertise, our third-party manufacturers may encounter difficulties in production, such as initial production, managing the transition from early to late-stage clinical and commercial manufacturing, and ensuring that the product meets required specifications. These difficulties may include delays, failure or inability achieving production yields, establishing and maintaining stage-appropriate cGMP quality procedures, operator error, shortages of qualified personnel, and compliance with federal, state and foreign regulations. We cannot make any assurances that these difficulties will not occur in the future, or that we will be able to resolve or address them in a timely manner or at all as problems arise.</w:t>
      </w:r>
    </w:p>
    <w:p>
      <w:pPr>
        <w:spacing w:after="0" w:line="195"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2019 we encountered delays in the enrollment of patients in the Company-sponsored Guard1 clinical trial of AVR-RD-02 for Gaucher disease. While a number of interested patients had been identified for the Guard1 clinical trial, we encountered patient pre-screening failures that impacted the commencement of enrollment in these studies. Additionally, as a result of the COVID-19 pandemic, in 2020 we encountered protracted timelines with our investigational site startup activities for our Guard1 clinical trial, which also impacted patient enrollment. In 2020, a kidney biopsy was conducted on the third patient in the FAB-GT clinical trial of AVR-RD-01, but due to human error in processing the biopsy sample at the external laboratory vendor, the kidney Gb3 inclusions could not be evaluated and anticipated data was not available.</w:t>
      </w:r>
    </w:p>
    <w:p>
      <w:pPr>
        <w:spacing w:after="0" w:line="187"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risks to which we would not be subject if we manufactured the product candidates ourselves, including:</w:t>
      </w:r>
    </w:p>
    <w:p>
      <w:pPr>
        <w:spacing w:after="0" w:line="40" w:lineRule="exact"/>
        <w:rPr>
          <w:sz w:val="20"/>
          <w:szCs w:val="20"/>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negotiate manufacturing agreements with third parties under commercially reasonable terms;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as a result of using third-party manufacturers for all aspects of manufacturing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 and</w:t>
      </w:r>
    </w:p>
    <w:p>
      <w:pPr>
        <w:spacing w:after="0" w:line="103" w:lineRule="exact"/>
        <w:rPr>
          <w:rFonts w:ascii="Times New Roman" w:cs="Times New Roman" w:eastAsia="Times New Roman" w:hAnsi="Times New Roman"/>
          <w:sz w:val="18"/>
          <w:szCs w:val="18"/>
          <w:color w:val="auto"/>
        </w:rPr>
      </w:pPr>
    </w:p>
    <w:p>
      <w:pPr>
        <w:ind w:left="900" w:right="58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impact of the ongoing COVID-19 pandemic or the bankruptcy of the manufacturer or supplier.</w:t>
      </w:r>
    </w:p>
    <w:p>
      <w:pPr>
        <w:spacing w:after="0" w:line="176"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51" w:name="page52"/>
    <w:bookmarkEnd w:id="51"/>
    <w:p>
      <w:pPr>
        <w:ind w:left="520"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sole source suppliers for our automated, closed cell processing system; vector supply; plasmid supply; cell culture media supply; and drug product manufacturing. In addition, we are dependent on a limited number of suppliers for some of our other components and materials used in our product candidates.</w:t>
      </w:r>
    </w:p>
    <w:p>
      <w:pPr>
        <w:spacing w:after="0" w:line="60"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have moved our cell processing to an automated, closed system with a sole source supplier. In addition, we currently rely, and expect to continue to rely, on sole source suppliers for vector supply, plasmid supply and cell culture media, as well as drug product manufacturing for our Company-sponsored clinical trials. Our sole source suppliers may be unwilling or unable to supply product to us reliably, continuously or at the levels we anticipate or are required by our clinical trial activities. Although we have entered into written supply agreements with our sole source suppliers, such suppliers could still delay, suspend, or terminate supply of product to us for a number of reasons, including manufacturing or quality issues, payment disputes with us, intellectual property disputes with third parties, bankruptcy or insolvency, earthquakes or other natural disasters or other occurrences.</w:t>
      </w:r>
    </w:p>
    <w:p>
      <w:pPr>
        <w:spacing w:after="0" w:line="72" w:lineRule="exact"/>
        <w:rPr>
          <w:sz w:val="20"/>
          <w:szCs w:val="20"/>
          <w:color w:val="auto"/>
        </w:rPr>
      </w:pPr>
    </w:p>
    <w:p>
      <w:pPr>
        <w:ind w:firstLine="554"/>
        <w:spacing w:after="0" w:line="244" w:lineRule="auto"/>
        <w:rPr>
          <w:sz w:val="20"/>
          <w:szCs w:val="20"/>
          <w:color w:val="auto"/>
        </w:rPr>
      </w:pPr>
      <w:r>
        <w:rPr>
          <w:rFonts w:ascii="Times New Roman" w:cs="Times New Roman" w:eastAsia="Times New Roman" w:hAnsi="Times New Roman"/>
          <w:sz w:val="18"/>
          <w:szCs w:val="18"/>
          <w:color w:val="auto"/>
        </w:rPr>
        <w:t>In addition, we currently depend on a limited number of suppliers for some of the other components necessary for our product candidates. We cannot be sure that any of our suppliers will remain in business, or that they will not be purchased by one of our competitors or another company that is not interested in continuing to produce these materials for our intended purpose. Our use of a sole source or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equipment. Any of our vendors may be unable or unwilling to meet our future demands for our clinical trials or commercial sale. Establishing additional or replacement suppliers for these components and materials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85"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If we are required to switch to a replacement supplier or manufacture materials ourselves, the manufacture and delivery of our product candidates could be interrupted for an extended period, adversely affecting our business. Establishing additional or replacement suppliers may not be accomplished quickly, and we may not be able to enter agreements with replacement suppliers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If we are able to find a replacement supplier, the replacement supplier would need to be qualified and may require additional regulatory authority approval, which could result in further delay. For example, the FDA could require additional supplemental bridging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20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reliance on suppliers subjects us to a number of risks that could harm our reputation, business, and financial condition, including, among other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things:</w:t>
      </w:r>
    </w:p>
    <w:p>
      <w:pPr>
        <w:spacing w:after="0" w:line="84" w:lineRule="exact"/>
        <w:rPr>
          <w:sz w:val="20"/>
          <w:szCs w:val="20"/>
          <w:color w:val="auto"/>
        </w:rPr>
      </w:pPr>
    </w:p>
    <w:p>
      <w:pPr>
        <w:ind w:left="900" w:right="76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production, supply, shipment or delivery as a result of the ongoing COVID-19 pandemic or trade sanctions, embargoes, and heightened export requirements resulting from the war in Ukraine;</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supplier’s operations;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supplier’s variation in a component;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for key components with our suppliers;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supply in a timely manner, or to obtain adequate supply on commercially reasonable terms;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associated with locating and qualifying alternative suppliers for our components in a timely manner;</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delays related to the evaluation and testing of products from alternative suppliers, and corresponding regulatory qualifications;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our suppliers prioritizing other customer orders over ours;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components produced by our suppliers;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52" w:name="page53"/>
    <w:bookmarkEnd w:id="52"/>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 based upon defects in components produced by our suppliers;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us or their other customers.</w:t>
      </w:r>
    </w:p>
    <w:p>
      <w:pPr>
        <w:spacing w:after="0" w:line="21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80" w:lineRule="exact"/>
        <w:rPr>
          <w:sz w:val="20"/>
          <w:szCs w:val="20"/>
          <w:color w:val="auto"/>
        </w:rPr>
      </w:pPr>
    </w:p>
    <w:p>
      <w:pPr>
        <w:ind w:left="520" w:right="5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5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currently rely on sole source suppliers of our automated, closed cell processing system; vector supply; plasmid supply; cell culture media; as well as drug product manufacturing for our Company-sponsored clinical trials. In addition, we currently depend on a limited number of suppliers for some of the other components necessary for our product candidates. Each of our suppliers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95"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or if the FDA is unable to conduct such an inspection due to the ongoing COVID-19 pandemic, the FDA may issue a complete response letter or defer action on our applications, and approval of the products may be delayed or may not be granted.</w:t>
      </w:r>
    </w:p>
    <w:p>
      <w:pPr>
        <w:spacing w:after="0" w:line="190"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69"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520"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50"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3" w:name="page54"/>
    <w:bookmarkEnd w:id="53"/>
    <w:p>
      <w:pPr>
        <w:ind w:right="160"/>
        <w:spacing w:after="0" w:line="282" w:lineRule="auto"/>
        <w:rPr>
          <w:sz w:val="20"/>
          <w:szCs w:val="20"/>
          <w:color w:val="auto"/>
        </w:rPr>
      </w:pPr>
      <w:r>
        <w:rPr>
          <w:rFonts w:ascii="Times New Roman" w:cs="Times New Roman" w:eastAsia="Times New Roman" w:hAnsi="Times New Roman"/>
          <w:sz w:val="18"/>
          <w:szCs w:val="18"/>
          <w:color w:val="auto"/>
        </w:rPr>
        <w:t>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4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77"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left="520"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distribution and marketing capabilities or enter into agreements with third parties to market and sell our product candidates, we will be unable to generate any product revenue.</w:t>
      </w:r>
    </w:p>
    <w:p>
      <w:pPr>
        <w:spacing w:after="0" w:line="5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To successfully commercialize any of our current or future product candidates, if approved, we will need to develop our commercial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306" w:lineRule="exact"/>
        <w:rPr>
          <w:sz w:val="20"/>
          <w:szCs w:val="20"/>
          <w:color w:val="auto"/>
        </w:rPr>
      </w:pPr>
    </w:p>
    <w:p>
      <w:pPr>
        <w:ind w:left="520"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5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focus our research and product development on treatments for serious lysosomal disorders.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with our products, patients may become increasingly difficult to identify and access, and any approval we receive from regulatory agencies may be for a narrower indication and smaller patient population than anticipated, all of which would adversely affect our business, financial condition, results of operations and prospects.</w:t>
      </w:r>
    </w:p>
    <w:p>
      <w:pPr>
        <w:spacing w:after="0" w:line="299" w:lineRule="exact"/>
        <w:rPr>
          <w:sz w:val="20"/>
          <w:szCs w:val="20"/>
          <w:color w:val="auto"/>
        </w:rPr>
      </w:pPr>
    </w:p>
    <w:p>
      <w:pPr>
        <w:ind w:left="520"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50"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87" w:lineRule="exact"/>
        <w:rPr>
          <w:sz w:val="20"/>
          <w:szCs w:val="20"/>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potential advantages over alternative treatments, including any similar generic treatments;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as demonstrated in pivotal clinical trials and published in peer-reviewed journals;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4" w:name="page55"/>
    <w:bookmarkEnd w:id="54"/>
    <w:p>
      <w:pPr>
        <w:ind w:left="900" w:right="42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resulting from the conditioning regimen for the administration of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the products for sale at competitive prices;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by the FDA or comparable regulatory agencies;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dosing and administration compared to alternative treatments;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how the product is distributed;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third-party insurance coverage and sufficient reimbursement.</w:t>
      </w:r>
    </w:p>
    <w:p>
      <w:pPr>
        <w:spacing w:after="0" w:line="225"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81"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1" w:lineRule="exact"/>
        <w:rPr>
          <w:sz w:val="20"/>
          <w:szCs w:val="20"/>
          <w:color w:val="auto"/>
        </w:rPr>
      </w:pPr>
    </w:p>
    <w:p>
      <w:pPr>
        <w:ind w:left="520"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are currently conducting clinical trials for our product candidates in the United States, Canada and Australia, and plan to expand to other geographies.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86"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and biologics in foreign countries;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0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55" w:name="page56"/>
    <w:bookmarkEnd w:id="55"/>
    <w:p>
      <w:pPr>
        <w:ind w:left="520"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6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See section entitled “</w:t>
      </w:r>
      <w:r>
        <w:rPr>
          <w:rFonts w:ascii="Times New Roman" w:cs="Times New Roman" w:eastAsia="Times New Roman" w:hAnsi="Times New Roman"/>
          <w:sz w:val="18"/>
          <w:szCs w:val="18"/>
          <w:i w:val="1"/>
          <w:iCs w:val="1"/>
          <w:color w:val="auto"/>
        </w:rPr>
        <w:t>Business – Government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 Coverage and Reimbursement</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20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medicines are typically made by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w:t>
      </w:r>
    </w:p>
    <w:p>
      <w:pPr>
        <w:spacing w:after="0" w:line="186" w:lineRule="exact"/>
        <w:rPr>
          <w:sz w:val="20"/>
          <w:szCs w:val="20"/>
          <w:color w:val="auto"/>
        </w:rPr>
      </w:pPr>
    </w:p>
    <w:p>
      <w:pPr>
        <w:ind w:right="140" w:firstLine="509"/>
        <w:spacing w:after="0" w:line="241"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206"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56" w:name="page57"/>
    <w:bookmarkEnd w:id="56"/>
    <w:p>
      <w:pPr>
        <w:ind w:right="680"/>
        <w:spacing w:after="0" w:line="282" w:lineRule="auto"/>
        <w:rPr>
          <w:sz w:val="20"/>
          <w:szCs w:val="20"/>
          <w:color w:val="auto"/>
        </w:rPr>
      </w:pPr>
      <w:r>
        <w:rPr>
          <w:rFonts w:ascii="Times New Roman" w:cs="Times New Roman" w:eastAsia="Times New Roman" w:hAnsi="Times New Roman"/>
          <w:sz w:val="18"/>
          <w:szCs w:val="18"/>
          <w:color w:val="auto"/>
        </w:rPr>
        <w:t>and surgical procedures and other treatments, has become very intense. As a result, increasingly high barriers are being erected to the entry of new products.</w:t>
      </w:r>
    </w:p>
    <w:p>
      <w:pPr>
        <w:spacing w:after="0" w:line="252" w:lineRule="exact"/>
        <w:rPr>
          <w:sz w:val="20"/>
          <w:szCs w:val="20"/>
          <w:color w:val="auto"/>
        </w:rPr>
      </w:pPr>
    </w:p>
    <w:p>
      <w:pPr>
        <w:ind w:left="520"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3"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285" w:lineRule="exact"/>
        <w:rPr>
          <w:sz w:val="20"/>
          <w:szCs w:val="20"/>
          <w:color w:val="auto"/>
        </w:rPr>
      </w:pPr>
    </w:p>
    <w:p>
      <w:pPr>
        <w:ind w:left="520"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 xml:space="preserve">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See Section entitled </w:t>
      </w:r>
      <w:r>
        <w:rPr>
          <w:rFonts w:ascii="Times New Roman" w:cs="Times New Roman" w:eastAsia="Times New Roman" w:hAnsi="Times New Roman"/>
          <w:sz w:val="18"/>
          <w:szCs w:val="18"/>
          <w:i w:val="1"/>
          <w:iCs w:val="1"/>
          <w:color w:val="auto"/>
        </w:rPr>
        <w:t>“Business - Government Regulation – Healthcare Reform.”</w:t>
      </w:r>
      <w:r>
        <w:rPr>
          <w:rFonts w:ascii="Times New Roman" w:cs="Times New Roman" w:eastAsia="Times New Roman" w:hAnsi="Times New Roman"/>
          <w:sz w:val="18"/>
          <w:szCs w:val="18"/>
          <w:color w:val="auto"/>
        </w:rPr>
        <w:t xml:space="preserve"> We cannot predict the initiatives that may be adopted in the future.</w:t>
      </w:r>
    </w:p>
    <w:p>
      <w:pPr>
        <w:spacing w:after="0" w:line="195" w:lineRule="exact"/>
        <w:rPr>
          <w:sz w:val="20"/>
          <w:szCs w:val="20"/>
          <w:color w:val="auto"/>
        </w:rPr>
      </w:pPr>
    </w:p>
    <w:p>
      <w:pPr>
        <w:ind w:right="260" w:firstLine="509"/>
        <w:spacing w:after="0" w:line="246"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1" w:lineRule="exact"/>
        <w:rPr>
          <w:sz w:val="20"/>
          <w:szCs w:val="20"/>
          <w:color w:val="auto"/>
        </w:rPr>
      </w:pPr>
    </w:p>
    <w:p>
      <w:pPr>
        <w:ind w:left="1260" w:hanging="368"/>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7" w:lineRule="exact"/>
        <w:rPr>
          <w:rFonts w:ascii="Times New Roman" w:cs="Times New Roman" w:eastAsia="Times New Roman" w:hAnsi="Times New Roman"/>
          <w:sz w:val="18"/>
          <w:szCs w:val="18"/>
          <w:color w:val="auto"/>
        </w:rPr>
      </w:pPr>
    </w:p>
    <w:p>
      <w:pPr>
        <w:ind w:left="1260" w:hanging="368"/>
        <w:spacing w:after="0" w:line="236"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ind w:left="1260" w:hanging="368"/>
        <w:spacing w:after="0" w:line="234"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ind w:left="1260" w:hanging="368"/>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80"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95"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95" w:lineRule="exact"/>
        <w:rPr>
          <w:sz w:val="20"/>
          <w:szCs w:val="20"/>
          <w:color w:val="auto"/>
        </w:rPr>
      </w:pPr>
    </w:p>
    <w:p>
      <w:pPr>
        <w:ind w:right="400" w:firstLine="509"/>
        <w:spacing w:after="0" w:line="246" w:lineRule="auto"/>
        <w:rPr>
          <w:sz w:val="20"/>
          <w:szCs w:val="20"/>
          <w:color w:val="auto"/>
        </w:rPr>
      </w:pPr>
      <w:r>
        <w:rPr>
          <w:rFonts w:ascii="Times New Roman" w:cs="Times New Roman" w:eastAsia="Times New Roman" w:hAnsi="Times New Roman"/>
          <w:sz w:val="18"/>
          <w:szCs w:val="18"/>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7" w:name="page58"/>
    <w:bookmarkEnd w:id="57"/>
    <w:p>
      <w:pPr>
        <w:ind w:left="5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0"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19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Since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2020 when foreign and domestic inspections of facilities were largely placed on hold, the FDA has been working to resume routine surveillance,</w:t>
      </w:r>
    </w:p>
    <w:p>
      <w:pPr>
        <w:spacing w:after="0" w:line="2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Additionally, during the COVID-19 public health emergency, the FDA has stated it is continuing working to ensure timely reviews of applications for medical products in line with its user fee performance goals and conducting mission critical domestic and foreign inspections to ensure compliance of manufacturing facilities with FDA quality standards. However, the FDA may not be able to continue its current pace and approval timelines could be extended, including where a pre-approval inspection or an inspection of clinical sites is required and due to the ongoing COVID-19 pandemic and travel restrictions FDA is unable to complete such required inspections during the review period. Regulatory authorities outside the U.S. may adopt similar restrictions or other policy measures in response to the ongoing COVID-19 pandemic and may experience delays in their regulatory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292" w:lineRule="exact"/>
        <w:rPr>
          <w:sz w:val="20"/>
          <w:szCs w:val="20"/>
          <w:color w:val="auto"/>
        </w:rPr>
      </w:pPr>
    </w:p>
    <w:p>
      <w:pPr>
        <w:ind w:left="520" w:right="1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40" w:lineRule="exact"/>
        <w:rPr>
          <w:sz w:val="20"/>
          <w:szCs w:val="20"/>
          <w:color w:val="auto"/>
        </w:rPr>
      </w:pPr>
    </w:p>
    <w:p>
      <w:pPr>
        <w:jc w:val="both"/>
        <w:ind w:right="160" w:firstLine="509"/>
        <w:spacing w:after="0" w:line="296" w:lineRule="auto"/>
        <w:rPr>
          <w:sz w:val="20"/>
          <w:szCs w:val="20"/>
          <w:color w:val="auto"/>
        </w:rPr>
      </w:pPr>
      <w:r>
        <w:rPr>
          <w:rFonts w:ascii="Times New Roman" w:cs="Times New Roman" w:eastAsia="Times New Roman" w:hAnsi="Times New Roman"/>
          <w:sz w:val="17"/>
          <w:szCs w:val="17"/>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3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04" w:lineRule="exact"/>
        <w:rPr>
          <w:sz w:val="20"/>
          <w:szCs w:val="20"/>
          <w:color w:val="auto"/>
        </w:rPr>
      </w:pPr>
    </w:p>
    <w:p>
      <w:pPr>
        <w:ind w:left="520" w:right="18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41" w:lineRule="exact"/>
        <w:rPr>
          <w:sz w:val="20"/>
          <w:szCs w:val="20"/>
          <w:color w:val="auto"/>
        </w:rPr>
      </w:pP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Gene therapy remains a novel technology, with only a limited number of gene therapy products approved to date. Public perception may be influenced by claims that gene therapy is unsafe, and gene therapy may not gain the acceptance of the public or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58" w:name="page59"/>
    <w:bookmarkEnd w:id="58"/>
    <w:p>
      <w:pPr>
        <w:ind w:right="40"/>
        <w:spacing w:after="0" w:line="243" w:lineRule="auto"/>
        <w:rPr>
          <w:sz w:val="20"/>
          <w:szCs w:val="20"/>
          <w:color w:val="auto"/>
        </w:rPr>
      </w:pPr>
      <w:r>
        <w:rPr>
          <w:rFonts w:ascii="Times New Roman" w:cs="Times New Roman" w:eastAsia="Times New Roman" w:hAnsi="Times New Roman"/>
          <w:sz w:val="18"/>
          <w:szCs w:val="18"/>
          <w:color w:val="auto"/>
        </w:rPr>
        <w:t>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or discovered in long-term follow-up, even if not ultimately attributable to our product candidates (such as the many adverse events that typically arise from the conditioning process), or adverse events in other gene therapy trials, and the resulting publicity could result in a decline in our stock price,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90" w:lineRule="exact"/>
        <w:rPr>
          <w:sz w:val="20"/>
          <w:szCs w:val="20"/>
          <w:color w:val="auto"/>
        </w:rPr>
      </w:pPr>
    </w:p>
    <w:p>
      <w:pPr>
        <w:ind w:left="5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37"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executive or key employees might impede the achievement of our research, development and commercialization objectives. Recruiting and retaining other qualified employees, consultants and advisors for our business, including scientific and technical personnel, will also be critical to our success. We implemented a reduction in force in January 2022 in connection with the deprioritization of our Fabry disease program, and through the first half of 2022 we have continued to streamline employee headcount including senior management. Reductions in force, management changes and program reprioritizations can have an adverse impact on employee morale. While we believe our relations with our continuing employees to be good, there can be no assurance that we can avoid hiring and retention challenges for skilled personnel in the future. There is currently a shortage of skilled executives and other personnel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our ability to recruit and retain qualified personnel could be impacted by other factors, such as remote or hybrid working arrangements, including those resulting from the ongoing COVID-19 pandemic, which could impact employees’ productivity and morale, as well as any failure to succeed in preclinical or clinical trials. In addition, in recent months the market price of our common stock has experienced significant downward pressure, resulting in “underwater” or “out-of-the-money” stock options for many of our employees, thereby limiting the desired retentive effect that our equity incentive program was intended to achieve. The inability to recruit or the loss of the services of any executive, key employee, consultant or advisor may impede the progress of our research, development and commercialization objectives.</w:t>
      </w:r>
    </w:p>
    <w:p>
      <w:pPr>
        <w:spacing w:after="0" w:line="3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expand our operations and we may experience difficulties in managing this growth, which could disrupt our operations.</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As we mature, we may need to rapidly expand our full-time employee base and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expected growth in the scale and complexity of our operations, our performance may suffer.</w:t>
      </w:r>
    </w:p>
    <w:p>
      <w:pPr>
        <w:spacing w:after="0" w:line="108"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9" w:name="page60"/>
    <w:bookmarkEnd w:id="59"/>
    <w:p>
      <w:pPr>
        <w:ind w:right="340"/>
        <w:spacing w:after="0" w:line="258" w:lineRule="auto"/>
        <w:rPr>
          <w:sz w:val="20"/>
          <w:szCs w:val="20"/>
          <w:color w:val="auto"/>
        </w:rPr>
      </w:pPr>
      <w:r>
        <w:rPr>
          <w:rFonts w:ascii="Times New Roman" w:cs="Times New Roman" w:eastAsia="Times New Roman" w:hAnsi="Times New Roman"/>
          <w:sz w:val="18"/>
          <w:szCs w:val="18"/>
          <w:color w:val="auto"/>
        </w:rPr>
        <w:t>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73" w:lineRule="exact"/>
        <w:rPr>
          <w:sz w:val="20"/>
          <w:szCs w:val="20"/>
          <w:color w:val="auto"/>
        </w:rPr>
      </w:pPr>
    </w:p>
    <w:p>
      <w:pPr>
        <w:ind w:left="5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3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3" w:lineRule="exact"/>
        <w:rPr>
          <w:sz w:val="20"/>
          <w:szCs w:val="20"/>
          <w:color w:val="auto"/>
        </w:rPr>
      </w:pPr>
    </w:p>
    <w:p>
      <w:pPr>
        <w:ind w:left="520" w:right="7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3"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spacing w:after="0" w:line="296" w:lineRule="exact"/>
        <w:rPr>
          <w:sz w:val="20"/>
          <w:szCs w:val="20"/>
          <w:color w:val="auto"/>
        </w:rPr>
      </w:pPr>
    </w:p>
    <w:p>
      <w:pPr>
        <w:jc w:val="both"/>
        <w:ind w:left="520"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60"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See section entitled “</w:t>
      </w:r>
      <w:r>
        <w:rPr>
          <w:rFonts w:ascii="Times New Roman" w:cs="Times New Roman" w:eastAsia="Times New Roman" w:hAnsi="Times New Roman"/>
          <w:sz w:val="18"/>
          <w:szCs w:val="18"/>
          <w:i w:val="1"/>
          <w:iCs w:val="1"/>
          <w:color w:val="auto"/>
        </w:rPr>
        <w:t>Business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Government Regulation – Other Healthcare Laws and Compliance Requirements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0" w:name="page61"/>
    <w:bookmarkEnd w:id="60"/>
    <w:p>
      <w:pPr>
        <w:ind w:firstLine="509"/>
        <w:spacing w:after="0" w:line="260" w:lineRule="auto"/>
        <w:rPr>
          <w:sz w:val="20"/>
          <w:szCs w:val="20"/>
          <w:color w:val="auto"/>
        </w:rPr>
      </w:pPr>
      <w:r>
        <w:rPr>
          <w:rFonts w:ascii="Times New Roman" w:cs="Times New Roman" w:eastAsia="Times New Roman" w:hAnsi="Times New Roman"/>
          <w:sz w:val="17"/>
          <w:szCs w:val="17"/>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73"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304" w:lineRule="exact"/>
        <w:rPr>
          <w:sz w:val="20"/>
          <w:szCs w:val="20"/>
          <w:color w:val="auto"/>
        </w:rPr>
      </w:pPr>
    </w:p>
    <w:p>
      <w:pPr>
        <w:ind w:left="5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20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currently plan to conduct clinical trials in the European Union, or EU, and the United Kingdom, or UK, and as a result will be subject to additional privacy restrictions. The collection, use, disclosure, transfer or other processing of personal health data in the EU is governed by the provisions of the General Data Protection Regulation, or GDPR. The GDPR is wide-ranging in scope and imposes numerous requirements on companies that process personal data, including requirements relating to processing health and other sensitive data, providing information to individuals regarding data processing activities,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our</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obligations with respect to any clinical trials conducted in the European Economic Area, or EEA, by expanding the definition of personal data to include</w:t>
      </w:r>
    </w:p>
    <w:p>
      <w:pPr>
        <w:spacing w:after="0" w:line="2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coded data and requiring changes to informed consent practices and more detailed notices for clinical trial subjects and investigators. In addition, the GDPR imposes strict rules on the transfer of personal data out of the European Union, including to the United States, and as a result increases scrutiny that such rules may apply to transfers of personal data from any clinical trial sites located in the EU and the UK to the United States. The GDPR also permits data protection authorities to require destruction of improperly gathered or used personal data and/or impose substantial fines for violations of the GDPR, which can be up to four percent of global revenues or 20 million Euros,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87" w:lineRule="exact"/>
        <w:rPr>
          <w:sz w:val="20"/>
          <w:szCs w:val="20"/>
          <w:color w:val="auto"/>
        </w:rPr>
      </w:pPr>
    </w:p>
    <w:p>
      <w:pPr>
        <w:jc w:val="both"/>
        <w:ind w:right="320" w:firstLine="509"/>
        <w:spacing w:after="0" w:line="250" w:lineRule="auto"/>
        <w:rPr>
          <w:sz w:val="20"/>
          <w:szCs w:val="20"/>
          <w:color w:val="auto"/>
        </w:rPr>
      </w:pPr>
      <w:r>
        <w:rPr>
          <w:rFonts w:ascii="Times New Roman" w:cs="Times New Roman" w:eastAsia="Times New Roman" w:hAnsi="Times New Roman"/>
          <w:sz w:val="18"/>
          <w:szCs w:val="18"/>
          <w:color w:val="auto"/>
        </w:rPr>
        <w:t>Given the breadth and depth of its obligations, complying with the GDPR’s requirements is rigorous and time intensive and requires significant resources and assessment of our technologies, systems and practices, as well as those of any third-party collaborators, service providers, contractors, or consultants that process or transfer personal data collected in the European Union.</w:t>
      </w:r>
    </w:p>
    <w:p>
      <w:pPr>
        <w:spacing w:after="0" w:line="82"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Further, the UK exited the EU effective January 31, 2020, subject to a transition period that ended December 31, 2020. Following the UK’s withdrawal from the EU on January 31, 2020, pursuant to the transitional arrangements agreed to between the UK and EU, the GDPR continued to have effect under law in the UK, and continued to do so until December 31, 2020 as if the UK remained a member state of the EU for such purposes. Following December 31, 2020, and the expiry of those transitional arrangements, the data protection obligations of the GDPR continue to apply to UK-related processing of personal data in substantially unvaried form and fashion under the so-called “UK GDPR” (i.e., the GDPR as it continues to form part of UK law by virtue of section 3 of the European Union (Withdrawal) Act 2018, as amended (including by the various Data Protection, Privacy and Electronic Communications (Amendments etc.) (EU Exit) Regulations)).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2"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To enable the transfer of personal data outside of the EEA or the UK, adequate safeguards must be implemented in compliance with European and UK data protection laws. On June 4, 2021, the EC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EU Data Protection Directive. The UK is not subject to the EC’s new standard contractual clauses but has published a draft version of a UK-specific transfer mechanism, which, once finalized, will enable transfers from the UK. We will be required to implement these new safeguards when conducting restricted data transfers under the EU and UK GDPR and doing so will require significant effort and cost.</w:t>
      </w:r>
    </w:p>
    <w:p>
      <w:pPr>
        <w:spacing w:after="0" w:line="78"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 xml:space="preserve">Further, certain European data protection laws restrict transfers of personal data to countries outside Europe that do not ensure an adequate level of protection, like the United States (so-called “third countries”). These transfers are prohibited unless an appropriate safeguard specified by the European data protection laws is implemented, such as the Standard Contractual Clauses, or SCCs, approved by the European Commission, or a derogation applies. The Court of Justice of the European Union, or CJEU, in its decision in Case C-311/18 </w:t>
      </w:r>
      <w:r>
        <w:rPr>
          <w:rFonts w:ascii="Times New Roman" w:cs="Times New Roman" w:eastAsia="Times New Roman" w:hAnsi="Times New Roman"/>
          <w:sz w:val="18"/>
          <w:szCs w:val="18"/>
          <w:i w:val="1"/>
          <w:iCs w:val="1"/>
          <w:color w:val="auto"/>
        </w:rPr>
        <w:t>(Data Protection Commissioner v Facebook Ireland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Maximillian Schrems</w:t>
      </w:r>
      <w:r>
        <w:rPr>
          <w:rFonts w:ascii="Times New Roman" w:cs="Times New Roman" w:eastAsia="Times New Roman" w:hAnsi="Times New Roman"/>
          <w:sz w:val="18"/>
          <w:szCs w:val="18"/>
          <w:color w:val="auto"/>
        </w:rPr>
        <w:t>, or Schrems II,) deemed that the SCCs are valid. However, the CJEU ruled that transfers made pursuant to the SCCs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 transfer mechanisms need to be assessed on a case-by-case basis taking into account the legal regime applicable in the destination country, in particular regarding applicable surveillance laws and relevant rights of individuals with respect to the transferred personal data, to ensure an “essentially equivalent” level of protection to that guaranteed in the EEA in the jurisdiction where the data importer is based. On June 4, 2021, the European Commission published new versions of the SCCs, or New SCCs, which seek to address the issues identified by the CJEU’s Schrems II decision and provide further details regarding the transfer assessments of the importer third country’s laws that the parties are required to conduct when implementing the New SCCs. On June 18, 2021, the European Data Protection Board, or EDPB, issued its final guidance following the CJEU’s decision that imposes significant new diligence requirements on transferring data outside the EEA, including under an approved transfer mechanism. This guidance requires an “essential equivalency” assessment of the laws of the destination country transferred. If the “essentially equivalent” level of protection standard outlined by the CJEU’s decision is not satisfied in the destination country, the exporting entity must then assess if supplementary technical, organizational and/or contractual measures can be put in place that, in combination with the chosen transfer mechanism, would address the deficiency in the laws and ensure that essentially equivalent protection can be given to the data. Complying with this guidance will be expensive and time consuming and may ultimately prevent us from transferring personal data outside the EEA, which would cause significant business disruption. At present, there are few, if any, viable alternatives to the SCCs. The risks associated with such exports of personal data from locations within Europe are particularly relevant to our business as our organization comprises several operating entities, some of which may be located, and/or sponsor clinical trials, in Europe. We have yet to adopt and implement comprehensive processes, systems and other relevant measures within our organization, and/or with our relevant collaborators, service providers, contractors or consultants, which are appropriate to address relevant requirements relating to international transfers of personal data from Europe, and to minimize the potential impacts and risks resulting from those requirements, across our organization.</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62" w:name="page63"/>
    <w:bookmarkEnd w:id="62"/>
    <w:p>
      <w:pPr>
        <w:spacing w:after="0" w:line="246" w:lineRule="auto"/>
        <w:rPr>
          <w:sz w:val="20"/>
          <w:szCs w:val="20"/>
          <w:color w:val="auto"/>
        </w:rPr>
      </w:pPr>
      <w:r>
        <w:rPr>
          <w:rFonts w:ascii="Times New Roman" w:cs="Times New Roman" w:eastAsia="Times New Roman" w:hAnsi="Times New Roman"/>
          <w:sz w:val="18"/>
          <w:szCs w:val="18"/>
          <w:color w:val="auto"/>
        </w:rPr>
        <w:t>Failure to implement valid mechanisms for personal data transfers from Europe may result in our facing increased exposure to regulatory actions, substantial fines and injunctions against processing personal data from Europe. Inability to export personal data may also: restrict our activities outside Europe; limit our ability to collaborate with partners as well as other service providers, contractors and other companies outside of Europe; and/or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283" w:lineRule="exact"/>
        <w:rPr>
          <w:sz w:val="20"/>
          <w:szCs w:val="20"/>
          <w:color w:val="auto"/>
        </w:rPr>
      </w:pPr>
    </w:p>
    <w:p>
      <w:pPr>
        <w:jc w:val="both"/>
        <w:ind w:left="520"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8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73" w:lineRule="exact"/>
        <w:rPr>
          <w:sz w:val="20"/>
          <w:szCs w:val="20"/>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business reputation;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of clinical study participants;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due to related litigation;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if approved for commercial sale.</w:t>
      </w:r>
    </w:p>
    <w:p>
      <w:pPr>
        <w:spacing w:after="0" w:line="225"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We carry master product liability insurance of $5.0 million per occurrence and $5.0 million in the aggregate in the United States. For studies conducted in certain countries outside the United States, we maintain local admitted policies with varying limits.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86"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89" w:lineRule="exact"/>
        <w:rPr>
          <w:sz w:val="20"/>
          <w:szCs w:val="20"/>
          <w:color w:val="auto"/>
        </w:rPr>
      </w:pPr>
    </w:p>
    <w:p>
      <w:pPr>
        <w:ind w:left="520"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0"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3" w:name="page64"/>
    <w:bookmarkEnd w:id="63"/>
    <w:p>
      <w:pPr>
        <w:ind w:right="20"/>
        <w:spacing w:after="0" w:line="246" w:lineRule="auto"/>
        <w:rPr>
          <w:sz w:val="20"/>
          <w:szCs w:val="20"/>
          <w:color w:val="auto"/>
        </w:rPr>
      </w:pPr>
      <w:r>
        <w:rPr>
          <w:rFonts w:ascii="Times New Roman" w:cs="Times New Roman" w:eastAsia="Times New Roman" w:hAnsi="Times New Roman"/>
          <w:sz w:val="18"/>
          <w:szCs w:val="18"/>
          <w:color w:val="auto"/>
        </w:rPr>
        <w:t>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9"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99" w:lineRule="exact"/>
        <w:rPr>
          <w:sz w:val="20"/>
          <w:szCs w:val="20"/>
          <w:color w:val="auto"/>
        </w:rPr>
      </w:pPr>
    </w:p>
    <w:p>
      <w:pPr>
        <w:ind w:left="520" w:right="9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5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As of December 31, 2021 and 2020, we had federal and state net operating loss carryforwards of $313.0 million and $214.0 million, respectively, and federal research and development tax credit carryforwards of approximately $6.2 million and $3.7 million, respectively. If not utilized, the net operating loss carryforwards and research and development credits will generally expire at various dates through 2038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Internal Revenue Code of 1986, as amended, or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For taxable years beginning after December 31, 2020, deductions for federal net operating losses arising in taxable years beginning after December 31, 2017 may only offset 80% of taxable income.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development and commercialization efforts.</w:t>
      </w:r>
    </w:p>
    <w:p>
      <w:pPr>
        <w:spacing w:after="0" w:line="10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80"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4" w:name="page65"/>
    <w:bookmarkEnd w:id="64"/>
    <w:p>
      <w:pPr>
        <w:ind w:right="200"/>
        <w:spacing w:after="0" w:line="258" w:lineRule="auto"/>
        <w:rPr>
          <w:sz w:val="20"/>
          <w:szCs w:val="20"/>
          <w:color w:val="auto"/>
        </w:rPr>
      </w:pPr>
      <w:r>
        <w:rPr>
          <w:rFonts w:ascii="Times New Roman" w:cs="Times New Roman" w:eastAsia="Times New Roman" w:hAnsi="Times New Roman"/>
          <w:sz w:val="18"/>
          <w:szCs w:val="18"/>
          <w:color w:val="auto"/>
        </w:rPr>
        <w:t>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6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0"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77"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99" w:lineRule="exact"/>
        <w:rPr>
          <w:sz w:val="20"/>
          <w:szCs w:val="20"/>
          <w:color w:val="auto"/>
        </w:rPr>
      </w:pPr>
    </w:p>
    <w:p>
      <w:pPr>
        <w:ind w:left="520"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part, to the terms and conditions of licenses granted to us by others.</w:t>
      </w:r>
    </w:p>
    <w:p>
      <w:pPr>
        <w:spacing w:after="0" w:line="50"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which we deprioritized in January 2022) and affiliates of Lund University (relevant to AVR-RD-02 and our Gaucher type 1 and type 3 programs). In addition, we have in-licensed patents and patent applications from BioMarin Pharmaceutical Inc., or BioMarin (relevant to AVR-RD-03 and our Pompe program), GenStem Therapeutics, Inc., which was subsequently assigned to Papillon Therapeutics, Inc., or Papillon, (relevant to AVR-RD-04 and our cystinosis program) and The University of Manchester (relevant to AVR-RD-05 and our Hunter program), directed to compositions and methods related to the manufacture and use of AVR-RD-03, AVR-RD-04 and AVR-RD-05, respectively. Any termination of these licenses could result in the loss of significant rights and could harm or prevent our ability to commercialize our product candidates.</w:t>
      </w:r>
    </w:p>
    <w:p>
      <w:pPr>
        <w:spacing w:after="0" w:line="185"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Each of our existing licenses are exclusive but are limited to particular fields, such as Fabry disease, cystinosis, Gaucher disease type 1, Hunter syndrome, or Pompe disease,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5" w:name="page66"/>
    <w:bookmarkEnd w:id="65"/>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Papillon, BioMarin, the rights holders associated with Lund University, and The University of Manchester,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8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285" w:lineRule="exact"/>
        <w:rPr>
          <w:sz w:val="20"/>
          <w:szCs w:val="20"/>
          <w:color w:val="auto"/>
        </w:rPr>
      </w:pPr>
    </w:p>
    <w:p>
      <w:pPr>
        <w:ind w:left="520" w:right="4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60"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80"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7"/>
          <w:szCs w:val="17"/>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8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we currently have no owned or in-licensed patents or patent applications covering AVR-RD-01 or AVR-RD-02, and the patent applications that we in-licensed related to AVR-RD-04 and AVR-RD-05 are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3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6" w:name="page67"/>
    <w:bookmarkEnd w:id="66"/>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69"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9" w:lineRule="exact"/>
        <w:rPr>
          <w:sz w:val="20"/>
          <w:szCs w:val="20"/>
          <w:color w:val="auto"/>
        </w:rPr>
      </w:pPr>
    </w:p>
    <w:p>
      <w:pPr>
        <w:ind w:left="520"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3"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200"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90" w:lineRule="exact"/>
        <w:rPr>
          <w:sz w:val="20"/>
          <w:szCs w:val="20"/>
          <w:color w:val="auto"/>
        </w:rPr>
      </w:pPr>
    </w:p>
    <w:p>
      <w:pPr>
        <w:ind w:left="5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63"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7" w:name="page68"/>
    <w:bookmarkEnd w:id="67"/>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the patents and other intellectual property that we own or license.</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304" w:lineRule="exact"/>
        <w:rPr>
          <w:sz w:val="20"/>
          <w:szCs w:val="20"/>
          <w:color w:val="auto"/>
        </w:rPr>
      </w:pPr>
    </w:p>
    <w:p>
      <w:pPr>
        <w:ind w:left="520"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81"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8"/>
          <w:szCs w:val="18"/>
          <w:color w:val="auto"/>
        </w:rPr>
        <w:t>Some of the intellectual property rights we have licensed, including rights licensed to us by Papillon, may have been generated through the use of U.S. government and California state funding and may therefore be subject to certain federal and state laws and regulations. For example, with respect to the AVR-RD-04 program for cystinosis, the NIH previously granted funding to UCSD for certain research in connection with the development of UCSD’s gene therapy program for cystinosis, which we originally licensed from GenStem Therapeutics, Inc., who subsequently assigned the license to Papillon. As a result, the U.S. government may have certain rights to intellectual property embodied in our AVR-RD-04 program, or in other product candidates to the extent funded by the U.S. government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which has granted funds to UCSD for the study of AVR-RD-04 for cystinosis,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8" w:name="page69"/>
    <w:bookmarkEnd w:id="6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biologics and pharmaceuticals are particularly uncertain. Two cases involving diagnostic method claims and “gene patents” were decided this year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98" w:lineRule="exact"/>
        <w:rPr>
          <w:sz w:val="20"/>
          <w:szCs w:val="20"/>
          <w:color w:val="auto"/>
        </w:rPr>
      </w:pPr>
    </w:p>
    <w:p>
      <w:pPr>
        <w:ind w:right="380" w:firstLine="509"/>
        <w:spacing w:after="0" w:line="250" w:lineRule="auto"/>
        <w:rPr>
          <w:sz w:val="20"/>
          <w:szCs w:val="20"/>
          <w:color w:val="auto"/>
        </w:rPr>
      </w:pPr>
      <w:r>
        <w:rPr>
          <w:rFonts w:ascii="Times New Roman" w:cs="Times New Roman" w:eastAsia="Times New Roman" w:hAnsi="Times New Roman"/>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7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95"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69" w:name="page70"/>
    <w:bookmarkEnd w:id="6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our product candidates, our business may be materially harmed.</w:t>
      </w:r>
    </w:p>
    <w:p>
      <w:pPr>
        <w:spacing w:after="0" w:line="121"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96" w:lineRule="exact"/>
        <w:rPr>
          <w:sz w:val="20"/>
          <w:szCs w:val="20"/>
          <w:color w:val="auto"/>
        </w:rPr>
      </w:pPr>
    </w:p>
    <w:p>
      <w:pPr>
        <w:ind w:left="5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7"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We have registered the marks “AVROBIO” and “plato” with the USPTO and in certain other countries, but we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and regulatory exclusivity rights do not necessarily address all potential threats.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right="54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40"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67" w:lineRule="exact"/>
        <w:rPr>
          <w:rFonts w:ascii="Times New Roman" w:cs="Times New Roman" w:eastAsia="Times New Roman" w:hAnsi="Times New Roman"/>
          <w:sz w:val="18"/>
          <w:szCs w:val="18"/>
          <w:color w:val="auto"/>
        </w:rPr>
      </w:pPr>
    </w:p>
    <w:p>
      <w:pPr>
        <w:ind w:left="900" w:right="340" w:hanging="383"/>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license partners or current or future collaborators, might not have been the first to file patent applications covering certain of our or their inventions;</w:t>
      </w:r>
    </w:p>
    <w:p>
      <w:pPr>
        <w:spacing w:after="0" w:line="54"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or license in the future will not lead to issued patents;</w:t>
      </w:r>
    </w:p>
    <w:p>
      <w:pPr>
        <w:spacing w:after="0" w:line="103"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or may hold rights to in the future may be held invalid or unenforceable, including as a result of legal challenges by our competitors;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our product candidates may never be protected by patents;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0" w:name="page71"/>
    <w:bookmarkEnd w:id="70"/>
    <w:p>
      <w:pPr>
        <w:ind w:left="900" w:right="860" w:hanging="383"/>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117" w:lineRule="exact"/>
        <w:rPr>
          <w:rFonts w:ascii="Times New Roman" w:cs="Times New Roman" w:eastAsia="Times New Roman" w:hAnsi="Times New Roman"/>
          <w:sz w:val="18"/>
          <w:szCs w:val="18"/>
          <w:color w:val="auto"/>
        </w:rPr>
      </w:pPr>
    </w:p>
    <w:p>
      <w:pPr>
        <w:ind w:left="900" w:right="800" w:hanging="383"/>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04" w:lineRule="exact"/>
        <w:rPr>
          <w:sz w:val="20"/>
          <w:szCs w:val="20"/>
          <w:color w:val="auto"/>
        </w:rPr>
      </w:pPr>
    </w:p>
    <w:p>
      <w:pPr>
        <w:ind w:left="520"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5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Our stock price is likely to be volatile. Since our initial public offering, or IPO, in June 2018, through August 1, 2022, the trading price of our common stock has ranged from $53.70 to $0.74.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69"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ongoing or planned preclinical studies or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adverse events in other gene therapy products or clinical studies of such products;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comply with the terms of our Term Loan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successfully develop and commercialize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our existing strategic collaborations or enter into new collaborations;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licensors and strategic partners to prosecute, maintain or enforce our intellectual property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future products;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adequate product supply for our product candidates or the inability to do so at acceptable prices;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services or technologies by our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meet or exceed financial projections we may provide to the public;</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meet or exceed the financial projections of the investment community;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117" w:lineRule="exact"/>
        <w:rPr>
          <w:rFonts w:ascii="Times New Roman" w:cs="Times New Roman" w:eastAsia="Times New Roman" w:hAnsi="Times New Roman"/>
          <w:sz w:val="18"/>
          <w:szCs w:val="18"/>
          <w:color w:val="auto"/>
        </w:rPr>
      </w:pPr>
    </w:p>
    <w:p>
      <w:pPr>
        <w:ind w:left="900" w:right="360" w:hanging="383"/>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our strategic partners or our competitors;</w:t>
      </w:r>
    </w:p>
    <w:p>
      <w:pPr>
        <w:spacing w:after="0" w:line="54"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1" w:name="page72"/>
    <w:bookmarkEnd w:id="71"/>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Prior to our IPO in June 2018,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9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66" w:lineRule="exact"/>
        <w:rPr>
          <w:sz w:val="20"/>
          <w:szCs w:val="20"/>
          <w:color w:val="auto"/>
        </w:rPr>
      </w:pPr>
    </w:p>
    <w:p>
      <w:pPr>
        <w:ind w:left="5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37"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99" w:lineRule="exact"/>
        <w:rPr>
          <w:sz w:val="20"/>
          <w:szCs w:val="20"/>
          <w:color w:val="auto"/>
        </w:rPr>
      </w:pPr>
    </w:p>
    <w:p>
      <w:pPr>
        <w:ind w:left="520"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50"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Based on shares outstanding as of August 1, 2022, our executive officers, directors, five percent stockholders and their affiliates beneficially owned approximately 27%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2" w:name="page73"/>
    <w:bookmarkEnd w:id="72"/>
    <w:p>
      <w:pPr>
        <w:ind w:left="5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37"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w:t>
      </w:r>
    </w:p>
    <w:p>
      <w:pPr>
        <w:spacing w:after="0" w:line="2" w:lineRule="exact"/>
        <w:rPr>
          <w:sz w:val="20"/>
          <w:szCs w:val="20"/>
          <w:color w:val="auto"/>
        </w:rPr>
      </w:pPr>
    </w:p>
    <w:p>
      <w:pPr>
        <w:ind w:firstLine="8"/>
        <w:spacing w:after="0" w:line="242" w:lineRule="auto"/>
        <w:tabs>
          <w:tab w:leader="none" w:pos="3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or Section 404;</w:t>
      </w:r>
    </w:p>
    <w:p>
      <w:pPr>
        <w:spacing w:after="0" w:line="103" w:lineRule="exact"/>
        <w:rPr>
          <w:rFonts w:ascii="Times New Roman" w:cs="Times New Roman" w:eastAsia="Times New Roman" w:hAnsi="Times New Roman"/>
          <w:sz w:val="18"/>
          <w:szCs w:val="18"/>
          <w:color w:val="auto"/>
        </w:rPr>
      </w:pPr>
    </w:p>
    <w:p>
      <w:pPr>
        <w:ind w:left="900" w:right="580" w:hanging="383"/>
        <w:spacing w:after="0" w:line="258" w:lineRule="auto"/>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1" w:lineRule="exact"/>
        <w:rPr>
          <w:rFonts w:ascii="Times New Roman" w:cs="Times New Roman" w:eastAsia="Times New Roman" w:hAnsi="Times New Roman"/>
          <w:sz w:val="18"/>
          <w:szCs w:val="18"/>
          <w:color w:val="auto"/>
        </w:rPr>
      </w:pPr>
    </w:p>
    <w:p>
      <w:pPr>
        <w:ind w:left="900" w:right="240" w:hanging="383"/>
        <w:spacing w:after="0" w:line="312" w:lineRule="auto"/>
        <w:tabs>
          <w:tab w:leader="none" w:pos="90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requirement to seek nonbinding advisory votes on executive compensation or golden parachute arrangements.</w:t>
      </w:r>
    </w:p>
    <w:p>
      <w:pPr>
        <w:spacing w:after="0" w:line="225"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have taken advantage of reduced reporting burdens in this Quarterly Report on Form 10-Q. In particular, we have not included in this Quarterly Report, or our Annual Report or 2022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8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73" w:lineRule="exact"/>
        <w:rPr>
          <w:sz w:val="20"/>
          <w:szCs w:val="20"/>
          <w:color w:val="auto"/>
        </w:rPr>
      </w:pPr>
    </w:p>
    <w:p>
      <w:pPr>
        <w:ind w:left="5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37"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3" w:name="page74"/>
    <w:bookmarkEnd w:id="73"/>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289" w:lineRule="exact"/>
        <w:rPr>
          <w:sz w:val="20"/>
          <w:szCs w:val="20"/>
          <w:color w:val="auto"/>
        </w:rPr>
      </w:pPr>
    </w:p>
    <w:p>
      <w:pPr>
        <w:jc w:val="both"/>
        <w:ind w:left="520" w:right="4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p>
    <w:p>
      <w:pPr>
        <w:spacing w:after="0" w:line="18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04" w:lineRule="exact"/>
        <w:rPr>
          <w:sz w:val="20"/>
          <w:szCs w:val="20"/>
          <w:color w:val="auto"/>
        </w:rPr>
      </w:pPr>
    </w:p>
    <w:p>
      <w:pPr>
        <w:ind w:left="5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392"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expect to continue our efforts to improve our control processes, though there can be no assurance that our efforts will ultimately be successful or avoid potential material weaknesses, and we expect to continue incurring additional costs as a result of these efforts. If we are unable to successfully remediate any material weaknesses in our internal control over financial reporting,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08"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74" w:name="page75"/>
    <w:bookmarkEnd w:id="74"/>
    <w:p>
      <w:pPr>
        <w:ind w:right="80"/>
        <w:spacing w:after="0" w:line="282" w:lineRule="auto"/>
        <w:rPr>
          <w:sz w:val="20"/>
          <w:szCs w:val="20"/>
          <w:color w:val="auto"/>
        </w:rPr>
      </w:pPr>
      <w:r>
        <w:rPr>
          <w:rFonts w:ascii="Times New Roman" w:cs="Times New Roman" w:eastAsia="Times New Roman" w:hAnsi="Times New Roman"/>
          <w:sz w:val="18"/>
          <w:szCs w:val="18"/>
          <w:color w:val="auto"/>
        </w:rPr>
        <w:t>Accordingly, because of the inherent limitations in our control system, misstatements or insufficient disclosures due to error or fraud may occur and not be detected.</w:t>
      </w:r>
    </w:p>
    <w:p>
      <w:pPr>
        <w:spacing w:after="0" w:line="252" w:lineRule="exact"/>
        <w:rPr>
          <w:sz w:val="20"/>
          <w:szCs w:val="20"/>
          <w:color w:val="auto"/>
        </w:rPr>
      </w:pPr>
    </w:p>
    <w:p>
      <w:pPr>
        <w:ind w:left="520"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3"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August 1, 2022, holders of an aggregate of approximately 4.5 million shares of our common stock will have rights, subject to certain conditions, to require us to file registration statements covering their shares or to include their shares in registration statements that we may file for ourselves or other stockholders. In addition, shares reserved for issuance upon the exercise of stock options outstanding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w:t>
      </w:r>
    </w:p>
    <w:p>
      <w:pPr>
        <w:spacing w:after="0" w:line="1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development, operation and expansion of our business and do not anticipate declaring or paying any cash dividends for the foreseeable future. Any return to stockholders will therefore be limited to the appreciation of their stock. For example, our Term Loan Agreement restricts our ability to pay certain kinds of dividends or to make certain kinds of distributions on account of our capital stock, and we may enter into agreements in the future with similar restrictions. As a result, capital appreciation, if any, of our common stock will be your sole source of gain for the foreseeable future.</w:t>
      </w:r>
    </w:p>
    <w:p>
      <w:pPr>
        <w:spacing w:after="0" w:line="302" w:lineRule="exact"/>
        <w:rPr>
          <w:sz w:val="20"/>
          <w:szCs w:val="20"/>
          <w:color w:val="auto"/>
        </w:rPr>
      </w:pPr>
    </w:p>
    <w:p>
      <w:pPr>
        <w:ind w:left="520" w:right="4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8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82" w:lineRule="exact"/>
        <w:rPr>
          <w:sz w:val="20"/>
          <w:szCs w:val="20"/>
          <w:color w:val="auto"/>
        </w:rPr>
      </w:pPr>
    </w:p>
    <w:p>
      <w:pPr>
        <w:ind w:left="900" w:hanging="383"/>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0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our chief executive officer or our president;</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03"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03" w:lineRule="exact"/>
        <w:rPr>
          <w:rFonts w:ascii="Times New Roman" w:cs="Times New Roman" w:eastAsia="Times New Roman" w:hAnsi="Times New Roman"/>
          <w:sz w:val="18"/>
          <w:szCs w:val="18"/>
          <w:color w:val="auto"/>
        </w:rPr>
      </w:pPr>
    </w:p>
    <w:p>
      <w:pPr>
        <w:ind w:left="900" w:right="60" w:hanging="383"/>
        <w:spacing w:after="0" w:line="258"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5" w:name="page76"/>
    <w:bookmarkEnd w:id="75"/>
    <w:p>
      <w:pPr>
        <w:ind w:left="52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73"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3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206" w:lineRule="exact"/>
        <w:rPr>
          <w:sz w:val="20"/>
          <w:szCs w:val="20"/>
          <w:color w:val="auto"/>
        </w:rPr>
      </w:pPr>
    </w:p>
    <w:p>
      <w:pPr>
        <w:ind w:right="100" w:firstLine="509"/>
        <w:spacing w:after="0" w:line="241"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0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In addition, Russia’s invasion of Ukraine may lead to a prolonged, adverse impact on global economic, social and market conditions.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For example, while we do not have any current operations in Ukraine or Russia, we do not know the extent to which Russia’s invasion of Ukraine could impact any of our current suppliers and their ability to provide us with supplies and services.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6" w:name="page77"/>
    <w:bookmarkEnd w:id="76"/>
    <w:p>
      <w:pPr>
        <w:ind w:left="5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3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290" w:lineRule="exact"/>
        <w:rPr>
          <w:sz w:val="20"/>
          <w:szCs w:val="20"/>
          <w:color w:val="auto"/>
        </w:rPr>
      </w:pPr>
    </w:p>
    <w:p>
      <w:pPr>
        <w:ind w:left="5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3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business data,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0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Not applicable.</w:t>
      </w:r>
    </w:p>
    <w:p>
      <w:pPr>
        <w:spacing w:after="0" w:line="3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0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following description is intended to provide a summary of the terms of the MSA (as defined below), which is filed as Exhibit 10.3 to this Quarterly Report on Form 10-Q. The following description is not a complete description of the MSA and is qualified in its entirety by reference to the full text of the MSA, which is incorporated by reference herein.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7" w:name="page78"/>
    <w:bookmarkEnd w:id="7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Miltenyi Biotec, Inc.</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 xml:space="preserve">On November 30, 2021, the Company entered into an Amended and Restated Master Services Agreement (the “MSA”) with Miltenyi Biotec, Inc., a California corporation and wholly-owned subsidiary of Miltenyi Biotec B.V. &amp; Co. KG (“Miltenyi”), for custom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cellular manufacturing services (the “MSA”), which restated and superseded a Master Services Agreement with Miltenyi dated October 9, 2017. Under the MSA, Miltenyi provides development and manufacturing services with respect to one or more cell-based therapeutic products on behalf of the Company, and in particular Miltenyi manufactures drug product for the Company. Although a relationship with Miltenyi has been in effect for several years, we expect to heavily rely on Miltenyi services going forward. Under the MSA, the Company can enter into various statements of work for cell-based product manufacturing and related services. There is no minimum or maximum number of statements of work required under the MSA. In respect of drug product manufacturing, the Company supplies Miltenyi with certain raw materials (e.g., human cells) and Miltenyi then produces drug product on behalf of the Company in accordance with Company specifications. The MSA requires that Miltenyi strive to manufacture products that substantially conform to the Company’s specifications. As payment for the work that Miltenyi performs, the Company is obligated to pay fees associated with each statement of work, as well as certain expenses incurred by Miltenyi in the course of providing the services and manufacturing. Pursuant to the MSA, any intellectual property necessary to perform the services and manufacturing that is owned by the parties remains the property of that party. Miltenyi has granted the Company a limited, worldwide, non-exclusive license, under certain of its intellectual property rights solely to research, develop, make, have made, and use non-commercial products (e.g., clinical study drug). The term of the MSA is for a period of three years from the effective date and, thereafter, shall automatically renew for successive one-year periods, unless either party provides written notice to the other of its desire not to renew at least ninety days prior to the expiration of the then-current term. The MSA can also be terminated by either party for a material breach upon sixty days’ prior written notice, or upon fifteen days’ prior written notice for breach of any payment obligation if the breaching party has not cured such breach by the end of such applicable period.</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8" w:right="379" w:bottom="1440" w:gutter="0" w:footer="0" w:header="0"/>
        </w:sectPr>
      </w:pPr>
    </w:p>
    <w:bookmarkStart w:id="78" w:name="page79"/>
    <w:bookmarkEnd w:id="7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60" w:type="dxa"/>
            <w:vAlign w:val="bottom"/>
            <w:gridSpan w:val="14"/>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3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6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9880" w:type="dxa"/>
            <w:vAlign w:val="bottom"/>
            <w:gridSpan w:val="16"/>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Fourth Amended and Restated Certificate of Incorporation of the Registrant (filed as Exhibit 3.1 to our Current Report on Form 8-K</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60" w:type="dxa"/>
            <w:vAlign w:val="bottom"/>
            <w:tcBorders>
              <w:top w:val="single" w:sz="8" w:color="0000FF"/>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filed on J</w:t>
              </w:r>
              <w:r>
                <w:rPr>
                  <w:rFonts w:ascii="Times New Roman" w:cs="Times New Roman" w:eastAsia="Times New Roman" w:hAnsi="Times New Roman"/>
                  <w:sz w:val="21"/>
                  <w:szCs w:val="21"/>
                  <w:color w:val="0000FF"/>
                </w:rPr>
                <w:t>une</w:t>
              </w:r>
              <w:r>
                <w:rPr>
                  <w:rFonts w:ascii="Times New Roman" w:cs="Times New Roman" w:eastAsia="Times New Roman" w:hAnsi="Times New Roman"/>
                  <w:sz w:val="18"/>
                  <w:szCs w:val="18"/>
                  <w:color w:val="0000FF"/>
                </w:rPr>
                <w:t xml:space="preserve"> 25, 2018 (File No. 001-38537) and incorporated herein by reference).</w:t>
              </w:r>
            </w:hyperlink>
          </w:p>
        </w:tc>
        <w:tc>
          <w:tcPr>
            <w:tcW w:w="3520" w:type="dxa"/>
            <w:vAlign w:val="bottom"/>
            <w:tcBorders>
              <w:top w:val="single" w:sz="8" w:color="0000FF"/>
            </w:tcBorders>
            <w:gridSpan w:val="4"/>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9880" w:type="dxa"/>
            <w:vAlign w:val="bottom"/>
            <w:gridSpan w:val="16"/>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Certificate of Change of Registered Agent and/or Registered Office of the Registrant (filed as Exhibit 3.2 to our Quarterly Report on</w:t>
              </w:r>
            </w:hyperlink>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880" w:type="dxa"/>
            <w:vAlign w:val="bottom"/>
            <w:gridSpan w:val="16"/>
            <w:vMerge w:val="restart"/>
          </w:tcPr>
          <w:p>
            <w:pPr>
              <w:spacing w:after="0" w:line="169"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Form 10-Q filed on November 5, 2020 (File No. 001-38537) and incorporated herein by reference).</w:t>
              </w:r>
            </w:hyperlink>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8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9880" w:type="dxa"/>
            <w:vAlign w:val="bottom"/>
            <w:gridSpan w:val="16"/>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Amended and Restated By-laws of the Registrant (filed as Exhibit 3.2 to our Current Report on Form 8-K (File No 001-38537) filed on</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Borders>
              <w:top w:val="single" w:sz="8" w:color="0000FF"/>
              <w:bottom w:val="single" w:sz="8" w:color="0000EE"/>
            </w:tcBorders>
            <w:gridSpan w:val="2"/>
          </w:tcPr>
          <w:p>
            <w:pPr>
              <w:spacing w:after="0" w:line="169"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June 25, 2018 and incorporated herein by reference).</w:t>
              </w:r>
            </w:hyperlink>
          </w:p>
        </w:tc>
        <w:tc>
          <w:tcPr>
            <w:tcW w:w="5960" w:type="dxa"/>
            <w:vAlign w:val="bottom"/>
            <w:tcBorders>
              <w:top w:val="single" w:sz="8" w:color="0000FF"/>
            </w:tcBorders>
            <w:gridSpan w:val="1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9880" w:type="dxa"/>
            <w:vAlign w:val="bottom"/>
            <w:gridSpan w:val="16"/>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Second Amendment to the AVROBIO, Inc. 2018 Stock Option and Incentive Plan (filed as Exhibit 10.1 to our Current Report on Form</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6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8-K filed on June 10, 2022 (File No. 001-38537) and incorporated herein by reference).</w:t>
              </w:r>
            </w:hyperlink>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9880" w:type="dxa"/>
            <w:vAlign w:val="bottom"/>
            <w:gridSpan w:val="16"/>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Amendment No. 2 to Employment Agreement, by and between the Registrant and Chris Mason dated April 25, 2022, (Filed as Exhibit</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10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our Quarterly Report on Form 10-Q filed on May 10, 2022 (file No. 001-38537) and incorporated herein by reference).</w:t>
              </w:r>
            </w:hyperlink>
          </w:p>
        </w:tc>
        <w:tc>
          <w:tcPr>
            <w:tcW w:w="640" w:type="dxa"/>
            <w:vAlign w:val="bottom"/>
            <w:tcBorders>
              <w:top w:val="single" w:sz="8" w:color="0000FF"/>
            </w:tcBorders>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Amended and Restated Master Services Agreement, by and between the Registrant and Miltenyi Biotec, Inc., dated November 20, 2021.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98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20" w:type="dxa"/>
            <w:vAlign w:val="bottom"/>
            <w:tcBorders>
              <w:top w:val="single" w:sz="8" w:color="0000FF"/>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620" w:type="dxa"/>
            <w:vAlign w:val="bottom"/>
            <w:tcBorders>
              <w:top w:val="single" w:sz="8" w:color="0000FF"/>
            </w:tcBorders>
            <w:gridSpan w:val="7"/>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Executive Officer Pursuant to Rules 13a-14(a) and 15d-14(a) under the Securities Exchange Act of</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60" w:type="dxa"/>
            <w:vAlign w:val="bottom"/>
            <w:tcBorders>
              <w:top w:val="single" w:sz="8" w:color="0000FF"/>
              <w:bottom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 of 2002.</w:t>
            </w:r>
          </w:p>
        </w:tc>
        <w:tc>
          <w:tcPr>
            <w:tcW w:w="4060" w:type="dxa"/>
            <w:vAlign w:val="bottom"/>
            <w:tcBorders>
              <w:top w:val="single" w:sz="8" w:color="0000FF"/>
            </w:tcBorders>
            <w:gridSpan w:val="7"/>
          </w:tcPr>
          <w:p>
            <w:pPr>
              <w:spacing w:after="0"/>
              <w:rPr>
                <w:sz w:val="14"/>
                <w:szCs w:val="14"/>
                <w:color w:val="auto"/>
              </w:rPr>
            </w:pPr>
          </w:p>
        </w:tc>
        <w:tc>
          <w:tcPr>
            <w:tcW w:w="1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tcBorders>
              <w:top w:val="single" w:sz="8" w:color="0000FF"/>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6340" w:type="dxa"/>
            <w:vAlign w:val="bottom"/>
            <w:tcBorders>
              <w:top w:val="single" w:sz="8" w:color="0000FF"/>
            </w:tcBorders>
            <w:gridSpan w:val="14"/>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40" w:right="440" w:hanging="1104"/>
        <w:spacing w:after="0" w:line="250" w:lineRule="auto"/>
        <w:tabs>
          <w:tab w:leader="none" w:pos="12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62"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6686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the exhibit is being furnished, not filed, with this report.</w:t>
      </w:r>
    </w:p>
    <w:p>
      <w:pPr>
        <w:spacing w:after="0" w:line="3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Registrant has redacted provisions or terms of this Exhibit pursuant to Regulation S-K item 601(b)(10)(iv). The Registrant agrees to furnish an unredacted copy of the Exhibit to the SEC upon request.</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0" w:right="4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ind w:left="20"/>
        <w:spacing w:after="0"/>
        <w:tabs>
          <w:tab w:leader="none" w:pos="5060" w:val="left"/>
          <w:tab w:leader="none" w:pos="77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1"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Geoff MacKay</w:t>
      </w:r>
    </w:p>
    <w:p>
      <w:pPr>
        <w:spacing w:after="0" w:line="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Principal Executive Officer</w:t>
      </w:r>
    </w:p>
    <w:p>
      <w:pPr>
        <w:spacing w:after="0" w:line="207" w:lineRule="exact"/>
        <w:rPr>
          <w:sz w:val="20"/>
          <w:szCs w:val="20"/>
          <w:color w:val="auto"/>
        </w:rPr>
      </w:pPr>
    </w:p>
    <w:p>
      <w:pPr>
        <w:ind w:left="20"/>
        <w:spacing w:after="0"/>
        <w:tabs>
          <w:tab w:leader="none" w:pos="5060" w:val="left"/>
          <w:tab w:leader="none" w:pos="77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1"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Erik Ostrowski</w:t>
      </w:r>
    </w:p>
    <w:p>
      <w:pPr>
        <w:spacing w:after="0" w:line="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Chief Financial Officer and Principal Financial and Accounting Officer</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80" w:name="page81"/>
    <w:bookmarkEnd w:id="80"/>
    <w:p>
      <w:pPr>
        <w:ind w:left="10000"/>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14" w:lineRule="exact"/>
        <w:rPr>
          <w:sz w:val="20"/>
          <w:szCs w:val="20"/>
          <w:color w:val="auto"/>
        </w:rPr>
      </w:pPr>
    </w:p>
    <w:p>
      <w:pPr>
        <w:jc w:val="cente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CERTAIN IDENTIFIED INFORMATION HAS BEEN EXCLUDED FROM THIS EXHIBIT BECAUSE IT IS BOTH NOT MATERIAL AND IS OF THE TYPE THAT THE REGISTRANT TREATS AS PRIVATE OR CONFIDENTIAL. THIS REDACTED INFORMATION HAS BEEN MARKED IN THIS EXHIBIT WITH THREE ASTERISKS [***].</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MASTER SERVICES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for Custom </w:t>
      </w:r>
      <w:r>
        <w:rPr>
          <w:rFonts w:ascii="Times New Roman" w:cs="Times New Roman" w:eastAsia="Times New Roman" w:hAnsi="Times New Roman"/>
          <w:sz w:val="20"/>
          <w:szCs w:val="20"/>
          <w:b w:val="1"/>
          <w:bCs w:val="1"/>
          <w:i w:val="1"/>
          <w:iCs w:val="1"/>
          <w:color w:val="auto"/>
        </w:rPr>
        <w:t>Ex Vivo Cellular</w:t>
      </w:r>
      <w:r>
        <w:rPr>
          <w:rFonts w:ascii="Times New Roman" w:cs="Times New Roman" w:eastAsia="Times New Roman" w:hAnsi="Times New Roman"/>
          <w:sz w:val="20"/>
          <w:szCs w:val="20"/>
          <w:b w:val="1"/>
          <w:bCs w:val="1"/>
          <w:color w:val="auto"/>
        </w:rPr>
        <w:t xml:space="preserve"> Manufacturing Services</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THIS AMENDED AND RESTATED MASTER SERVICES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u w:val="single" w:color="auto"/>
          <w:color w:val="auto"/>
        </w:rPr>
        <w:t>Agreement</w:t>
      </w:r>
      <w:r>
        <w:rPr>
          <w:rFonts w:ascii="Times New Roman" w:cs="Times New Roman" w:eastAsia="Times New Roman" w:hAnsi="Times New Roman"/>
          <w:sz w:val="20"/>
          <w:szCs w:val="20"/>
          <w:color w:val="auto"/>
        </w:rPr>
        <w:t>”) is entered into as of Nov. 30,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2021 (the “</w:t>
      </w:r>
      <w:r>
        <w:rPr>
          <w:rFonts w:ascii="Times New Roman" w:cs="Times New Roman" w:eastAsia="Times New Roman" w:hAnsi="Times New Roman"/>
          <w:sz w:val="20"/>
          <w:szCs w:val="20"/>
          <w:b w:val="1"/>
          <w:bCs w:val="1"/>
          <w:u w:val="single" w:color="auto"/>
          <w:color w:val="auto"/>
        </w:rPr>
        <w:t>Effective Date</w:t>
      </w:r>
      <w:r>
        <w:rPr>
          <w:rFonts w:ascii="Times New Roman" w:cs="Times New Roman" w:eastAsia="Times New Roman" w:hAnsi="Times New Roman"/>
          <w:sz w:val="20"/>
          <w:szCs w:val="20"/>
          <w:color w:val="auto"/>
        </w:rPr>
        <w:t xml:space="preserve">”), by and between </w:t>
      </w:r>
      <w:r>
        <w:rPr>
          <w:rFonts w:ascii="Times New Roman" w:cs="Times New Roman" w:eastAsia="Times New Roman" w:hAnsi="Times New Roman"/>
          <w:sz w:val="20"/>
          <w:szCs w:val="20"/>
          <w:b w:val="1"/>
          <w:bCs w:val="1"/>
          <w:color w:val="auto"/>
        </w:rPr>
        <w:t>MILTENYI BIOTEC, INC.</w:t>
      </w:r>
      <w:r>
        <w:rPr>
          <w:rFonts w:ascii="Times New Roman" w:cs="Times New Roman" w:eastAsia="Times New Roman" w:hAnsi="Times New Roman"/>
          <w:sz w:val="20"/>
          <w:szCs w:val="20"/>
          <w:color w:val="auto"/>
        </w:rPr>
        <w:t>, a California corporation and wholly-owned subsidiary of Miltenyi Biotec B.V. &amp; Co. KG, having a principal place of business at 2303 Lindbergh St., Auburn, CA 95602, USA (“</w:t>
      </w:r>
      <w:r>
        <w:rPr>
          <w:rFonts w:ascii="Times New Roman" w:cs="Times New Roman" w:eastAsia="Times New Roman" w:hAnsi="Times New Roman"/>
          <w:sz w:val="20"/>
          <w:szCs w:val="20"/>
          <w:b w:val="1"/>
          <w:bCs w:val="1"/>
          <w:u w:val="single" w:color="auto"/>
          <w:color w:val="auto"/>
        </w:rPr>
        <w:t>MBI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AVROBIO, INC</w:t>
      </w:r>
      <w:r>
        <w:rPr>
          <w:rFonts w:ascii="Times New Roman" w:cs="Times New Roman" w:eastAsia="Times New Roman" w:hAnsi="Times New Roman"/>
          <w:sz w:val="20"/>
          <w:szCs w:val="20"/>
          <w:color w:val="auto"/>
        </w:rPr>
        <w:t>., a Delaware corporation, having a principal place of business at One Kendall Square, Building 300, Suite 201, Cambridge,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 02139, USA (“</w:t>
      </w:r>
      <w:r>
        <w:rPr>
          <w:rFonts w:ascii="Times New Roman" w:cs="Times New Roman" w:eastAsia="Times New Roman" w:hAnsi="Times New Roman"/>
          <w:sz w:val="20"/>
          <w:szCs w:val="20"/>
          <w:b w:val="1"/>
          <w:bCs w:val="1"/>
          <w:u w:val="single" w:color="auto"/>
          <w:color w:val="auto"/>
        </w:rPr>
        <w:t>Client</w:t>
      </w:r>
      <w:r>
        <w:rPr>
          <w:rFonts w:ascii="Times New Roman" w:cs="Times New Roman" w:eastAsia="Times New Roman" w:hAnsi="Times New Roman"/>
          <w:sz w:val="20"/>
          <w:szCs w:val="20"/>
          <w:color w:val="auto"/>
        </w:rPr>
        <w:t>”) (each individually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Client has expertise in the field of innovative cellular therapies and is engaged in the development of cellular therapy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products for use in patient treatment;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MBI provides contract development and manufacturing services with respect to cell-based therapeutic products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clinical applications;</w:t>
      </w:r>
    </w:p>
    <w:p>
      <w:pPr>
        <w:spacing w:after="0" w:line="13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Client desires to engage MBI to perform, and MBI is willing to perform, development and manufacturing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one or more cell-based therapeutic product(s) on behalf of Client, on the terms and subject to the conditions set forth in this Agreement; and</w:t>
      </w:r>
    </w:p>
    <w:p>
      <w:pPr>
        <w:spacing w:after="0" w:line="169" w:lineRule="exact"/>
        <w:rPr>
          <w:sz w:val="20"/>
          <w:szCs w:val="20"/>
          <w:color w:val="auto"/>
        </w:rPr>
      </w:pPr>
    </w:p>
    <w:p>
      <w:pPr>
        <w:jc w:val="both"/>
        <w:ind w:right="20" w:firstLine="749"/>
        <w:spacing w:after="0" w:line="300"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MBI and Client entered into the Master Services Agreement dated October 9, 2017 (the “Prior Agreement”), and now,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Section 12.4, wish to replace the Prior Agreement in its entirety with the Agreement set forth herein as of the Effective Date.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16"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foregoing and the mutual covenants and premises contained in this Agreement,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other good and valuable consideration, the receipt and sufficiency of which are hereby acknowledged, the Parties hereto agree as follows:</w:t>
      </w:r>
    </w:p>
    <w:p>
      <w:pPr>
        <w:spacing w:after="0" w:line="143" w:lineRule="exact"/>
        <w:rPr>
          <w:sz w:val="20"/>
          <w:szCs w:val="20"/>
          <w:color w:val="auto"/>
        </w:rPr>
      </w:pPr>
    </w:p>
    <w:p>
      <w:pPr>
        <w:ind w:left="760" w:hanging="752"/>
        <w:spacing w:after="0"/>
        <w:tabs>
          <w:tab w:leader="none" w:pos="7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 INTERPRETATION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1.1 “</w:t>
      </w:r>
      <w:r>
        <w:rPr>
          <w:rFonts w:ascii="Times New Roman" w:cs="Times New Roman" w:eastAsia="Times New Roman" w:hAnsi="Times New Roman"/>
          <w:sz w:val="20"/>
          <w:szCs w:val="20"/>
          <w:b w:val="1"/>
          <w:bCs w:val="1"/>
          <w:u w:val="single" w:color="auto"/>
          <w:color w:val="auto"/>
        </w:rPr>
        <w:t>Affiliate</w:t>
      </w:r>
      <w:r>
        <w:rPr>
          <w:rFonts w:ascii="Times New Roman" w:cs="Times New Roman" w:eastAsia="Times New Roman" w:hAnsi="Times New Roman"/>
          <w:sz w:val="20"/>
          <w:szCs w:val="20"/>
          <w:color w:val="auto"/>
        </w:rPr>
        <w:t>” shall mean, with respect to a Party to this Agreement, any corporation, company or other business entity controlled by, controlling, or under common control with such Party. For the purposes of this definition, the term “control” (including, with correlative meanings, the terms “controlled by” and “under common control with”) shall mean the possession, directly or indirectly, of more than 50% of the outstanding voting securities of a corporation or comparable equity interest in any other type of business entity, or the power to direct the management and policies of such corporation, company or other business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1" w:name="page82"/>
    <w:bookmarkEnd w:id="81"/>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1.2 “</w:t>
      </w:r>
      <w:r>
        <w:rPr>
          <w:rFonts w:ascii="Times New Roman" w:cs="Times New Roman" w:eastAsia="Times New Roman" w:hAnsi="Times New Roman"/>
          <w:sz w:val="20"/>
          <w:szCs w:val="20"/>
          <w:b w:val="1"/>
          <w:bCs w:val="1"/>
          <w:u w:val="single" w:color="auto"/>
          <w:color w:val="auto"/>
        </w:rPr>
        <w:t>Agreed Standards</w:t>
      </w:r>
      <w:r>
        <w:rPr>
          <w:rFonts w:ascii="Times New Roman" w:cs="Times New Roman" w:eastAsia="Times New Roman" w:hAnsi="Times New Roman"/>
          <w:sz w:val="20"/>
          <w:szCs w:val="20"/>
          <w:color w:val="auto"/>
        </w:rPr>
        <w:t>” shall mean, to the exclusion of any other standards: (a) with respect to particular Services or Manufacturing, under an SOW, the agreed standards for performance of such Services or Manufacturing, as expressly specified in such SOW; or (b) with respect to any Results to be generated by Services or Product to be Manufactured under an SOW, the agreed standards for generation of such Results or Manufacture of such Product, which shall include any relevant Specifications, as expressly specified in such SOW or in the applicable Quality Agreement (if any).</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1.3 “</w:t>
      </w:r>
      <w:r>
        <w:rPr>
          <w:rFonts w:ascii="Times New Roman" w:cs="Times New Roman" w:eastAsia="Times New Roman" w:hAnsi="Times New Roman"/>
          <w:sz w:val="20"/>
          <w:szCs w:val="20"/>
          <w:b w:val="1"/>
          <w:bCs w:val="1"/>
          <w:u w:val="single" w:color="auto"/>
          <w:color w:val="auto"/>
        </w:rPr>
        <w:t>Applicable Laws</w:t>
      </w:r>
      <w:r>
        <w:rPr>
          <w:rFonts w:ascii="Times New Roman" w:cs="Times New Roman" w:eastAsia="Times New Roman" w:hAnsi="Times New Roman"/>
          <w:sz w:val="20"/>
          <w:szCs w:val="20"/>
          <w:color w:val="auto"/>
        </w:rPr>
        <w:t>” shall mean all relevant federal, state and local laws, statutes, rules, regulations, and ordinances in the United States applicable to the Parties or their respective obligations under this Agreement, including Manufacture of Product at the Facility. Applicable Laws include, only in the case of Manufacture of GMP Product Batches, as such GMP Manufacture is expressly stated in the relevant SOW or Quality Agreement, (a) the FD&amp;C Act; (b) GMP; and (c) all applicable regulations and guidelines of the FDA and/or any other relevant regulatory authority in the United States applicable to the Manufacture of Product for the agreed purpose of use; in each case, together, with any and all amendments thereto.</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1.4 “</w:t>
      </w:r>
      <w:r>
        <w:rPr>
          <w:rFonts w:ascii="Times New Roman" w:cs="Times New Roman" w:eastAsia="Times New Roman" w:hAnsi="Times New Roman"/>
          <w:sz w:val="20"/>
          <w:szCs w:val="20"/>
          <w:b w:val="1"/>
          <w:bCs w:val="1"/>
          <w:u w:val="single" w:color="auto"/>
          <w:color w:val="auto"/>
        </w:rPr>
        <w:t>Bankruptcy Event</w:t>
      </w:r>
      <w:r>
        <w:rPr>
          <w:rFonts w:ascii="Times New Roman" w:cs="Times New Roman" w:eastAsia="Times New Roman" w:hAnsi="Times New Roman"/>
          <w:sz w:val="20"/>
          <w:szCs w:val="20"/>
          <w:color w:val="auto"/>
        </w:rPr>
        <w:t>” shall mean that: (a) MBI becomes insolvent; or (b) voluntary or involuntary proceedings by or against MBI are instituted in bankruptcy or under any insolvency law, which proceedings, if involuntary, shall not have been dismissed within ninety (90) calendar days after the date of filing; or (c) a receiver or custodian is appointed for MBI, or proceedings are instituted by or against MBI for corporate reorganization or the dissolution of MBI, which proceedings, if involuntary, shall not have been dismissed within ninety (90) calendar days after the date of filing; or (d) MBI makes an assignment of substantially all of its assets for the benefit of its creditors, or substantially all of the assets of MBI are seized or attached and not released within ninety (90) calendar days thereafter.</w:t>
      </w:r>
    </w:p>
    <w:p>
      <w:pPr>
        <w:spacing w:after="0" w:line="18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1.5 “</w:t>
      </w:r>
      <w:r>
        <w:rPr>
          <w:rFonts w:ascii="Times New Roman" w:cs="Times New Roman" w:eastAsia="Times New Roman" w:hAnsi="Times New Roman"/>
          <w:sz w:val="20"/>
          <w:szCs w:val="20"/>
          <w:b w:val="1"/>
          <w:bCs w:val="1"/>
          <w:u w:val="single" w:color="auto"/>
          <w:color w:val="auto"/>
        </w:rPr>
        <w:t>Batch</w:t>
      </w:r>
      <w:r>
        <w:rPr>
          <w:rFonts w:ascii="Times New Roman" w:cs="Times New Roman" w:eastAsia="Times New Roman" w:hAnsi="Times New Roman"/>
          <w:sz w:val="20"/>
          <w:szCs w:val="20"/>
          <w:color w:val="auto"/>
        </w:rPr>
        <w:t>” shall mean a specific quantity of Product that is intended to be of uniform character and quality and is produced during the same cycle of Manufacture.</w:t>
      </w:r>
    </w:p>
    <w:p>
      <w:pPr>
        <w:spacing w:after="0" w:line="13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1.6 “</w:t>
      </w:r>
      <w:r>
        <w:rPr>
          <w:rFonts w:ascii="Times New Roman" w:cs="Times New Roman" w:eastAsia="Times New Roman" w:hAnsi="Times New Roman"/>
          <w:sz w:val="20"/>
          <w:szCs w:val="20"/>
          <w:b w:val="1"/>
          <w:bCs w:val="1"/>
          <w:u w:val="single" w:color="auto"/>
          <w:color w:val="auto"/>
        </w:rPr>
        <w:t>Batch Documentation</w:t>
      </w:r>
      <w:r>
        <w:rPr>
          <w:rFonts w:ascii="Times New Roman" w:cs="Times New Roman" w:eastAsia="Times New Roman" w:hAnsi="Times New Roman"/>
          <w:sz w:val="20"/>
          <w:szCs w:val="20"/>
          <w:color w:val="auto"/>
        </w:rPr>
        <w:t>” shall mean all of the documentation associated with the Manufacture and testing of a given GMP Product Batch, including master batch record(s), executed batch records, QC data, deviation reports, and the Certificate of Analysis and Certificate of Compliance. For the avoidance of doubt, Batch Documentation shall be considered Client Property and Client Confidential Information, but only to the extent such Batch Documentation does not incorporate MBI Technology.</w:t>
      </w:r>
    </w:p>
    <w:p>
      <w:pPr>
        <w:spacing w:after="0" w:line="17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Cancellation Fee</w:t>
      </w:r>
      <w:r>
        <w:rPr>
          <w:rFonts w:ascii="Times New Roman" w:cs="Times New Roman" w:eastAsia="Times New Roman" w:hAnsi="Times New Roman"/>
          <w:sz w:val="19"/>
          <w:szCs w:val="19"/>
          <w:color w:val="auto"/>
        </w:rPr>
        <w:t>” shall have the meaning provided in Section 3.4.</w:t>
      </w:r>
    </w:p>
    <w:p>
      <w:pPr>
        <w:spacing w:after="0" w:line="21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color w:val="auto"/>
        </w:rPr>
        <w:t>1.8 “</w:t>
      </w:r>
      <w:r>
        <w:rPr>
          <w:rFonts w:ascii="Times New Roman" w:cs="Times New Roman" w:eastAsia="Times New Roman" w:hAnsi="Times New Roman"/>
          <w:sz w:val="20"/>
          <w:szCs w:val="20"/>
          <w:b w:val="1"/>
          <w:bCs w:val="1"/>
          <w:u w:val="single" w:color="auto"/>
          <w:color w:val="auto"/>
        </w:rPr>
        <w:t>Certificate of Analysis</w:t>
      </w:r>
      <w:r>
        <w:rPr>
          <w:rFonts w:ascii="Times New Roman" w:cs="Times New Roman" w:eastAsia="Times New Roman" w:hAnsi="Times New Roman"/>
          <w:sz w:val="20"/>
          <w:szCs w:val="20"/>
          <w:color w:val="auto"/>
        </w:rPr>
        <w:t>” means a document, signed by an authorized representative of MBI, describing the applicable Specifications for, and testing methods applied to, a Batch of Product, and the results of such testing.</w:t>
      </w:r>
    </w:p>
    <w:p>
      <w:pPr>
        <w:spacing w:after="0" w:line="16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1.9 “</w:t>
      </w:r>
      <w:r>
        <w:rPr>
          <w:rFonts w:ascii="Times New Roman" w:cs="Times New Roman" w:eastAsia="Times New Roman" w:hAnsi="Times New Roman"/>
          <w:sz w:val="20"/>
          <w:szCs w:val="20"/>
          <w:b w:val="1"/>
          <w:bCs w:val="1"/>
          <w:u w:val="single" w:color="auto"/>
          <w:color w:val="auto"/>
        </w:rPr>
        <w:t>Certificate of Compliance</w:t>
      </w:r>
      <w:r>
        <w:rPr>
          <w:rFonts w:ascii="Times New Roman" w:cs="Times New Roman" w:eastAsia="Times New Roman" w:hAnsi="Times New Roman"/>
          <w:sz w:val="20"/>
          <w:szCs w:val="20"/>
          <w:color w:val="auto"/>
        </w:rPr>
        <w:t>” means a document, signed by an authorized representative of MBI, attesting that a particular Batch of Product was Manufactured in accordance with GMP.</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1.10 “</w:t>
      </w:r>
      <w:r>
        <w:rPr>
          <w:rFonts w:ascii="Times New Roman" w:cs="Times New Roman" w:eastAsia="Times New Roman" w:hAnsi="Times New Roman"/>
          <w:sz w:val="20"/>
          <w:szCs w:val="20"/>
          <w:b w:val="1"/>
          <w:bCs w:val="1"/>
          <w:u w:val="single" w:color="auto"/>
          <w:color w:val="auto"/>
        </w:rPr>
        <w:t>Change Order</w:t>
      </w:r>
      <w:r>
        <w:rPr>
          <w:rFonts w:ascii="Times New Roman" w:cs="Times New Roman" w:eastAsia="Times New Roman" w:hAnsi="Times New Roman"/>
          <w:sz w:val="20"/>
          <w:szCs w:val="20"/>
          <w:color w:val="auto"/>
        </w:rPr>
        <w:t>” means an order issued pursuant to Section 2.3 hereof, authorizing additional Services or Manufacturing, or changes thereto, under a Statement of Work.</w:t>
      </w:r>
    </w:p>
    <w:p>
      <w:pPr>
        <w:spacing w:after="0" w:line="15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color w:val="auto"/>
        </w:rPr>
        <w:t>1.11 “</w:t>
      </w:r>
      <w:r>
        <w:rPr>
          <w:rFonts w:ascii="Times New Roman" w:cs="Times New Roman" w:eastAsia="Times New Roman" w:hAnsi="Times New Roman"/>
          <w:sz w:val="20"/>
          <w:szCs w:val="20"/>
          <w:b w:val="1"/>
          <w:bCs w:val="1"/>
          <w:u w:val="single" w:color="auto"/>
          <w:color w:val="auto"/>
        </w:rPr>
        <w:t>Client Equipment</w:t>
      </w:r>
      <w:r>
        <w:rPr>
          <w:rFonts w:ascii="Times New Roman" w:cs="Times New Roman" w:eastAsia="Times New Roman" w:hAnsi="Times New Roman"/>
          <w:sz w:val="20"/>
          <w:szCs w:val="20"/>
          <w:color w:val="auto"/>
        </w:rPr>
        <w:t>” means the equipment, if any, identified on the applicable SOW as being provided by Client or purchased or otherwise acquired by MBI on Client’s behalf at Client’s expense.</w:t>
      </w:r>
    </w:p>
    <w:p>
      <w:pPr>
        <w:spacing w:after="0" w:line="165"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1.12 “</w:t>
      </w:r>
      <w:r>
        <w:rPr>
          <w:rFonts w:ascii="Times New Roman" w:cs="Times New Roman" w:eastAsia="Times New Roman" w:hAnsi="Times New Roman"/>
          <w:sz w:val="20"/>
          <w:szCs w:val="20"/>
          <w:b w:val="1"/>
          <w:bCs w:val="1"/>
          <w:u w:val="single" w:color="auto"/>
          <w:color w:val="auto"/>
        </w:rPr>
        <w:t>Client Information</w:t>
      </w:r>
      <w:r>
        <w:rPr>
          <w:rFonts w:ascii="Times New Roman" w:cs="Times New Roman" w:eastAsia="Times New Roman" w:hAnsi="Times New Roman"/>
          <w:sz w:val="20"/>
          <w:szCs w:val="20"/>
          <w:color w:val="auto"/>
        </w:rPr>
        <w:t>” shall mean any Information that is disclosed by Client to MBI and/or its Affiliates for use in the performance of the applicable Project.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2" w:name="page83"/>
    <w:bookmarkEnd w:id="82"/>
    <w:p>
      <w:pPr>
        <w:spacing w:after="0" w:line="193" w:lineRule="auto"/>
        <w:framePr w:w="420" w:h="176" w:wrap="auto" w:vAnchor="page" w:hAnchor="page" w:x="1040" w:y="7078"/>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1.21</w:t>
      </w:r>
    </w:p>
    <w:p>
      <w:pPr>
        <w:spacing w:after="0" w:line="193" w:lineRule="auto"/>
        <w:framePr w:w="920" w:h="176" w:wrap="auto" w:vAnchor="page" w:hAnchor="page" w:x="280" w:y="7308"/>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hereunder.</w:t>
      </w:r>
    </w:p>
    <w:p>
      <w:pPr>
        <w:ind w:right="20" w:firstLine="749"/>
        <w:spacing w:after="0" w:line="273" w:lineRule="auto"/>
        <w:rPr>
          <w:sz w:val="20"/>
          <w:szCs w:val="20"/>
          <w:color w:val="auto"/>
        </w:rPr>
      </w:pPr>
      <w:r>
        <w:rPr>
          <w:rFonts w:ascii="Times New Roman" w:cs="Times New Roman" w:eastAsia="Times New Roman" w:hAnsi="Times New Roman"/>
          <w:sz w:val="20"/>
          <w:szCs w:val="20"/>
          <w:color w:val="auto"/>
        </w:rPr>
        <w:t>1.13 “</w:t>
      </w:r>
      <w:r>
        <w:rPr>
          <w:rFonts w:ascii="Times New Roman" w:cs="Times New Roman" w:eastAsia="Times New Roman" w:hAnsi="Times New Roman"/>
          <w:sz w:val="20"/>
          <w:szCs w:val="20"/>
          <w:b w:val="1"/>
          <w:bCs w:val="1"/>
          <w:u w:val="single" w:color="auto"/>
          <w:color w:val="auto"/>
        </w:rPr>
        <w:t>Client Materials</w:t>
      </w:r>
      <w:r>
        <w:rPr>
          <w:rFonts w:ascii="Times New Roman" w:cs="Times New Roman" w:eastAsia="Times New Roman" w:hAnsi="Times New Roman"/>
          <w:sz w:val="20"/>
          <w:szCs w:val="20"/>
          <w:color w:val="auto"/>
        </w:rPr>
        <w:t>” shall mean any and all biological and/or chemical materials that are transferred by or on behalf of Client to MBI and/or its Affiliates for use in the performance of the applicable Project; but excluding Client-Supplied Raw Materials.</w:t>
      </w:r>
    </w:p>
    <w:p>
      <w:pPr>
        <w:spacing w:after="0" w:line="152" w:lineRule="exact"/>
        <w:rPr>
          <w:rFonts w:ascii="Times New Roman" w:cs="Times New Roman" w:eastAsia="Times New Roman" w:hAnsi="Times New Roman"/>
          <w:sz w:val="19"/>
          <w:szCs w:val="19"/>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Client Property</w:t>
      </w:r>
      <w:r>
        <w:rPr>
          <w:rFonts w:ascii="Times New Roman" w:cs="Times New Roman" w:eastAsia="Times New Roman" w:hAnsi="Times New Roman"/>
          <w:sz w:val="19"/>
          <w:szCs w:val="19"/>
          <w:color w:val="auto"/>
        </w:rPr>
        <w:t>” shall have the meaning provided in Section 7.1.</w:t>
      </w:r>
    </w:p>
    <w:p>
      <w:pPr>
        <w:spacing w:after="0" w:line="216" w:lineRule="exact"/>
        <w:rPr>
          <w:rFonts w:ascii="Times New Roman" w:cs="Times New Roman" w:eastAsia="Times New Roman" w:hAnsi="Times New Roman"/>
          <w:sz w:val="19"/>
          <w:szCs w:val="19"/>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Client-Supplied Raw Materials</w:t>
      </w:r>
      <w:r>
        <w:rPr>
          <w:rFonts w:ascii="Times New Roman" w:cs="Times New Roman" w:eastAsia="Times New Roman" w:hAnsi="Times New Roman"/>
          <w:sz w:val="19"/>
          <w:szCs w:val="19"/>
          <w:color w:val="auto"/>
        </w:rPr>
        <w:t>” shall have the meaning provided in Section 3.3.</w:t>
      </w:r>
    </w:p>
    <w:p>
      <w:pPr>
        <w:spacing w:after="0" w:line="216" w:lineRule="exact"/>
        <w:rPr>
          <w:rFonts w:ascii="Times New Roman" w:cs="Times New Roman" w:eastAsia="Times New Roman" w:hAnsi="Times New Roman"/>
          <w:sz w:val="19"/>
          <w:szCs w:val="19"/>
          <w:color w:val="auto"/>
        </w:rPr>
      </w:pPr>
    </w:p>
    <w:p>
      <w:pPr>
        <w:ind w:firstLine="749"/>
        <w:spacing w:after="0" w:line="258" w:lineRule="auto"/>
        <w:rPr>
          <w:sz w:val="20"/>
          <w:szCs w:val="20"/>
          <w:color w:val="auto"/>
        </w:rPr>
      </w:pPr>
      <w:r>
        <w:rPr>
          <w:rFonts w:ascii="Times New Roman" w:cs="Times New Roman" w:eastAsia="Times New Roman" w:hAnsi="Times New Roman"/>
          <w:sz w:val="19"/>
          <w:szCs w:val="19"/>
          <w:color w:val="auto"/>
        </w:rPr>
        <w:t>1.16 “</w:t>
      </w:r>
      <w:r>
        <w:rPr>
          <w:rFonts w:ascii="Times New Roman" w:cs="Times New Roman" w:eastAsia="Times New Roman" w:hAnsi="Times New Roman"/>
          <w:sz w:val="19"/>
          <w:szCs w:val="19"/>
          <w:b w:val="1"/>
          <w:bCs w:val="1"/>
          <w:u w:val="single" w:color="auto"/>
          <w:color w:val="auto"/>
        </w:rPr>
        <w:t>Client Technology</w:t>
      </w:r>
      <w:r>
        <w:rPr>
          <w:rFonts w:ascii="Times New Roman" w:cs="Times New Roman" w:eastAsia="Times New Roman" w:hAnsi="Times New Roman"/>
          <w:sz w:val="19"/>
          <w:szCs w:val="19"/>
          <w:color w:val="auto"/>
        </w:rPr>
        <w:t>” means (a) Client Materials, Client-Supplied Raw Materials, and any intermediates, components, or derivatives thereof; (b) Product and any intermediates, components, or derivatives of Product; (c) Specifications; (d) Client Information; and</w:t>
      </w:r>
    </w:p>
    <w:p>
      <w:pPr>
        <w:spacing w:after="0" w:line="2" w:lineRule="exact"/>
        <w:rPr>
          <w:rFonts w:ascii="Times New Roman" w:cs="Times New Roman" w:eastAsia="Times New Roman" w:hAnsi="Times New Roman"/>
          <w:sz w:val="19"/>
          <w:szCs w:val="19"/>
          <w:color w:val="auto"/>
        </w:rPr>
      </w:pPr>
    </w:p>
    <w:p>
      <w:pPr>
        <w:jc w:val="both"/>
        <w:ind w:firstLine="8"/>
        <w:spacing w:after="0"/>
        <w:tabs>
          <w:tab w:leader="none" w:pos="30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methods, techniques, trade secrets, copyrights, know-how, data, documentation, regulatory submissions, specifications and other intellectual property of any kind (whether or not protectable under patent, trademark, copyright or similar laws) owned by or licensed to Client (i) existing prior to the Effective Date, (ii) developed or obtained by, or on behalf of, Client independent of this Agreement, or (iii) developed by MBI (or its Affiliates or subcontractors) in connection with the performance of its obligations hereunder that (1) is identified as Results for the relevant SOW, (2) specifically relates to any Client Information, Client Materials, Client- Supplied Raw Materials, or Client Confidential Information, and (3) does not otherwise fall under the definition of MBI Technology.</w:t>
      </w:r>
    </w:p>
    <w:p>
      <w:pPr>
        <w:spacing w:after="0" w:line="174" w:lineRule="exact"/>
        <w:rPr>
          <w:rFonts w:ascii="Times New Roman" w:cs="Times New Roman" w:eastAsia="Times New Roman" w:hAnsi="Times New Roman"/>
          <w:sz w:val="19"/>
          <w:szCs w:val="19"/>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1.17 “</w:t>
      </w:r>
      <w:r>
        <w:rPr>
          <w:rFonts w:ascii="Times New Roman" w:cs="Times New Roman" w:eastAsia="Times New Roman" w:hAnsi="Times New Roman"/>
          <w:sz w:val="20"/>
          <w:szCs w:val="20"/>
          <w:b w:val="1"/>
          <w:bCs w:val="1"/>
          <w:u w:val="single" w:color="auto"/>
          <w:color w:val="auto"/>
        </w:rPr>
        <w:t>Confidential Information</w:t>
      </w:r>
      <w:r>
        <w:rPr>
          <w:rFonts w:ascii="Times New Roman" w:cs="Times New Roman" w:eastAsia="Times New Roman" w:hAnsi="Times New Roman"/>
          <w:sz w:val="20"/>
          <w:szCs w:val="20"/>
          <w:color w:val="auto"/>
        </w:rPr>
        <w:t>” of a Party shall mean, subject to the exceptions set forth in Section 8.2, any and all Information that is disclosed or made available by or on behalf of such Party (the “</w:t>
      </w:r>
      <w:r>
        <w:rPr>
          <w:rFonts w:ascii="Times New Roman" w:cs="Times New Roman" w:eastAsia="Times New Roman" w:hAnsi="Times New Roman"/>
          <w:sz w:val="20"/>
          <w:szCs w:val="20"/>
          <w:b w:val="1"/>
          <w:bCs w:val="1"/>
          <w:u w:val="single" w:color="auto"/>
          <w:color w:val="auto"/>
        </w:rPr>
        <w:t>Disclosing Party</w:t>
      </w:r>
      <w:r>
        <w:rPr>
          <w:rFonts w:ascii="Times New Roman" w:cs="Times New Roman" w:eastAsia="Times New Roman" w:hAnsi="Times New Roman"/>
          <w:sz w:val="20"/>
          <w:szCs w:val="20"/>
          <w:color w:val="auto"/>
        </w:rPr>
        <w:t>”) to the other Party (the “</w:t>
      </w:r>
      <w:r>
        <w:rPr>
          <w:rFonts w:ascii="Times New Roman" w:cs="Times New Roman" w:eastAsia="Times New Roman" w:hAnsi="Times New Roman"/>
          <w:sz w:val="20"/>
          <w:szCs w:val="20"/>
          <w:b w:val="1"/>
          <w:bCs w:val="1"/>
          <w:u w:val="single" w:color="auto"/>
          <w:color w:val="auto"/>
        </w:rPr>
        <w:t>Receiving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Party</w:t>
      </w:r>
      <w:r>
        <w:rPr>
          <w:rFonts w:ascii="Times New Roman" w:cs="Times New Roman" w:eastAsia="Times New Roman" w:hAnsi="Times New Roman"/>
          <w:sz w:val="20"/>
          <w:szCs w:val="20"/>
          <w:color w:val="auto"/>
        </w:rPr>
        <w:t>”) or any of the Receiving Party’s Representatives, either before or after the Effective Date, in connection with this Agreement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the Prior Agreement; in each case, whether in writing, orally, visually, or otherwise. For clarity, all “Confidential Information” (as such term is defined in the Prior Agreement) disclosed or made available by or on behalf of the Disclosing Party to the Receiving Party or any of its Representatives pursuant to or in connection with the Prior Agreement shall be deemed the Confidential Information of such Disclosing Party for purposes of this Agreement.</w:t>
      </w:r>
    </w:p>
    <w:p>
      <w:pPr>
        <w:spacing w:after="0" w:line="166" w:lineRule="exact"/>
        <w:rPr>
          <w:rFonts w:ascii="Times New Roman" w:cs="Times New Roman" w:eastAsia="Times New Roman" w:hAnsi="Times New Roman"/>
          <w:sz w:val="19"/>
          <w:szCs w:val="19"/>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Deposit</w:t>
      </w:r>
      <w:r>
        <w:rPr>
          <w:rFonts w:ascii="Times New Roman" w:cs="Times New Roman" w:eastAsia="Times New Roman" w:hAnsi="Times New Roman"/>
          <w:sz w:val="19"/>
          <w:szCs w:val="19"/>
          <w:color w:val="auto"/>
        </w:rPr>
        <w:t>” shall have the meaning provided in Section 4.7.</w:t>
      </w:r>
    </w:p>
    <w:p>
      <w:pPr>
        <w:spacing w:after="0" w:line="216" w:lineRule="exact"/>
        <w:rPr>
          <w:rFonts w:ascii="Times New Roman" w:cs="Times New Roman" w:eastAsia="Times New Roman" w:hAnsi="Times New Roman"/>
          <w:sz w:val="19"/>
          <w:szCs w:val="19"/>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Disclosing Party</w:t>
      </w:r>
      <w:r>
        <w:rPr>
          <w:rFonts w:ascii="Times New Roman" w:cs="Times New Roman" w:eastAsia="Times New Roman" w:hAnsi="Times New Roman"/>
          <w:sz w:val="19"/>
          <w:szCs w:val="19"/>
          <w:color w:val="auto"/>
        </w:rPr>
        <w:t>” shall have the meaning provided in Section 1.17.</w:t>
      </w:r>
    </w:p>
    <w:p>
      <w:pPr>
        <w:spacing w:after="0" w:line="216" w:lineRule="exact"/>
        <w:rPr>
          <w:rFonts w:ascii="Times New Roman" w:cs="Times New Roman" w:eastAsia="Times New Roman" w:hAnsi="Times New Roman"/>
          <w:sz w:val="19"/>
          <w:szCs w:val="19"/>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Expenses</w:t>
      </w:r>
      <w:r>
        <w:rPr>
          <w:rFonts w:ascii="Times New Roman" w:cs="Times New Roman" w:eastAsia="Times New Roman" w:hAnsi="Times New Roman"/>
          <w:sz w:val="19"/>
          <w:szCs w:val="19"/>
          <w:color w:val="auto"/>
        </w:rPr>
        <w:t>” shall have the meaning provided in Section 4.2.</w:t>
      </w:r>
    </w:p>
    <w:p>
      <w:pPr>
        <w:spacing w:after="0" w:line="216" w:lineRule="exact"/>
        <w:rPr>
          <w:rFonts w:ascii="Times New Roman" w:cs="Times New Roman" w:eastAsia="Times New Roman" w:hAnsi="Times New Roman"/>
          <w:sz w:val="19"/>
          <w:szCs w:val="19"/>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Facility</w:t>
      </w:r>
      <w:r>
        <w:rPr>
          <w:rFonts w:ascii="Times New Roman" w:cs="Times New Roman" w:eastAsia="Times New Roman" w:hAnsi="Times New Roman"/>
          <w:sz w:val="20"/>
          <w:szCs w:val="20"/>
          <w:color w:val="auto"/>
        </w:rPr>
        <w:t>” shall mean the Product manufacturing facility of MBI or its Affiliates at which any Product is Manufactured</w:t>
      </w:r>
    </w:p>
    <w:p>
      <w:pPr>
        <w:spacing w:after="0" w:line="200" w:lineRule="exact"/>
        <w:rPr>
          <w:rFonts w:ascii="Times New Roman" w:cs="Times New Roman" w:eastAsia="Times New Roman" w:hAnsi="Times New Roman"/>
          <w:sz w:val="19"/>
          <w:szCs w:val="19"/>
          <w:color w:val="auto"/>
        </w:rPr>
      </w:pPr>
    </w:p>
    <w:p>
      <w:pPr>
        <w:spacing w:after="0" w:line="245" w:lineRule="exact"/>
        <w:rPr>
          <w:rFonts w:ascii="Times New Roman" w:cs="Times New Roman" w:eastAsia="Times New Roman" w:hAnsi="Times New Roman"/>
          <w:sz w:val="19"/>
          <w:szCs w:val="19"/>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color w:val="auto"/>
        </w:rPr>
        <w:t>1.22 “</w:t>
      </w:r>
      <w:r>
        <w:rPr>
          <w:rFonts w:ascii="Times New Roman" w:cs="Times New Roman" w:eastAsia="Times New Roman" w:hAnsi="Times New Roman"/>
          <w:sz w:val="20"/>
          <w:szCs w:val="20"/>
          <w:b w:val="1"/>
          <w:bCs w:val="1"/>
          <w:u w:val="single" w:color="auto"/>
          <w:color w:val="auto"/>
        </w:rPr>
        <w:t>FD&amp;C Act</w:t>
      </w:r>
      <w:r>
        <w:rPr>
          <w:rFonts w:ascii="Times New Roman" w:cs="Times New Roman" w:eastAsia="Times New Roman" w:hAnsi="Times New Roman"/>
          <w:sz w:val="20"/>
          <w:szCs w:val="20"/>
          <w:color w:val="auto"/>
        </w:rPr>
        <w:t>” shall mean the United States Federal Food, Drug and Cosmetic Act and regulations promulgated thereunder, as each may be amended from time to time.</w:t>
      </w:r>
    </w:p>
    <w:p>
      <w:pPr>
        <w:spacing w:after="0" w:line="165" w:lineRule="exact"/>
        <w:rPr>
          <w:rFonts w:ascii="Times New Roman" w:cs="Times New Roman" w:eastAsia="Times New Roman" w:hAnsi="Times New Roman"/>
          <w:sz w:val="19"/>
          <w:szCs w:val="19"/>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FDA</w:t>
      </w:r>
      <w:r>
        <w:rPr>
          <w:rFonts w:ascii="Times New Roman" w:cs="Times New Roman" w:eastAsia="Times New Roman" w:hAnsi="Times New Roman"/>
          <w:sz w:val="19"/>
          <w:szCs w:val="19"/>
          <w:color w:val="auto"/>
        </w:rPr>
        <w:t>” shall mean the United States Food and Drug Administration or the successor thereto.</w:t>
      </w:r>
    </w:p>
    <w:p>
      <w:pPr>
        <w:spacing w:after="0" w:line="216" w:lineRule="exact"/>
        <w:rPr>
          <w:rFonts w:ascii="Times New Roman" w:cs="Times New Roman" w:eastAsia="Times New Roman" w:hAnsi="Times New Roman"/>
          <w:sz w:val="19"/>
          <w:szCs w:val="19"/>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Fee</w:t>
      </w:r>
      <w:r>
        <w:rPr>
          <w:rFonts w:ascii="Times New Roman" w:cs="Times New Roman" w:eastAsia="Times New Roman" w:hAnsi="Times New Roman"/>
          <w:sz w:val="19"/>
          <w:szCs w:val="19"/>
          <w:color w:val="auto"/>
        </w:rPr>
        <w:t>” shall have the meaning provided in Section 4.1.</w:t>
      </w:r>
    </w:p>
    <w:p>
      <w:pPr>
        <w:spacing w:after="0" w:line="216" w:lineRule="exact"/>
        <w:rPr>
          <w:rFonts w:ascii="Times New Roman" w:cs="Times New Roman" w:eastAsia="Times New Roman" w:hAnsi="Times New Roman"/>
          <w:sz w:val="19"/>
          <w:szCs w:val="19"/>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1.25 “</w:t>
      </w:r>
      <w:r>
        <w:rPr>
          <w:rFonts w:ascii="Times New Roman" w:cs="Times New Roman" w:eastAsia="Times New Roman" w:hAnsi="Times New Roman"/>
          <w:sz w:val="20"/>
          <w:szCs w:val="20"/>
          <w:b w:val="1"/>
          <w:bCs w:val="1"/>
          <w:color w:val="auto"/>
        </w:rPr>
        <w:t>GMP</w:t>
      </w:r>
      <w:r>
        <w:rPr>
          <w:rFonts w:ascii="Times New Roman" w:cs="Times New Roman" w:eastAsia="Times New Roman" w:hAnsi="Times New Roman"/>
          <w:sz w:val="20"/>
          <w:szCs w:val="20"/>
          <w:color w:val="auto"/>
        </w:rPr>
        <w:t>” shall mean current good manufacturing practices for the production of biological products for the United States as set forth in Parts 210, 211 and 600 of Title 21 of the U.S. Code of Federal Regulations (21 CFR 210 and 211), and as set forth in Parts 1270 and 1271 of Title 21 of the U.S. Code of Federal Regulations (21 CFR 1270 and 1271), as applicable, as each may be amended from time to time</w:t>
      </w:r>
    </w:p>
    <w:p>
      <w:pPr>
        <w:spacing w:after="0" w:line="182" w:lineRule="exact"/>
        <w:rPr>
          <w:rFonts w:ascii="Times New Roman" w:cs="Times New Roman" w:eastAsia="Times New Roman" w:hAnsi="Times New Roman"/>
          <w:sz w:val="19"/>
          <w:szCs w:val="19"/>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3" w:name="page84"/>
    <w:bookmarkEnd w:id="83"/>
    <w:p>
      <w:pPr>
        <w:jc w:val="both"/>
        <w:spacing w:after="0" w:line="269" w:lineRule="auto"/>
        <w:rPr>
          <w:sz w:val="20"/>
          <w:szCs w:val="20"/>
          <w:color w:val="auto"/>
        </w:rPr>
      </w:pPr>
      <w:r>
        <w:rPr>
          <w:rFonts w:ascii="Times New Roman" w:cs="Times New Roman" w:eastAsia="Times New Roman" w:hAnsi="Times New Roman"/>
          <w:sz w:val="20"/>
          <w:szCs w:val="20"/>
          <w:color w:val="auto"/>
        </w:rPr>
        <w:t>after the Effective Date, and as interpreted by ICH Harmonised Tripartite Guidelines applicable to biotechnological/biological products; in each case, as applicable to investigational biological products for use in human clinical trials.</w:t>
      </w:r>
    </w:p>
    <w:p>
      <w:pPr>
        <w:spacing w:after="0" w:line="15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1.26 “</w:t>
      </w:r>
      <w:r>
        <w:rPr>
          <w:rFonts w:ascii="Times New Roman" w:cs="Times New Roman" w:eastAsia="Times New Roman" w:hAnsi="Times New Roman"/>
          <w:sz w:val="20"/>
          <w:szCs w:val="20"/>
          <w:b w:val="1"/>
          <w:bCs w:val="1"/>
          <w:u w:val="single" w:color="auto"/>
          <w:color w:val="auto"/>
        </w:rPr>
        <w:t>GMP Product Batch</w:t>
      </w:r>
      <w:r>
        <w:rPr>
          <w:rFonts w:ascii="Times New Roman" w:cs="Times New Roman" w:eastAsia="Times New Roman" w:hAnsi="Times New Roman"/>
          <w:sz w:val="20"/>
          <w:szCs w:val="20"/>
          <w:color w:val="auto"/>
        </w:rPr>
        <w:t>” shall mean a Batch of Product supplied, or to be supplied, to Client hereunder that the applicable SOW expressly specifies is to be Manufactured in accordance with GMP.</w:t>
      </w:r>
    </w:p>
    <w:p>
      <w:pPr>
        <w:spacing w:after="0" w:line="15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1.27 “</w:t>
      </w:r>
      <w:r>
        <w:rPr>
          <w:rFonts w:ascii="Times New Roman" w:cs="Times New Roman" w:eastAsia="Times New Roman" w:hAnsi="Times New Roman"/>
          <w:sz w:val="20"/>
          <w:szCs w:val="20"/>
          <w:b w:val="1"/>
          <w:bCs w:val="1"/>
          <w:u w:val="single" w:color="auto"/>
          <w:color w:val="auto"/>
        </w:rPr>
        <w:t>Information</w:t>
      </w:r>
      <w:r>
        <w:rPr>
          <w:rFonts w:ascii="Times New Roman" w:cs="Times New Roman" w:eastAsia="Times New Roman" w:hAnsi="Times New Roman"/>
          <w:sz w:val="20"/>
          <w:szCs w:val="20"/>
          <w:color w:val="auto"/>
        </w:rPr>
        <w:t>” shall mean any and all technical information and know-how, including without limitation, data, instructions, processes, formulae, trade secrets, expert opinions and other information (in written or other tangible form) including, without limitation, any biological, chemical, pharmacological, toxicological, clinical, assay, control and manufacturing data, biological materials, manufacturing or related technology, analytical methodology, chemical and quality control procedures, protocols, techniques, improvements and results of experimentation and testing.</w:t>
      </w:r>
    </w:p>
    <w:p>
      <w:pPr>
        <w:spacing w:after="0" w:line="18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1.28 “</w:t>
      </w:r>
      <w:r>
        <w:rPr>
          <w:rFonts w:ascii="Times New Roman" w:cs="Times New Roman" w:eastAsia="Times New Roman" w:hAnsi="Times New Roman"/>
          <w:sz w:val="19"/>
          <w:szCs w:val="19"/>
          <w:b w:val="1"/>
          <w:bCs w:val="1"/>
          <w:u w:val="single" w:color="auto"/>
          <w:color w:val="auto"/>
        </w:rPr>
        <w:t>MBI Technology</w:t>
      </w:r>
      <w:r>
        <w:rPr>
          <w:rFonts w:ascii="Times New Roman" w:cs="Times New Roman" w:eastAsia="Times New Roman" w:hAnsi="Times New Roman"/>
          <w:sz w:val="19"/>
          <w:szCs w:val="19"/>
          <w:color w:val="auto"/>
        </w:rPr>
        <w:t>” shall mean: (a) MBI’s proprietary instrument systems (e.g., [***], including, without limitation, all software, protocols operating instructions, etc.), reagents and consumables, and the Manufacturing Process that MBI uses in the Manufacture of Products on behalf of its clients, including all Information relating thereto, that is either (i) owned or controlled by MBI or its Affiliates on the Effective Date or (ii) developed or acquired, and owned or controlled, by MBI or its Affiliates during the Term independently of any activities conducted pursuant to this Agreement; and (b) any improvement, modification or enhancement to such MBI proprietary instrument systems, reagents or consumables or Manufacturing Process (and all Information related thereto) that (i) is made, created, authored, conceived or reduced to practice during the Term (whether or not in the course and as a result of performing Services or Manufacturing), (ii) is not specific to the Product, and (iii) does not specifically relate to any Client Information or proprietary Client Materials or Client-Supplied Raw Materials; including, in each case, all patent and other intellectual property rights in or to any of the foregoing.</w:t>
      </w:r>
    </w:p>
    <w:p>
      <w:pPr>
        <w:spacing w:after="0" w:line="17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1.29 “</w:t>
      </w:r>
      <w:r>
        <w:rPr>
          <w:rFonts w:ascii="Times New Roman" w:cs="Times New Roman" w:eastAsia="Times New Roman" w:hAnsi="Times New Roman"/>
          <w:sz w:val="20"/>
          <w:szCs w:val="20"/>
          <w:b w:val="1"/>
          <w:bCs w:val="1"/>
          <w:u w:val="single" w:color="auto"/>
          <w:color w:val="auto"/>
        </w:rPr>
        <w:t>Manufacture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u w:val="single" w:color="auto"/>
          <w:color w:val="auto"/>
        </w:rPr>
        <w:t>Manufacturing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u w:val="single" w:color="auto"/>
          <w:color w:val="auto"/>
        </w:rPr>
        <w:t>Manufactured</w:t>
      </w:r>
      <w:r>
        <w:rPr>
          <w:rFonts w:ascii="Times New Roman" w:cs="Times New Roman" w:eastAsia="Times New Roman" w:hAnsi="Times New Roman"/>
          <w:sz w:val="20"/>
          <w:szCs w:val="20"/>
          <w:color w:val="auto"/>
        </w:rPr>
        <w:t>” shall mean, with respect to a given Product and as may be set forth in more detail in the applicable SOW, all operations in the manufacture and supply of such Product to Client (and/or its Affiliates and designees) hereunder in accordance with this Agreement, including the acquisition, receipt, incoming inspection, storage and handling of Raw Materials, and the manufacturing, formulation, finishing, filling, production, warehousing, storage, handling, quality control testing including in-process, release and stability testing), bulk packaging, primary and secondary packaging, and labeling, release and delivery of Product to Client (and/or its Affiliates and designees).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1.30 “</w:t>
      </w:r>
      <w:r>
        <w:rPr>
          <w:rFonts w:ascii="Times New Roman" w:cs="Times New Roman" w:eastAsia="Times New Roman" w:hAnsi="Times New Roman"/>
          <w:sz w:val="20"/>
          <w:szCs w:val="20"/>
          <w:b w:val="1"/>
          <w:bCs w:val="1"/>
          <w:u w:val="single" w:color="auto"/>
          <w:color w:val="auto"/>
        </w:rPr>
        <w:t>Manufacturing Process</w:t>
      </w:r>
      <w:r>
        <w:rPr>
          <w:rFonts w:ascii="Times New Roman" w:cs="Times New Roman" w:eastAsia="Times New Roman" w:hAnsi="Times New Roman"/>
          <w:sz w:val="20"/>
          <w:szCs w:val="20"/>
          <w:color w:val="auto"/>
        </w:rPr>
        <w:t>” shall mean any and all processes (or any step in any process) and environment used or planned to be used by MBI or its Affiliates to Manufacture a Product, as evidenced in MBI’s master batch record for such Product, including, without limitation, any and all steps and operations performed by MBI or its Affiliates in connection with the preparation or optimization of Manufacturing, and in-process and quality controls or other analytical procedures performed by MBI or its Affiliates in connection with the Manufacture of Product.</w:t>
      </w:r>
    </w:p>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1.31 “</w:t>
      </w:r>
      <w:r>
        <w:rPr>
          <w:rFonts w:ascii="Times New Roman" w:cs="Times New Roman" w:eastAsia="Times New Roman" w:hAnsi="Times New Roman"/>
          <w:sz w:val="20"/>
          <w:szCs w:val="20"/>
          <w:b w:val="1"/>
          <w:bCs w:val="1"/>
          <w:u w:val="single" w:color="auto"/>
          <w:color w:val="auto"/>
        </w:rPr>
        <w:t>Master File</w:t>
      </w:r>
      <w:r>
        <w:rPr>
          <w:rFonts w:ascii="Times New Roman" w:cs="Times New Roman" w:eastAsia="Times New Roman" w:hAnsi="Times New Roman"/>
          <w:sz w:val="20"/>
          <w:szCs w:val="20"/>
          <w:color w:val="auto"/>
        </w:rPr>
        <w:t>” shall mean MBI’s regulatory support file(s) submitted by MBI to FDA (or, if mutually agreed in writing on a case-by-case basis, another regulatory authority) which MBI permits its clients to reference in such clients’ regulatory submissions with respect to investigational new Products that contain or incorporate, or are manufactured using, MBI Technology and/or otherwise manufactured and supplied by MBI, as amended or updated by MBI from time to time in its sole discretion but subject to Section 6.1.</w:t>
      </w:r>
    </w:p>
    <w:p>
      <w:pPr>
        <w:spacing w:after="0" w:line="178"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Materials</w:t>
      </w:r>
      <w:r>
        <w:rPr>
          <w:rFonts w:ascii="Times New Roman" w:cs="Times New Roman" w:eastAsia="Times New Roman" w:hAnsi="Times New Roman"/>
          <w:sz w:val="19"/>
          <w:szCs w:val="19"/>
          <w:color w:val="auto"/>
        </w:rPr>
        <w:t>” shall have the meaning provided in Section 2.8.</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4" w:name="page85"/>
    <w:bookmarkEnd w:id="84"/>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Non-Conforming Product</w:t>
      </w:r>
      <w:r>
        <w:rPr>
          <w:rFonts w:ascii="Times New Roman" w:cs="Times New Roman" w:eastAsia="Times New Roman" w:hAnsi="Times New Roman"/>
          <w:sz w:val="19"/>
          <w:szCs w:val="19"/>
          <w:color w:val="auto"/>
        </w:rPr>
        <w:t>” shall have the meaning provided in Section 5.3.</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1.34 “</w:t>
      </w:r>
      <w:r>
        <w:rPr>
          <w:rFonts w:ascii="Times New Roman" w:cs="Times New Roman" w:eastAsia="Times New Roman" w:hAnsi="Times New Roman"/>
          <w:sz w:val="20"/>
          <w:szCs w:val="20"/>
          <w:b w:val="1"/>
          <w:bCs w:val="1"/>
          <w:u w:val="single" w:color="auto"/>
          <w:color w:val="auto"/>
        </w:rPr>
        <w:t>Permit</w:t>
      </w:r>
      <w:r>
        <w:rPr>
          <w:rFonts w:ascii="Times New Roman" w:cs="Times New Roman" w:eastAsia="Times New Roman" w:hAnsi="Times New Roman"/>
          <w:sz w:val="20"/>
          <w:szCs w:val="20"/>
          <w:color w:val="auto"/>
        </w:rPr>
        <w:t>” shall mean any application, accreditation, permit, authorization, license, approval, registration, franchise, certificate, permission, exemption, consent, variance (including zoning variance approval), or equivalent decision or document of, from, or required or issued by any governmental authority or under any Applicable Laws for the operation of the Facility and/or performance of Services or Manufacturing, as the foregoing may be amended or supplemented from time to time.</w:t>
      </w:r>
    </w:p>
    <w:p>
      <w:pPr>
        <w:spacing w:after="0" w:line="17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Prior Agreement</w:t>
      </w:r>
      <w:r>
        <w:rPr>
          <w:rFonts w:ascii="Times New Roman" w:cs="Times New Roman" w:eastAsia="Times New Roman" w:hAnsi="Times New Roman"/>
          <w:sz w:val="19"/>
          <w:szCs w:val="19"/>
          <w:color w:val="auto"/>
        </w:rPr>
        <w:t>” shall mean the Master Services Agreement between the Parties effective as of October 9, 2017.</w:t>
      </w:r>
    </w:p>
    <w:p>
      <w:pPr>
        <w:spacing w:after="0" w:line="20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1.36 “</w:t>
      </w:r>
      <w:r>
        <w:rPr>
          <w:rFonts w:ascii="Times New Roman" w:cs="Times New Roman" w:eastAsia="Times New Roman" w:hAnsi="Times New Roman"/>
          <w:sz w:val="20"/>
          <w:szCs w:val="20"/>
          <w:b w:val="1"/>
          <w:bCs w:val="1"/>
          <w:u w:val="single" w:color="auto"/>
          <w:color w:val="auto"/>
        </w:rPr>
        <w:t>Product</w:t>
      </w:r>
      <w:r>
        <w:rPr>
          <w:rFonts w:ascii="Times New Roman" w:cs="Times New Roman" w:eastAsia="Times New Roman" w:hAnsi="Times New Roman"/>
          <w:sz w:val="20"/>
          <w:szCs w:val="20"/>
          <w:color w:val="auto"/>
        </w:rPr>
        <w:t>” shall mean a cell-based therapeutic product Manufactured, or to be Manufactured, by MBI on behalf of Client pursuant to an SOW.</w:t>
      </w:r>
    </w:p>
    <w:p>
      <w:pPr>
        <w:spacing w:after="0" w:line="152"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Project</w:t>
      </w:r>
      <w:r>
        <w:rPr>
          <w:rFonts w:ascii="Times New Roman" w:cs="Times New Roman" w:eastAsia="Times New Roman" w:hAnsi="Times New Roman"/>
          <w:sz w:val="19"/>
          <w:szCs w:val="19"/>
          <w:color w:val="auto"/>
        </w:rPr>
        <w:t>” shall have the meaning provided in Section 2.2.</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1.38 “</w:t>
      </w:r>
      <w:r>
        <w:rPr>
          <w:rFonts w:ascii="Times New Roman" w:cs="Times New Roman" w:eastAsia="Times New Roman" w:hAnsi="Times New Roman"/>
          <w:sz w:val="20"/>
          <w:szCs w:val="20"/>
          <w:b w:val="1"/>
          <w:bCs w:val="1"/>
          <w:u w:val="single" w:color="auto"/>
          <w:color w:val="auto"/>
        </w:rPr>
        <w:t>Quality Agreement</w:t>
      </w:r>
      <w:r>
        <w:rPr>
          <w:rFonts w:ascii="Times New Roman" w:cs="Times New Roman" w:eastAsia="Times New Roman" w:hAnsi="Times New Roman"/>
          <w:sz w:val="20"/>
          <w:szCs w:val="20"/>
          <w:color w:val="auto"/>
        </w:rPr>
        <w:t>” shall mean a written agreement between Client and MBI, to be entered into prior to initiation of Manufacturing of any GMP Product Batch, that defines the quality roles and responsibilities of each Party in connection with the Manufacture of GMP Product Batches hereunder.</w:t>
      </w:r>
    </w:p>
    <w:p>
      <w:pPr>
        <w:spacing w:after="0" w:line="15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0"/>
          <w:szCs w:val="20"/>
          <w:color w:val="auto"/>
        </w:rPr>
        <w:t>1.39 “</w:t>
      </w:r>
      <w:r>
        <w:rPr>
          <w:rFonts w:ascii="Times New Roman" w:cs="Times New Roman" w:eastAsia="Times New Roman" w:hAnsi="Times New Roman"/>
          <w:sz w:val="20"/>
          <w:szCs w:val="20"/>
          <w:b w:val="1"/>
          <w:bCs w:val="1"/>
          <w:u w:val="single" w:color="auto"/>
          <w:color w:val="auto"/>
        </w:rPr>
        <w:t>Raw Materials</w:t>
      </w:r>
      <w:r>
        <w:rPr>
          <w:rFonts w:ascii="Times New Roman" w:cs="Times New Roman" w:eastAsia="Times New Roman" w:hAnsi="Times New Roman"/>
          <w:sz w:val="20"/>
          <w:szCs w:val="20"/>
          <w:color w:val="auto"/>
        </w:rPr>
        <w:t>” shall mean starting materials, cells, reagents, cell culture media or processing formulations, components, consumables, disposables, excipients, other ingredients and packaging and labeling materials used in the Manufacture of any Product.</w:t>
      </w:r>
    </w:p>
    <w:p>
      <w:pPr>
        <w:spacing w:after="0" w:line="200" w:lineRule="exact"/>
        <w:rPr>
          <w:sz w:val="20"/>
          <w:szCs w:val="20"/>
          <w:color w:val="auto"/>
        </w:rPr>
      </w:pPr>
    </w:p>
    <w:p>
      <w:pPr>
        <w:spacing w:after="0" w:line="204"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1.40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Receiving Party</w:t>
      </w:r>
      <w:r>
        <w:rPr>
          <w:rFonts w:ascii="Times New Roman" w:cs="Times New Roman" w:eastAsia="Times New Roman" w:hAnsi="Times New Roman"/>
          <w:sz w:val="19"/>
          <w:szCs w:val="19"/>
          <w:color w:val="auto"/>
        </w:rPr>
        <w:t>” shall have the meaning provided in Section 1.17.</w:t>
      </w:r>
    </w:p>
    <w:p>
      <w:pPr>
        <w:spacing w:after="0" w:line="21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Regulatory Filings</w:t>
      </w:r>
      <w:r>
        <w:rPr>
          <w:rFonts w:ascii="Times New Roman" w:cs="Times New Roman" w:eastAsia="Times New Roman" w:hAnsi="Times New Roman"/>
          <w:sz w:val="19"/>
          <w:szCs w:val="19"/>
          <w:color w:val="auto"/>
        </w:rPr>
        <w:t>” shall have the meaning provided in Section 6.1.</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1.42 “</w:t>
      </w:r>
      <w:r>
        <w:rPr>
          <w:rFonts w:ascii="Times New Roman" w:cs="Times New Roman" w:eastAsia="Times New Roman" w:hAnsi="Times New Roman"/>
          <w:sz w:val="20"/>
          <w:szCs w:val="20"/>
          <w:b w:val="1"/>
          <w:bCs w:val="1"/>
          <w:u w:val="single" w:color="auto"/>
          <w:color w:val="auto"/>
        </w:rPr>
        <w:t>Representatives</w:t>
      </w:r>
      <w:r>
        <w:rPr>
          <w:rFonts w:ascii="Times New Roman" w:cs="Times New Roman" w:eastAsia="Times New Roman" w:hAnsi="Times New Roman"/>
          <w:sz w:val="20"/>
          <w:szCs w:val="20"/>
          <w:color w:val="auto"/>
        </w:rPr>
        <w:t>” shall mean the applicable Party’s Affiliates, and their officers, directors, employees, consultants, agents and representatives.</w:t>
      </w:r>
    </w:p>
    <w:p>
      <w:pPr>
        <w:spacing w:after="0" w:line="138"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1.43 “</w:t>
      </w:r>
      <w:r>
        <w:rPr>
          <w:rFonts w:ascii="Times New Roman" w:cs="Times New Roman" w:eastAsia="Times New Roman" w:hAnsi="Times New Roman"/>
          <w:sz w:val="20"/>
          <w:szCs w:val="20"/>
          <w:b w:val="1"/>
          <w:bCs w:val="1"/>
          <w:u w:val="single" w:color="auto"/>
          <w:color w:val="auto"/>
        </w:rPr>
        <w:t>Results</w:t>
      </w:r>
      <w:r>
        <w:rPr>
          <w:rFonts w:ascii="Times New Roman" w:cs="Times New Roman" w:eastAsia="Times New Roman" w:hAnsi="Times New Roman"/>
          <w:sz w:val="20"/>
          <w:szCs w:val="20"/>
          <w:color w:val="auto"/>
        </w:rPr>
        <w:t>” shall mean any and all data, results, reports and samples (interim and/or final) from the Services performed by MBI and/or its Affiliates that the applicable SOW expressly identifies as deliverables to be disclosed or provided by MBI to Client. For the avoidance of doubt, and notwithstanding any provision of this Agreement to the contrary, Results specifically exclude all MBI Technology (including, without limitation, the Manufacturing Process) and any Master File(s). For the avoidance of doubt, any GMP Product Batch shall not be considered Results of Services.</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1.44 “</w:t>
      </w:r>
      <w:r>
        <w:rPr>
          <w:rFonts w:ascii="Times New Roman" w:cs="Times New Roman" w:eastAsia="Times New Roman" w:hAnsi="Times New Roman"/>
          <w:sz w:val="20"/>
          <w:szCs w:val="20"/>
          <w:b w:val="1"/>
          <w:bCs w:val="1"/>
          <w:u w:val="single" w:color="auto"/>
          <w:color w:val="auto"/>
        </w:rPr>
        <w:t>Services</w:t>
      </w:r>
      <w:r>
        <w:rPr>
          <w:rFonts w:ascii="Times New Roman" w:cs="Times New Roman" w:eastAsia="Times New Roman" w:hAnsi="Times New Roman"/>
          <w:sz w:val="20"/>
          <w:szCs w:val="20"/>
          <w:color w:val="auto"/>
        </w:rPr>
        <w:t>” shall mean the particular tasks to be performed by MBI and/or its Affiliates for a given Project under this Agreement, as more fully set out in the applicable SOW, the output of which shall be considered Results. For the avoidance of doubt, Services exclude Manufacturing of any GMP Product Batch.</w:t>
      </w:r>
    </w:p>
    <w:p>
      <w:pPr>
        <w:spacing w:after="0" w:line="17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1.45 “</w:t>
      </w:r>
      <w:r>
        <w:rPr>
          <w:rFonts w:ascii="Times New Roman" w:cs="Times New Roman" w:eastAsia="Times New Roman" w:hAnsi="Times New Roman"/>
          <w:sz w:val="20"/>
          <w:szCs w:val="20"/>
          <w:b w:val="1"/>
          <w:bCs w:val="1"/>
          <w:u w:val="single" w:color="auto"/>
          <w:color w:val="auto"/>
        </w:rPr>
        <w:t>SOW</w:t>
      </w:r>
      <w:r>
        <w:rPr>
          <w:rFonts w:ascii="Times New Roman" w:cs="Times New Roman" w:eastAsia="Times New Roman" w:hAnsi="Times New Roman"/>
          <w:sz w:val="20"/>
          <w:szCs w:val="20"/>
          <w:color w:val="auto"/>
        </w:rPr>
        <w:t>” shall mean a written statement of work for a given Project under which MBI agrees to perform such Project under this Agreement, as amended or modified in accordance with the terms of this Agreement. Each SOW shall be agreed upon by the Parties on a Project-by-Project basis as set forth in Section 2.2, and shall be deemed to include any amendments or applicable Change Orders thereto made in accordance with the terms of this Agreement. Each mutually agreed SOW shall be deemed attached hereto and included in Exhibit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5" w:name="page86"/>
    <w:bookmarkEnd w:id="85"/>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1.46 “</w:t>
      </w:r>
      <w:r>
        <w:rPr>
          <w:rFonts w:ascii="Times New Roman" w:cs="Times New Roman" w:eastAsia="Times New Roman" w:hAnsi="Times New Roman"/>
          <w:sz w:val="20"/>
          <w:szCs w:val="20"/>
          <w:b w:val="1"/>
          <w:bCs w:val="1"/>
          <w:u w:val="single" w:color="auto"/>
          <w:color w:val="auto"/>
        </w:rPr>
        <w:t>Specifications</w:t>
      </w:r>
      <w:r>
        <w:rPr>
          <w:rFonts w:ascii="Times New Roman" w:cs="Times New Roman" w:eastAsia="Times New Roman" w:hAnsi="Times New Roman"/>
          <w:sz w:val="20"/>
          <w:szCs w:val="20"/>
          <w:color w:val="auto"/>
        </w:rPr>
        <w:t>” shall mean, for a given Project and with respect to a particular Product, the release and acceptance criteria to which such Product should conform to be considered acceptable for its intended use, which criteria shall be included in, or attached as an exhibit to, the applicable SOW or the corresponding Quality Agreement (or an amendment to either of the foregoing, or a Change Order in the case of an SOW).</w:t>
      </w:r>
    </w:p>
    <w:p>
      <w:pPr>
        <w:spacing w:after="0" w:line="17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1.47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Term</w:t>
      </w:r>
      <w:r>
        <w:rPr>
          <w:rFonts w:ascii="Times New Roman" w:cs="Times New Roman" w:eastAsia="Times New Roman" w:hAnsi="Times New Roman"/>
          <w:sz w:val="19"/>
          <w:szCs w:val="19"/>
          <w:color w:val="auto"/>
        </w:rPr>
        <w:t>” shall have the meaning provided in Section 10.1.</w:t>
      </w:r>
    </w:p>
    <w:p>
      <w:pPr>
        <w:spacing w:after="0" w:line="21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1.48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Third Party</w:t>
      </w:r>
      <w:r>
        <w:rPr>
          <w:rFonts w:ascii="Times New Roman" w:cs="Times New Roman" w:eastAsia="Times New Roman" w:hAnsi="Times New Roman"/>
          <w:sz w:val="19"/>
          <w:szCs w:val="19"/>
          <w:color w:val="auto"/>
        </w:rPr>
        <w:t>” shall mean any entity other than MBI, Client and any of their respective Affiliates.</w:t>
      </w:r>
    </w:p>
    <w:p>
      <w:pPr>
        <w:spacing w:after="0" w:line="202"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1.49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Undisputed Payment</w:t>
      </w:r>
      <w:r>
        <w:rPr>
          <w:rFonts w:ascii="Times New Roman" w:cs="Times New Roman" w:eastAsia="Times New Roman" w:hAnsi="Times New Roman"/>
          <w:sz w:val="19"/>
          <w:szCs w:val="19"/>
          <w:color w:val="auto"/>
        </w:rPr>
        <w:t>” shall have the meaning provided in Section 4.6.</w:t>
      </w:r>
    </w:p>
    <w:p>
      <w:pPr>
        <w:spacing w:after="0" w:line="216" w:lineRule="exact"/>
        <w:rPr>
          <w:sz w:val="20"/>
          <w:szCs w:val="20"/>
          <w:color w:val="auto"/>
        </w:rPr>
      </w:pPr>
    </w:p>
    <w:p>
      <w:pPr>
        <w:ind w:left="760" w:hanging="752"/>
        <w:spacing w:after="0"/>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SCOPE OF AGREEMENT; PERFORMANCE OF SERVICES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b w:val="1"/>
          <w:bCs w:val="1"/>
          <w:u w:val="single" w:color="auto"/>
          <w:color w:val="auto"/>
        </w:rPr>
        <w:t>Scope of Agreement</w:t>
      </w:r>
      <w:r>
        <w:rPr>
          <w:rFonts w:ascii="Times New Roman" w:cs="Times New Roman" w:eastAsia="Times New Roman" w:hAnsi="Times New Roman"/>
          <w:sz w:val="20"/>
          <w:szCs w:val="20"/>
          <w:color w:val="auto"/>
        </w:rPr>
        <w:t>. As a master form of contract, this Agreement allows the Parties to contract for multiple Projects through the issuance of multiple SOWs as described in Section 2.2, without having to re-negotiate the basic terms and conditions contained herein. The Parties will also agree upon a Quality Agreement containing quality assurance provisions for the Manufacture of Product hereunder, which agreement is incorporated by reference herein.</w:t>
      </w:r>
    </w:p>
    <w:p>
      <w:pPr>
        <w:spacing w:after="0" w:line="16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u w:val="single" w:color="auto"/>
          <w:color w:val="auto"/>
        </w:rPr>
        <w:t>Statements of Work</w:t>
      </w:r>
      <w:r>
        <w:rPr>
          <w:rFonts w:ascii="Times New Roman" w:cs="Times New Roman" w:eastAsia="Times New Roman" w:hAnsi="Times New Roman"/>
          <w:sz w:val="20"/>
          <w:szCs w:val="20"/>
          <w:color w:val="auto"/>
        </w:rPr>
        <w:t>. The specific Services or Manufacturing to be provided by MBI for each Project under this Agreement (each, a “</w:t>
      </w:r>
      <w:r>
        <w:rPr>
          <w:rFonts w:ascii="Times New Roman" w:cs="Times New Roman" w:eastAsia="Times New Roman" w:hAnsi="Times New Roman"/>
          <w:sz w:val="20"/>
          <w:szCs w:val="20"/>
          <w:b w:val="1"/>
          <w:bCs w:val="1"/>
          <w:u w:val="single" w:color="auto"/>
          <w:color w:val="auto"/>
        </w:rPr>
        <w:t>Project</w:t>
      </w:r>
      <w:r>
        <w:rPr>
          <w:rFonts w:ascii="Times New Roman" w:cs="Times New Roman" w:eastAsia="Times New Roman" w:hAnsi="Times New Roman"/>
          <w:sz w:val="20"/>
          <w:szCs w:val="20"/>
          <w:color w:val="auto"/>
        </w:rPr>
        <w:t>”) shall be separately specified in an SOW. Each SOW shall become effective only upon signature by both Parties and, upon such signature, shall be deemed attached to this Agreement as part of Exhibit A. SOWs shall be sequentially numbered, shall specifically refer to this Agreement, and shall incorporate the terms and conditions hereof by reference. Each SOW shall also set forth, upon terms mutually agreeable to the Parties, the specific Services or Manufacturing to be performed by MBI, including Results to be provided to Client, as applicable, the anticipated time line and schedule for the performance of such Services or Manufacturing, and the Fees to be paid by Client to MBI for the performance of such Services or Manufacturing, as well as any other relevant terms and conditions. If a Project includes the development or production of specific deliverables, the specifications of such deliverables shall be set forth in the relevant SOW. If an SOW provides for MBI to Manufacture any GMP Product Batch, the Specifications of such Product shall be set forth in such SOW or in the Quality Agreement (as applicable), and such SOW shall expressly specify whether or not such Product is to be Manufactured in accordance with GMP. There shall be no minimum or maximum number of SOWs to be entered into under this Agreement. Each SOW shall be subject to all of the terms and conditions of this Agreement in addition to the specific details set forth in the SOW. To the extent any terms or conditions of an SOW conflict with the terms and conditions of this Agreement, the terms and conditions of this Agreement shall control, unless the SOW expressly states the intent of the Parties that a particular provision of such SOW supersede this Agreement with respect to a particular matter in such SOW. However, if there is any conflict, discrepancy, or inconsistency between the terms of this Agreement or any SOW and those of the Quality Agreement, the Quality Agreement shall control solely in respect of the allocation of the Parties’ quality-related performance obligations. However, this Agreement or the SOW, as applicable and subject to the previous sentence, shall control in all other respects, including in respect of financial obligations and risk allocation. Any modification or addition to the Services or Manufacturing as described in an existing SOW will require execution of a written Change Order in accordance with Section 2.3, and no change, modification or waiver to the SOW will be effective unless specifically set out in the Change Order.</w:t>
      </w:r>
    </w:p>
    <w:p>
      <w:pPr>
        <w:spacing w:after="0" w:line="18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b w:val="1"/>
          <w:bCs w:val="1"/>
          <w:u w:val="single" w:color="auto"/>
          <w:color w:val="auto"/>
        </w:rPr>
        <w:t>Change Orders</w:t>
      </w:r>
      <w:r>
        <w:rPr>
          <w:rFonts w:ascii="Times New Roman" w:cs="Times New Roman" w:eastAsia="Times New Roman" w:hAnsi="Times New Roman"/>
          <w:sz w:val="20"/>
          <w:szCs w:val="20"/>
          <w:color w:val="auto"/>
        </w:rPr>
        <w:t>. Modifications or additions to the Services or Manufacturing shall be accomplished through the use of a Change Order. A Change Order must be in writing and signed by each</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6" w:name="page87"/>
    <w:bookmarkEnd w:id="86"/>
    <w:p>
      <w:pPr>
        <w:jc w:val="both"/>
        <w:spacing w:after="0" w:line="241" w:lineRule="auto"/>
        <w:rPr>
          <w:sz w:val="20"/>
          <w:szCs w:val="20"/>
          <w:color w:val="auto"/>
        </w:rPr>
      </w:pPr>
      <w:r>
        <w:rPr>
          <w:rFonts w:ascii="Times New Roman" w:cs="Times New Roman" w:eastAsia="Times New Roman" w:hAnsi="Times New Roman"/>
          <w:sz w:val="20"/>
          <w:szCs w:val="20"/>
          <w:color w:val="auto"/>
        </w:rPr>
        <w:t>Party in order to be effective. The signatures of the Parties to a Change Order may be transmitted by facsimile or as a PDF attachment to electronic mail, and such facsimile or PDF will, for all purposes, be deemed to be the original signature of such Party whose signature it reproduces and will be binding upon such Party. The procedure for creating a Change Order is as follows: (a) Client shall submit a written request to MBI specifying the additions or modifications to the Services or Manufacturing desired (the “</w:t>
      </w:r>
      <w:r>
        <w:rPr>
          <w:rFonts w:ascii="Times New Roman" w:cs="Times New Roman" w:eastAsia="Times New Roman" w:hAnsi="Times New Roman"/>
          <w:sz w:val="20"/>
          <w:szCs w:val="20"/>
          <w:b w:val="1"/>
          <w:bCs w:val="1"/>
          <w:u w:val="single" w:color="auto"/>
          <w:color w:val="auto"/>
        </w:rPr>
        <w:t>Change Notice</w:t>
      </w:r>
      <w:r>
        <w:rPr>
          <w:rFonts w:ascii="Times New Roman" w:cs="Times New Roman" w:eastAsia="Times New Roman" w:hAnsi="Times New Roman"/>
          <w:sz w:val="20"/>
          <w:szCs w:val="20"/>
          <w:color w:val="auto"/>
        </w:rPr>
        <w:t>”); and (b) if MBI is prepared to add to or modify the Services or Manufacturing as requested by Client, it shall prepare and submit an amendment to the SOW to Client which shall include a description of the changes and any additional Fees, and which shall be negotiated by the Parties in good faith. On obtaining the Client’s written signature to the Change Order, the Change Order will become part of the SOW. Client acknowledges and agrees that any material change to the Services or Manufacturing may result in an extension of the agreed timelines and/or may cause an increase in the Fee amount and Expenses.</w:t>
      </w:r>
    </w:p>
    <w:p>
      <w:pPr>
        <w:spacing w:after="0" w:line="18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b w:val="1"/>
          <w:bCs w:val="1"/>
          <w:u w:val="single" w:color="auto"/>
          <w:color w:val="auto"/>
        </w:rPr>
        <w:t>Client-Supplied Information and Materials</w:t>
      </w:r>
      <w:r>
        <w:rPr>
          <w:rFonts w:ascii="Times New Roman" w:cs="Times New Roman" w:eastAsia="Times New Roman" w:hAnsi="Times New Roman"/>
          <w:sz w:val="20"/>
          <w:szCs w:val="20"/>
          <w:color w:val="auto"/>
        </w:rPr>
        <w:t>. Promptly following the execution of an SOW by the Parties (or at such other time as specified in such SOW), Client shall disclose to MBI the Client Information for such Project specified in the SOW and, subject to Section 2.8, transfer to MBI the Client Materials and Client-Supplied Raw Materials for such Project in the form(s) and quantity(ies) specified in such SOW. All Client Information and Client-Supplied Raw Materials and Client Materials i) will remain the sole property of Client, ii) will be used only in furtherance of the Services or Manufacturing, as applicable, in accordance with this Agreement and SOWs, iii) will not be used or delivered to or for the benefit of any Third Party without the prior written consent of Client, and iv) will be used in compliance with all Applicable Laws. Upon completion of the relevant SOW, MBI agrees to destroy or return to Client all unused quantities of Client Materials and Client-Supplied Raw Materials according to Client’s written directions. MBI will promptly notify Client if at any time it believes any Client Materials, Client-Supplied Raw Materials, or any derivatives, intermediates or components thereof, have been damaged, lost or stolen. Client acknowledges and agrees that MBI shall not be liable for any failure or delay in the performance of Services or Manufacturing hereunder to the extent such failure or delay is caused by any failure or delay of Client in disclosing Client Information or transferring Client Materials and Client-Supplied Raw Materials in accordance with its obligations under the applicable SOW and that, in each case, are necessary for MBI’s performance of such Services or Manufacturing.</w:t>
      </w:r>
    </w:p>
    <w:p>
      <w:pPr>
        <w:spacing w:after="0" w:line="19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b w:val="1"/>
          <w:bCs w:val="1"/>
          <w:u w:val="single" w:color="auto"/>
          <w:color w:val="auto"/>
        </w:rPr>
        <w:t>Supply of Equipment</w:t>
      </w:r>
      <w:r>
        <w:rPr>
          <w:rFonts w:ascii="Times New Roman" w:cs="Times New Roman" w:eastAsia="Times New Roman" w:hAnsi="Times New Roman"/>
          <w:sz w:val="20"/>
          <w:szCs w:val="20"/>
          <w:color w:val="auto"/>
        </w:rPr>
        <w:t>. Unless otherwise agreed in an SOW, MBI will supply all equipment necessary to perform the Services or Manufacturing, except that Client will supply the Client Equipment, if any. Client Equipment will not be used by MBI except in performance of Services or Manufacturing under the applicable SOW. Title to Client Equipment will remain with Client and MBI will ensure that Client Equipment is properly labeled as Client property and remains free and clear of any liens or encumbrances arising due to the acts or omissions of MBI. At Client’s written request upon completion or termination of the relevant SOW(s), Client Equipment will be returned to Client, or to Client’s designee, at Client’s expense for any packaging and shipping costs. Unless expressly provided otherwise in the relevant SOW(s), MBI will be responsible for maintenance of the Client Equipment at Client’s expense but subject to Client’s prior written approval of such expense, not to be unreasonably withheld or delayed. To the extent Client provides or purchases spare parts for Client Equipment, such spare parts will remain the property of Client and will be used by MBI only for maintenance of Client Equipment. MBI will immediately notify Client if at any time it believes any Client Equipment has been damaged, lost or stolen.</w:t>
      </w:r>
    </w:p>
    <w:p>
      <w:pPr>
        <w:spacing w:after="0" w:line="18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b w:val="1"/>
          <w:bCs w:val="1"/>
          <w:u w:val="single" w:color="auto"/>
          <w:color w:val="auto"/>
        </w:rPr>
        <w:t>Performance of Services</w:t>
      </w:r>
      <w:r>
        <w:rPr>
          <w:rFonts w:ascii="Times New Roman" w:cs="Times New Roman" w:eastAsia="Times New Roman" w:hAnsi="Times New Roman"/>
          <w:sz w:val="20"/>
          <w:szCs w:val="20"/>
          <w:color w:val="auto"/>
        </w:rPr>
        <w:t>. MBI agrees to perform the Services set forth in each SOW in material compliance with the applicable warranties provided in Section 9.2 of this Agreement, the terms and conditions of this Agreement, and such SOW. MBI will perform all Services at the Facility, provide all staff necessary to perform the Services in accordance with the terms of the applicable SOW and this Agreement, and hold at such Facility all Client Materials, Client-Supplied Raw Materials, Client Equipment and other items used in the Services. MBI will not change the location of such Facility or, except as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7" w:name="page88"/>
    <w:bookmarkEnd w:id="87"/>
    <w:p>
      <w:pPr>
        <w:jc w:val="both"/>
        <w:spacing w:after="0" w:line="241" w:lineRule="auto"/>
        <w:rPr>
          <w:sz w:val="20"/>
          <w:szCs w:val="20"/>
          <w:color w:val="auto"/>
        </w:rPr>
      </w:pPr>
      <w:r>
        <w:rPr>
          <w:rFonts w:ascii="Times New Roman" w:cs="Times New Roman" w:eastAsia="Times New Roman" w:hAnsi="Times New Roman"/>
          <w:sz w:val="20"/>
          <w:szCs w:val="20"/>
          <w:color w:val="auto"/>
        </w:rPr>
        <w:t>permitted under Section 2.7, use any additional facility for the performance of Services under this Agreement, without at least [***] days prior written notice to, and prior written consent from, Client, which consent will not be unreasonably withheld or delayed (it being understood and agreed that Client may withhold consent pending satisfactory completion of a quality assurance audit and/or regulatory impact assessment of the new location or additional facility, as the case may be). MBI shall use commercially reasonable efforts to perform the Services under each SOW in an efficient and timely manner substantially in accordance with the time line and schedule set forth in such SOW, provided that MBI does not guarantee that any specific delivery date(s) will be met. MBI shall notify Client in writing promptly upon becoming aware of any circumstance that will, or could reasonably be expected to, result in any delay in performance of the Services, and the Parties shall cooperate in good faith to avoid or minimize any such delay.</w:t>
      </w:r>
    </w:p>
    <w:p>
      <w:pPr>
        <w:spacing w:after="0" w:line="18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b w:val="1"/>
          <w:bCs w:val="1"/>
          <w:u w:val="single" w:color="auto"/>
          <w:color w:val="auto"/>
        </w:rPr>
        <w:t>Subcontracting</w:t>
      </w:r>
      <w:r>
        <w:rPr>
          <w:rFonts w:ascii="Times New Roman" w:cs="Times New Roman" w:eastAsia="Times New Roman" w:hAnsi="Times New Roman"/>
          <w:sz w:val="20"/>
          <w:szCs w:val="20"/>
          <w:color w:val="auto"/>
        </w:rPr>
        <w:t>. Subject to the prior written consent of Client, MBI may subcontract Services or Manufacturing (or any portion thereof) under an SOW to an Affiliate of MBI or to any Third Party, provided that no such subcontracting shall relieve MBI of any of its obligations hereunder, and MBI shall at all times be responsible for the compliance of its Affiliate and Third Party subcontractors with the terms and conditions of this Agreement and the applicable SOW. Any agreement entered into by MBI and an Affiliate or Third Party shall provide, at a minimum, for confidentiality obligations, ownership and allocation of intellectual property rights, record-keeping, access, and rights to Results that are consistent with the intent and terms of this Agreement.</w:t>
      </w:r>
    </w:p>
    <w:p>
      <w:pPr>
        <w:spacing w:after="0" w:line="18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b w:val="1"/>
          <w:bCs w:val="1"/>
          <w:u w:val="single" w:color="auto"/>
          <w:color w:val="auto"/>
        </w:rPr>
        <w:t>Materials</w:t>
      </w:r>
      <w:r>
        <w:rPr>
          <w:rFonts w:ascii="Times New Roman" w:cs="Times New Roman" w:eastAsia="Times New Roman" w:hAnsi="Times New Roman"/>
          <w:sz w:val="20"/>
          <w:szCs w:val="20"/>
          <w:color w:val="auto"/>
        </w:rPr>
        <w:t>. In connection with this Agreement, a Party may provide to the other Party certain biological or chemical materials, including, without limitation, Client Materials (collectively, “</w:t>
      </w:r>
      <w:r>
        <w:rPr>
          <w:rFonts w:ascii="Times New Roman" w:cs="Times New Roman" w:eastAsia="Times New Roman" w:hAnsi="Times New Roman"/>
          <w:sz w:val="20"/>
          <w:szCs w:val="20"/>
          <w:b w:val="1"/>
          <w:bCs w:val="1"/>
          <w:u w:val="single" w:color="auto"/>
          <w:color w:val="auto"/>
        </w:rPr>
        <w:t>Materials</w:t>
      </w:r>
      <w:r>
        <w:rPr>
          <w:rFonts w:ascii="Times New Roman" w:cs="Times New Roman" w:eastAsia="Times New Roman" w:hAnsi="Times New Roman"/>
          <w:sz w:val="20"/>
          <w:szCs w:val="20"/>
          <w:color w:val="auto"/>
        </w:rPr>
        <w:t>”). Except as otherwise expressly set forth in this Agreement or the applicable SOW, all such Materials will remain the sole property of the providing Party, will be used only in furtherance of the activities expressly contemplated by this Agreement, will not be used or delivered to or for the benefit of any Third Party without the prior written consent of the providing Party, and will be used in compliance with all Applicable Laws. The Materials supplied under this Agreement must be used with prudence and appropriate caution in any experimental work because not all of their characteristics may be known. Except as expressly set forth herein or the applicable SOW, THE MATERIALS ARE PROVIDED “AS IS” AND WITHOUT ANY REPRESENTATION OR WARRANTY, EXPRESS OR IMPLIED, INCLUDING WITHOUT LIMITATION ANY IMPLIED WARRANTY OF MERCHANTABILITY OR OF FITNESS FOR ANY PARTICULAR PURPOSE OR ANY WARRANTY THAT THE USE OF THE MATERIALS WILL NOT INFRINGE OR VIOLATE ANY PATENT OR OTHER PROPRIETARY RIGHTS OF ANY THIRD PARTY. For purposes of this Section the term “Materials” does not include Product supplied by MBI.</w:t>
      </w:r>
    </w:p>
    <w:p>
      <w:pPr>
        <w:spacing w:after="0" w:line="173" w:lineRule="exact"/>
        <w:rPr>
          <w:sz w:val="20"/>
          <w:szCs w:val="20"/>
          <w:color w:val="auto"/>
        </w:rPr>
      </w:pPr>
    </w:p>
    <w:p>
      <w:pPr>
        <w:ind w:left="760" w:hanging="752"/>
        <w:spacing w:after="0"/>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MANUFACTURING AND SUPPLY OF PRODUCTS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b w:val="1"/>
          <w:bCs w:val="1"/>
          <w:u w:val="single" w:color="auto"/>
          <w:color w:val="auto"/>
        </w:rPr>
        <w:t>Specifications; Testing</w:t>
      </w:r>
      <w:r>
        <w:rPr>
          <w:rFonts w:ascii="Times New Roman" w:cs="Times New Roman" w:eastAsia="Times New Roman" w:hAnsi="Times New Roman"/>
          <w:sz w:val="19"/>
          <w:szCs w:val="19"/>
          <w:color w:val="auto"/>
        </w:rPr>
        <w:t>. Subject to Sections 9.3 and 9.5, MBI shall strive to Manufacture Product that will substantially conform to the applicable Specifications for such Product as set forth in the SOW. For the avoidance of doubt, given the highly experimental nature of Client’s Product and limited Manufacturing history of such Product, MBI does not guarantee that any Product will fully conform with Specifications. Client shall take full responsibility for the suitability of the Specifications for obtaining a Product which possesses all desired characteristics and is suitable for the Manufacture of Product. MBI assumes no responsibility for any deficiency of the Specifications in this regard. MBI shall test each Batch of Product in accordance with the applicable SOW or Quality Agreement and supply Client with:</w:t>
      </w:r>
    </w:p>
    <w:p>
      <w:pPr>
        <w:spacing w:after="0" w:line="2" w:lineRule="exact"/>
        <w:rPr>
          <w:sz w:val="20"/>
          <w:szCs w:val="20"/>
          <w:color w:val="auto"/>
        </w:rPr>
      </w:pPr>
    </w:p>
    <w:p>
      <w:pPr>
        <w:ind w:firstLine="8"/>
        <w:spacing w:after="0" w:line="246" w:lineRule="auto"/>
        <w:tabs>
          <w:tab w:leader="none" w:pos="28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Analysis for such Batch; (b) if such Batch is a GMP Product Batch, a Certificate of Compliance for such GMP Product Batch; and (c) the other Batch Documentation regarding the Manufacture of such Batch(es).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8" w:name="page89"/>
    <w:bookmarkEnd w:id="88"/>
    <w:p>
      <w:pPr>
        <w:jc w:val="both"/>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u w:val="single" w:color="auto"/>
          <w:color w:val="auto"/>
        </w:rPr>
        <w:t>Manufacture of Product</w:t>
      </w:r>
      <w:r>
        <w:rPr>
          <w:rFonts w:ascii="Times New Roman" w:cs="Times New Roman" w:eastAsia="Times New Roman" w:hAnsi="Times New Roman"/>
          <w:sz w:val="20"/>
          <w:szCs w:val="20"/>
          <w:color w:val="auto"/>
        </w:rPr>
        <w:t>. MBI shall Manufacture Products in material compliance with the applicable warranties provided in Section 9.3 of this Agreement, the terms and conditions of this Agreement, the applicable SOW, and the Quality Agreement. MBI will perform all Manufacturing at the Facility, provide all staff necessary to perform the Manufacturing in accordance with the terms of the applicable SOW and this Agreement, and hold at such Facility all Client Materials, Client-Supplied Raw Materials, Client Equipment and other items used in the Manufacturing. MBI will not change the location of such Facility or, except as permitted under Section 2.7, use any additional facility for the performance of Manufacturing under this Agreement, without at least [***] days prior written notice to, and prior written consent from, Client, which consent will not be unreasonably withheld or delayed (it being understood and agreed that Client may withhold consent pending satisfactory completion of a quality assurance audit and/or regulatory impact assessment of the new location or additional facility, as the case may be). MBI shall use commercially reasonable efforts to perform the Manufacturing under each SOW in an efficient and timely manner substantially in accordance with the time line and schedule set forth in such SOW, provided that MBI does not guarantee that any specific delivery date(s) will be met. MBI shall notify Client in writing promptly upon becoming aware of any circumstance that will, or could reasonably be expected to, result in any delay in performance of the Manufacturing, and the Parties shall cooperate in good faith to avoid or minimize any such delay. MBI represents and warrants to Client that it has and will maintain during the duration of any Project performed under an applicable SOW all Permits necessary for the conduct of the Manufacturing. MBI shall not make or use any Product, or sell or otherwise distribute Product to a Third Party for any purpose, in each case unless specifically authorized in writing under this Agreement.</w:t>
      </w:r>
    </w:p>
    <w:p>
      <w:pPr>
        <w:spacing w:after="0" w:line="197" w:lineRule="exact"/>
        <w:rPr>
          <w:sz w:val="20"/>
          <w:szCs w:val="20"/>
          <w:color w:val="auto"/>
        </w:rPr>
      </w:pPr>
    </w:p>
    <w:p>
      <w:pPr>
        <w:jc w:val="both"/>
        <w:ind w:firstLine="749"/>
        <w:spacing w:after="0" w:line="230" w:lineRule="exact"/>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b w:val="1"/>
          <w:bCs w:val="1"/>
          <w:u w:val="single" w:color="auto"/>
          <w:color w:val="auto"/>
        </w:rPr>
        <w:t>Raw Materials</w:t>
      </w:r>
      <w:r>
        <w:rPr>
          <w:rFonts w:ascii="Times New Roman" w:cs="Times New Roman" w:eastAsia="Times New Roman" w:hAnsi="Times New Roman"/>
          <w:sz w:val="20"/>
          <w:szCs w:val="20"/>
          <w:color w:val="auto"/>
        </w:rPr>
        <w:t>. Except as otherwise expressly set forth in any SOW, MBI will purchase all generally available Raw Materials required for the Manufacture of Products, subject to Section 4.2. If an SOW provides for Client to supply any Raw Material (including any human cells) to MBI (“</w:t>
      </w:r>
      <w:r>
        <w:rPr>
          <w:rFonts w:ascii="Times New Roman" w:cs="Times New Roman" w:eastAsia="Times New Roman" w:hAnsi="Times New Roman"/>
          <w:sz w:val="20"/>
          <w:szCs w:val="20"/>
          <w:b w:val="1"/>
          <w:bCs w:val="1"/>
          <w:u w:val="single" w:color="auto"/>
          <w:color w:val="auto"/>
        </w:rPr>
        <w:t>Client</w:t>
      </w:r>
      <w:r>
        <w:rPr>
          <w:rFonts w:ascii="MS PGothic" w:cs="MS PGothic" w:eastAsia="MS PGothic" w:hAnsi="MS PGothic"/>
          <w:sz w:val="20"/>
          <w:szCs w:val="20"/>
          <w:u w:val="single" w:color="auto"/>
          <w:color w:val="auto"/>
          <w:strike w:val="1"/>
        </w:rPr>
        <w:t>‑</w:t>
      </w:r>
      <w:r>
        <w:rPr>
          <w:rFonts w:ascii="Times New Roman" w:cs="Times New Roman" w:eastAsia="Times New Roman" w:hAnsi="Times New Roman"/>
          <w:sz w:val="20"/>
          <w:szCs w:val="20"/>
          <w:b w:val="1"/>
          <w:bCs w:val="1"/>
          <w:u w:val="single" w:color="auto"/>
          <w:color w:val="auto"/>
        </w:rPr>
        <w:t>Supplied Raw Material</w:t>
      </w:r>
      <w:r>
        <w:rPr>
          <w:rFonts w:ascii="Times New Roman" w:cs="Times New Roman" w:eastAsia="Times New Roman" w:hAnsi="Times New Roman"/>
          <w:sz w:val="20"/>
          <w:szCs w:val="20"/>
          <w:color w:val="auto"/>
        </w:rPr>
        <w:t>”), Client shall provide, or cause its designee to provide, to MBI, at no cost to MBI, the Client-Supplied Raw Materials in sufficient quantities and of appropriate quality (including, if applicable, complying with any applicable specifications for such Client-Supplied Raw Materials) for use in the Manufacture of Product. In the case of Client-Supplied Raw Material for use in the Manufacture of any GMP Product Batches, Client shall be solely responsible for the qualification of all suppliers of such Client-Supplied Raw Material and for ensuring that such Client-Supplied Raw Material is of suitable quality and grade (USP or EP) for Client’s intended use. Client will at all times retain title to and ownership of the Client-Supplied Raw Materials. MBI will store all Raw Materials, including Client-Supplied Raw Materials, at no cost for the duration of the applicable Project, after which MBI shall have the right to charge Client additional fees if longer storage is requested by Client.</w:t>
      </w:r>
    </w:p>
    <w:p>
      <w:pPr>
        <w:spacing w:after="0" w:line="18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b w:val="1"/>
          <w:bCs w:val="1"/>
          <w:u w:val="single" w:color="auto"/>
          <w:color w:val="auto"/>
        </w:rPr>
        <w:t>Batch Scheduling; Cancellation Fees</w:t>
      </w:r>
      <w:r>
        <w:rPr>
          <w:rFonts w:ascii="Times New Roman" w:cs="Times New Roman" w:eastAsia="Times New Roman" w:hAnsi="Times New Roman"/>
          <w:sz w:val="19"/>
          <w:szCs w:val="19"/>
          <w:color w:val="auto"/>
        </w:rPr>
        <w:t>. All GMP Product Batches to be Manufactured under this Agreement shall be run on a per patient basis and scheduled as mutually agreed by the Parties in good faith and in accordance with the relevant SOW, provided that Client shall use all reasonable efforts to ensure that each such Batch is scheduled at least [***] days in advance. Except in the case of termination of this Agreement and/or one or more SOWs by Client pursuant to Section 10.2 for MBI’s uncured material breach or pursuant to Section 10.3(b), if Client, on or within [***] days of the mutually agreed scheduled date of commencement of performance of the relevant Batch, (i) cancels or postpones the relevant GMP Product Batch, or (ii) causes the cancellation or postponement by MBI of such Batch by failing to provide the agreed Client Information, Client Materials, and/or Client-Supplied Raw Materials in sufficient time, quantity and quality for such run(s) (in which case MBI shall promptly notify Client in writing of such cancellation), or fails to timely pay any amount that is an Undisputed Payment due and outstanding under any SOW, in which case MBI will provide written notice of its intent to cancel such Batch, and Client shall have [***] days to make payment in full for said Undisputed Payment to avoid cancellation, Client shall pay to MBI a cancellation fee (the “</w:t>
      </w:r>
      <w:r>
        <w:rPr>
          <w:rFonts w:ascii="Times New Roman" w:cs="Times New Roman" w:eastAsia="Times New Roman" w:hAnsi="Times New Roman"/>
          <w:sz w:val="19"/>
          <w:szCs w:val="19"/>
          <w:b w:val="1"/>
          <w:bCs w:val="1"/>
          <w:u w:val="single" w:color="auto"/>
          <w:color w:val="auto"/>
        </w:rPr>
        <w:t>Cancellation Fee</w:t>
      </w:r>
      <w:r>
        <w:rPr>
          <w:rFonts w:ascii="Times New Roman" w:cs="Times New Roman" w:eastAsia="Times New Roman" w:hAnsi="Times New Roman"/>
          <w:sz w:val="19"/>
          <w:szCs w:val="19"/>
          <w:color w:val="auto"/>
        </w:rPr>
        <w:t>”) as specified in the relevant SOW For the avoidance of doubt, any postponement of a GMP Product Batch shall be subject to mutual written agreement, and shall incur the Cancellation Fee as specified in the relevant SOW.</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9" w:name="page90"/>
    <w:bookmarkEnd w:id="89"/>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For clarity, to trigger payment of the Cancellation Fee, the cancellation or postponement of a Batch has to be requested or caused by Client and not caused by MBI. For clarity, in no event shall any specific economic consequences of cancellation or postponement be greater than the amounts otherwise due to MBI had the relevant Batch(es) not been cancelled or postponed.</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b w:val="1"/>
          <w:bCs w:val="1"/>
          <w:u w:val="single" w:color="auto"/>
          <w:color w:val="auto"/>
        </w:rPr>
        <w:t>Process/Specifications Changes</w:t>
      </w:r>
      <w:r>
        <w:rPr>
          <w:rFonts w:ascii="Times New Roman" w:cs="Times New Roman" w:eastAsia="Times New Roman" w:hAnsi="Times New Roman"/>
          <w:sz w:val="20"/>
          <w:szCs w:val="20"/>
          <w:color w:val="auto"/>
        </w:rPr>
        <w:t>. Notwithstanding Section 2.3, any change or modification to the Manufacturing Process or Specifications for any Product must be approved in advance by both Parties in writing, and will be made in accordance with the change control provisions of the applicable Quality Agreement and SOW.</w:t>
      </w:r>
    </w:p>
    <w:p>
      <w:pPr>
        <w:spacing w:after="0" w:line="155" w:lineRule="exact"/>
        <w:rPr>
          <w:sz w:val="20"/>
          <w:szCs w:val="20"/>
          <w:color w:val="auto"/>
        </w:rPr>
      </w:pPr>
    </w:p>
    <w:p>
      <w:pPr>
        <w:ind w:left="760" w:hanging="752"/>
        <w:spacing w:after="0"/>
        <w:tabs>
          <w:tab w:leader="none" w:pos="7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u w:val="single" w:color="auto"/>
          <w:color w:val="auto"/>
        </w:rPr>
        <w:t>Fees, Expenses and Applicable Taxes</w:t>
      </w:r>
      <w:r>
        <w:rPr>
          <w:rFonts w:ascii="Times New Roman" w:cs="Times New Roman" w:eastAsia="Times New Roman" w:hAnsi="Times New Roman"/>
          <w:sz w:val="20"/>
          <w:szCs w:val="20"/>
          <w:color w:val="auto"/>
        </w:rPr>
        <w:t>. For the Services and Manufacturing provided by MBI and its Affiliates hereunder, Client agrees to pay MBI: (a) the Fees set forth in the applicable SOW (“</w:t>
      </w:r>
      <w:r>
        <w:rPr>
          <w:rFonts w:ascii="Times New Roman" w:cs="Times New Roman" w:eastAsia="Times New Roman" w:hAnsi="Times New Roman"/>
          <w:sz w:val="20"/>
          <w:szCs w:val="20"/>
          <w:b w:val="1"/>
          <w:bCs w:val="1"/>
          <w:u w:val="single" w:color="auto"/>
          <w:color w:val="auto"/>
        </w:rPr>
        <w:t>Fees</w:t>
      </w:r>
      <w:r>
        <w:rPr>
          <w:rFonts w:ascii="Times New Roman" w:cs="Times New Roman" w:eastAsia="Times New Roman" w:hAnsi="Times New Roman"/>
          <w:sz w:val="20"/>
          <w:szCs w:val="20"/>
          <w:color w:val="auto"/>
        </w:rPr>
        <w:t>”); (b) the Expenses reasonably incurred by MBI and/or its Affiliates in the course of providing the Services and Manufacturing, in accordance with Section 4.2; and (c) any Applicable Taxes, in accordance with Section 4.5.</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u w:val="single" w:color="auto"/>
          <w:color w:val="auto"/>
        </w:rPr>
        <w:t>Expenses</w:t>
      </w:r>
      <w:r>
        <w:rPr>
          <w:rFonts w:ascii="Times New Roman" w:cs="Times New Roman" w:eastAsia="Times New Roman" w:hAnsi="Times New Roman"/>
          <w:sz w:val="20"/>
          <w:szCs w:val="20"/>
          <w:color w:val="auto"/>
        </w:rPr>
        <w:t>. Client acknowledges that actual costs and expenses incurred by MBI in performing the Services or Manufacturing under an SOW may differ from the estimated costs set forth in such SOW. Accordingly, in addition to the agreed Fees and estimated costs specified in an SOW, Client shall pay or reimburse MBI for the following documented costs and expenses (including reasonable costs for travel, accommodation, lodging) incurred by MBI in connection with the performance of Services or Manufacturing (collectively, the “</w:t>
      </w:r>
      <w:r>
        <w:rPr>
          <w:rFonts w:ascii="Times New Roman" w:cs="Times New Roman" w:eastAsia="Times New Roman" w:hAnsi="Times New Roman"/>
          <w:sz w:val="20"/>
          <w:szCs w:val="20"/>
          <w:b w:val="1"/>
          <w:bCs w:val="1"/>
          <w:u w:val="single" w:color="auto"/>
          <w:color w:val="auto"/>
        </w:rPr>
        <w:t>Expenses</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1505"/>
        <w:spacing w:after="0" w:line="244" w:lineRule="auto"/>
        <w:tabs>
          <w:tab w:leader="none" w:pos="299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actual cost of any quantity(ies) of Raw Materials (other than Client-Supplied Raw Materials) necessary for the performance of Services or Manufacturing that exceed the anticipated cost or required quantity(ies) of such Raw Materials under the original SOW, or any applicable Change Order thereto, for which the additional quantities Client is responsible and for so long as the need for additional Raw Materials shall not be caused by MBI’s willful misconduct nor gross negligence;</w:t>
      </w:r>
    </w:p>
    <w:p>
      <w:pPr>
        <w:spacing w:after="0" w:line="185"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299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actual cost of outside professional services to MBI provided that such services are set forth in the SOW or otherwise approved by Client in advance and performed in accordance with Client’s instructions and the terms of this Agreement and the SOW, or any applicable Change Order thereto; and</w:t>
      </w:r>
    </w:p>
    <w:p>
      <w:pPr>
        <w:spacing w:after="0" w:line="174" w:lineRule="exact"/>
        <w:rPr>
          <w:rFonts w:ascii="Times New Roman" w:cs="Times New Roman" w:eastAsia="Times New Roman" w:hAnsi="Times New Roman"/>
          <w:sz w:val="20"/>
          <w:szCs w:val="20"/>
          <w:color w:val="auto"/>
        </w:rPr>
      </w:pPr>
    </w:p>
    <w:p>
      <w:pPr>
        <w:jc w:val="both"/>
        <w:ind w:firstLine="1505"/>
        <w:spacing w:after="0" w:line="244" w:lineRule="auto"/>
        <w:tabs>
          <w:tab w:leader="none" w:pos="299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actual fees and costs charged to MBI by a Third Party auditor for the conduct of any “without cause” GMP compliance audit pursuant to Section 6.2 and the costs for material and labor incurred by MBI in reasonably preparing for and cooperating with such “without cause” audit (to be charged to Client at applicable MBI standard rates, currently [***] and subject to annual revision); and</w:t>
      </w:r>
    </w:p>
    <w:p>
      <w:pPr>
        <w:spacing w:after="0" w:line="185" w:lineRule="exact"/>
        <w:rPr>
          <w:rFonts w:ascii="Times New Roman" w:cs="Times New Roman" w:eastAsia="Times New Roman" w:hAnsi="Times New Roman"/>
          <w:sz w:val="20"/>
          <w:szCs w:val="20"/>
          <w:color w:val="auto"/>
        </w:rPr>
      </w:pPr>
    </w:p>
    <w:p>
      <w:pPr>
        <w:jc w:val="both"/>
        <w:ind w:firstLine="1505"/>
        <w:spacing w:after="0" w:line="254" w:lineRule="auto"/>
        <w:tabs>
          <w:tab w:leader="none" w:pos="299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 expenses (including without limitation labor and material costs) reasonably incurred by MBI in accordance with Sections 6.4, 6.5, or Section 6.5 and not covered under (c) above (to be charged to Client at applicable MBI standard rates, currently [***] and subject to annual revision).</w:t>
      </w:r>
    </w:p>
    <w:p>
      <w:pPr>
        <w:spacing w:after="0" w:line="17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b w:val="1"/>
          <w:bCs w:val="1"/>
          <w:u w:val="single" w:color="auto"/>
          <w:color w:val="auto"/>
        </w:rPr>
        <w:t>Invoices; Payment</w:t>
      </w:r>
      <w:r>
        <w:rPr>
          <w:rFonts w:ascii="Times New Roman" w:cs="Times New Roman" w:eastAsia="Times New Roman" w:hAnsi="Times New Roman"/>
          <w:sz w:val="20"/>
          <w:szCs w:val="20"/>
          <w:color w:val="auto"/>
        </w:rPr>
        <w:t>. MBI shall provide to Client for each SOW one or more separate invoices (to be delivered at intervals specified in such SOW) for the Fees earned and Expenses or Cancellation Fees incurred in performing Services or Manufacturing under such SOW, each such invoice summarizing the Services or Manufacturing performed during that period of time under that SOW. MBI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0" w:name="page91"/>
    <w:bookmarkEnd w:id="90"/>
    <w:p>
      <w:pPr>
        <w:jc w:val="both"/>
        <w:spacing w:after="0" w:line="269" w:lineRule="auto"/>
        <w:rPr>
          <w:sz w:val="20"/>
          <w:szCs w:val="20"/>
          <w:color w:val="auto"/>
        </w:rPr>
      </w:pPr>
      <w:r>
        <w:rPr>
          <w:rFonts w:ascii="Times New Roman" w:cs="Times New Roman" w:eastAsia="Times New Roman" w:hAnsi="Times New Roman"/>
          <w:sz w:val="20"/>
          <w:szCs w:val="20"/>
          <w:color w:val="auto"/>
        </w:rPr>
        <w:t>will keep accurate financial records of out-of-pocket costs and Expenses incurred in the performance of Services and Manufacturing and invoice calculations.</w:t>
      </w:r>
    </w:p>
    <w:p>
      <w:pPr>
        <w:spacing w:after="0" w:line="15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b w:val="1"/>
          <w:bCs w:val="1"/>
          <w:u w:val="single" w:color="auto"/>
          <w:color w:val="auto"/>
        </w:rPr>
        <w:t>Manner and Place of Payment</w:t>
      </w:r>
      <w:r>
        <w:rPr>
          <w:rFonts w:ascii="Times New Roman" w:cs="Times New Roman" w:eastAsia="Times New Roman" w:hAnsi="Times New Roman"/>
          <w:sz w:val="20"/>
          <w:szCs w:val="20"/>
          <w:color w:val="auto"/>
        </w:rPr>
        <w:t>. Except as otherwise specified in an SOW, Client shall pay each undisputed invoice within [***] days of receipt. All undisputed invoiced amounts shall be paid in full by the Client without deduction or set off. All payments due to MBI under this Agreement shall be made in U.S. Dollars by wire or electronic fund transfer in immediately available funds to a bank and account designated in writing by MBI. Client shall be responsible for payment of all bank charges assessed by the originating bank associated with such manner of payment. Payment by credit card is expressly excluded as a means for payment for any of the Services or Manufacturing provided under one or more SOWs.</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b w:val="1"/>
          <w:bCs w:val="1"/>
          <w:u w:val="single" w:color="auto"/>
          <w:color w:val="auto"/>
        </w:rPr>
        <w:t>Applicable Taxes</w:t>
      </w:r>
      <w:r>
        <w:rPr>
          <w:rFonts w:ascii="Times New Roman" w:cs="Times New Roman" w:eastAsia="Times New Roman" w:hAnsi="Times New Roman"/>
          <w:sz w:val="20"/>
          <w:szCs w:val="20"/>
          <w:color w:val="auto"/>
        </w:rPr>
        <w:t>. Client will pay, upon receipt of invoice from MBI, any applicable sales, use, consumption, goods and services, and value-added taxes, duties, assessments and other charges and expenses imposed by any government authority arising out of the provision of Services or Manufacturing and/or the delivery of Products to Client under this Agreement and the applicable SOW, except taxes imposed on MBI’s (or its Affiliates’) income (“</w:t>
      </w:r>
      <w:r>
        <w:rPr>
          <w:rFonts w:ascii="Times New Roman" w:cs="Times New Roman" w:eastAsia="Times New Roman" w:hAnsi="Times New Roman"/>
          <w:sz w:val="20"/>
          <w:szCs w:val="20"/>
          <w:b w:val="1"/>
          <w:bCs w:val="1"/>
          <w:u w:val="single" w:color="auto"/>
          <w:color w:val="auto"/>
        </w:rPr>
        <w:t>Applicable Taxes</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b w:val="1"/>
          <w:bCs w:val="1"/>
          <w:u w:val="single" w:color="auto"/>
          <w:color w:val="auto"/>
        </w:rPr>
        <w:t>Late/Disputed Payments</w:t>
      </w:r>
      <w:r>
        <w:rPr>
          <w:rFonts w:ascii="Times New Roman" w:cs="Times New Roman" w:eastAsia="Times New Roman" w:hAnsi="Times New Roman"/>
          <w:sz w:val="20"/>
          <w:szCs w:val="20"/>
          <w:color w:val="auto"/>
        </w:rPr>
        <w:t>. In the event that any Undisputed Payment due under this Agreement is not made when due, the payment shall accrue interest at a rate of [***] per month for the period from the due date for payment until the date of actual payment; provided, however, that in no event shall such rate exceed the maximum legal annual interest rate. An “</w:t>
      </w:r>
      <w:r>
        <w:rPr>
          <w:rFonts w:ascii="Times New Roman" w:cs="Times New Roman" w:eastAsia="Times New Roman" w:hAnsi="Times New Roman"/>
          <w:sz w:val="20"/>
          <w:szCs w:val="20"/>
          <w:b w:val="1"/>
          <w:bCs w:val="1"/>
          <w:u w:val="single" w:color="auto"/>
          <w:color w:val="auto"/>
        </w:rPr>
        <w:t>Undisputed Payment</w:t>
      </w:r>
      <w:r>
        <w:rPr>
          <w:rFonts w:ascii="Times New Roman" w:cs="Times New Roman" w:eastAsia="Times New Roman" w:hAnsi="Times New Roman"/>
          <w:sz w:val="20"/>
          <w:szCs w:val="20"/>
          <w:color w:val="auto"/>
        </w:rPr>
        <w:t>” means an amount owed by Client to MBI for which there is no good faith dispute made by Client in accordance with the provisions of this Section 4.6. The payment of such interest shall not limit MBI from exercising any other rights it may have as a consequence of the lateness of any payment. If Client disputes any payment amount, Client shall notify MBI in writing within [***] days of receipt of the invoice requesting such payment regarding the nature and amount that is disputed in reasonable detail. The Parties shall work in good faith to resolve the disputed payment amount in a timely manner, during which time interest shall not accrue on the disputed amount. For the avoidance of doubt, MBI reserves the right to suspend any and all Services or Manufacturing in the event that Client fails to timely pay one or more invoices due and outstanding under any SOW, as applicable.</w:t>
      </w:r>
    </w:p>
    <w:p>
      <w:pPr>
        <w:spacing w:after="0" w:line="18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b w:val="1"/>
          <w:bCs w:val="1"/>
          <w:u w:val="single" w:color="auto"/>
          <w:color w:val="auto"/>
        </w:rPr>
        <w:t>Deposit</w:t>
      </w:r>
      <w:r>
        <w:rPr>
          <w:rFonts w:ascii="Times New Roman" w:cs="Times New Roman" w:eastAsia="Times New Roman" w:hAnsi="Times New Roman"/>
          <w:sz w:val="20"/>
          <w:szCs w:val="20"/>
          <w:color w:val="auto"/>
        </w:rPr>
        <w:t>. If and to the extent agreed upon in an SOW, Client will pay to MBI a deposit for amounts payable to MBI under such SOW (“</w:t>
      </w:r>
      <w:r>
        <w:rPr>
          <w:rFonts w:ascii="Times New Roman" w:cs="Times New Roman" w:eastAsia="Times New Roman" w:hAnsi="Times New Roman"/>
          <w:sz w:val="20"/>
          <w:szCs w:val="20"/>
          <w:b w:val="1"/>
          <w:bCs w:val="1"/>
          <w:u w:val="single" w:color="auto"/>
          <w:color w:val="auto"/>
        </w:rPr>
        <w:t>Deposit</w:t>
      </w:r>
      <w:r>
        <w:rPr>
          <w:rFonts w:ascii="Times New Roman" w:cs="Times New Roman" w:eastAsia="Times New Roman" w:hAnsi="Times New Roman"/>
          <w:sz w:val="20"/>
          <w:szCs w:val="20"/>
          <w:color w:val="auto"/>
        </w:rPr>
        <w:t>”). In the event Client has paid a Deposit, MBI will hold the Deposit on Client’s behalf and credit the Deposit to amounts owed to MBI by Client as set forth in the applicable SOW. In the event that Client has failed to pay any undisputed amounts when due, MBI will, upon written notice to Client, apply any Deposit to such undisputed amounts as of the date such amounts are due. Upon completion or termination of an SOW, any unused portion of a Deposit will be refunded to Client within [***] days of such completion or termination.</w:t>
      </w:r>
    </w:p>
    <w:p>
      <w:pPr>
        <w:spacing w:after="0" w:line="182" w:lineRule="exact"/>
        <w:rPr>
          <w:sz w:val="20"/>
          <w:szCs w:val="20"/>
          <w:color w:val="auto"/>
        </w:rPr>
      </w:pPr>
    </w:p>
    <w:p>
      <w:pPr>
        <w:ind w:left="760" w:hanging="752"/>
        <w:spacing w:after="0"/>
        <w:tabs>
          <w:tab w:leader="none" w:pos="7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DELIVERY; ACCEPTANCE AND REJECTION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u w:val="single" w:color="auto"/>
          <w:color w:val="auto"/>
        </w:rPr>
        <w:t>Quality Control Documentation</w:t>
      </w:r>
      <w:r>
        <w:rPr>
          <w:rFonts w:ascii="Times New Roman" w:cs="Times New Roman" w:eastAsia="Times New Roman" w:hAnsi="Times New Roman"/>
          <w:sz w:val="20"/>
          <w:szCs w:val="20"/>
          <w:color w:val="auto"/>
        </w:rPr>
        <w:t>. Except as otherwise specified in an SOW or any Quality Agreement executed hereunder, prior to the delivery of any Batch of Product to Client, MBI shall provide Client with the relevant Batch Documentation. MBI agrees not to ship Product to Client prior to acceptance in accordance with Section 5.3.</w:t>
      </w:r>
    </w:p>
    <w:p>
      <w:pPr>
        <w:spacing w:after="0" w:line="17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u w:val="single" w:color="auto"/>
          <w:color w:val="auto"/>
        </w:rPr>
        <w:t>Delivery</w:t>
      </w:r>
      <w:r>
        <w:rPr>
          <w:rFonts w:ascii="Times New Roman" w:cs="Times New Roman" w:eastAsia="Times New Roman" w:hAnsi="Times New Roman"/>
          <w:sz w:val="20"/>
          <w:szCs w:val="20"/>
          <w:color w:val="auto"/>
        </w:rPr>
        <w:t>. Except as otherwise specified in an SOW, all Product shall be delivered [***]. MBI will package Product in accordance with Client’s reasonable written instructions. Subject to Section 5.1 and Section 5.3, Client shall arrange for its designated carrier to collect each shipment of Product from the Facility no later than [***] days after MBI’s delivery to Client of the Batch Documentation for such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1" w:name="page92"/>
    <w:bookmarkEnd w:id="91"/>
    <w:p>
      <w:pPr>
        <w:jc w:val="both"/>
        <w:spacing w:after="0" w:line="245" w:lineRule="auto"/>
        <w:rPr>
          <w:sz w:val="20"/>
          <w:szCs w:val="20"/>
          <w:color w:val="auto"/>
        </w:rPr>
      </w:pPr>
      <w:r>
        <w:rPr>
          <w:rFonts w:ascii="Times New Roman" w:cs="Times New Roman" w:eastAsia="Times New Roman" w:hAnsi="Times New Roman"/>
          <w:sz w:val="20"/>
          <w:szCs w:val="20"/>
          <w:color w:val="auto"/>
        </w:rPr>
        <w:t>shipment, and if Client does not cause such designated carrier to do so within such [***] day period, MBI shall have the right to charge, and Client shall pay, additional Fees at MBI’s then-standard rates for storage of such Product beyond such [***] day period. Client shall be responsible for insuring all Product upon MBI’s delivery thereof to the designated carrier at the Facility. Client shall provide MBI with proof of export for MBI tax filing purposes. All shipments will be subject to the standard terms and conditions of the designated carrier, and MBI shall have no liability to Client for any loss, damage or delay in a shipment attributable to the designated carrier or to events occurring during or after delivery by MBI to the carrier.</w:t>
      </w:r>
    </w:p>
    <w:p>
      <w:pPr>
        <w:spacing w:after="0" w:line="16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b w:val="1"/>
          <w:bCs w:val="1"/>
          <w:u w:val="single" w:color="auto"/>
          <w:color w:val="auto"/>
        </w:rPr>
        <w:t>Acceptance and Rejection</w:t>
      </w:r>
      <w:r>
        <w:rPr>
          <w:rFonts w:ascii="Times New Roman" w:cs="Times New Roman" w:eastAsia="Times New Roman" w:hAnsi="Times New Roman"/>
          <w:sz w:val="20"/>
          <w:szCs w:val="20"/>
          <w:color w:val="auto"/>
        </w:rPr>
        <w:t>. Client shall have the right to reject any GMP Product Batch of Non-Conforming Product. As used herein, “</w:t>
      </w:r>
      <w:r>
        <w:rPr>
          <w:rFonts w:ascii="Times New Roman" w:cs="Times New Roman" w:eastAsia="Times New Roman" w:hAnsi="Times New Roman"/>
          <w:sz w:val="20"/>
          <w:szCs w:val="20"/>
          <w:b w:val="1"/>
          <w:bCs w:val="1"/>
          <w:u w:val="single" w:color="auto"/>
          <w:color w:val="auto"/>
        </w:rPr>
        <w:t>Non-Conforming Product</w:t>
      </w:r>
      <w:r>
        <w:rPr>
          <w:rFonts w:ascii="Times New Roman" w:cs="Times New Roman" w:eastAsia="Times New Roman" w:hAnsi="Times New Roman"/>
          <w:sz w:val="20"/>
          <w:szCs w:val="20"/>
          <w:color w:val="auto"/>
        </w:rPr>
        <w:t>” shall mean any GMP Product Batch which, before or at the time of delivery to the common carrier specified by Client at the Facility, materially fails to conform to any of MBI’s applicable warranties provided in Section 9.3 of this Agreement. Client shall inspect each GMP Product Batch and review associated Batch Documentation, and may test samples of the Batch against the Specifications, and shall notify MBI in writing of its acceptance or rejection of such GMP Product Batch within [***] days of receipt of such Batch Documentation. If Client fails to notify MBI in writing of its rejection of any GMP Product Batch within [***] days of receipt of the Batch Documentation, Client shall be deemed to have irrevocably accepted such GMP Product Batch. If Client timely delivers notice of rejection of any GMP Product Batch to MBI, MBI shall notify Client as promptly as reasonably possible whether or not it accepts Client’s basis for rejection. If MBI in good faith disagrees with Client’s assertion that certain GMP Product Batch is Non-Conforming Product, the Batch Documentation and a sample of such GMP Product Batch shall be promptly submitted (which will not exceed [***] days) to a mutually acceptable Third Party laboratory. Such Third Party laboratory shall determine whether or not such GMP Product Batch is Non-Conforming Product, and the Parties agree that such laboratory’s determination shall be final and binding on the Parties. The Party against whom the Third Party tester rules shall bear all costs of the Third Party testing. In the event that there is a quality investigation of the GMP Product Batch, the timing for acceptance or rejection of the GMP Product Batch shall be extended by mutual agreement after completion of the quality investigation.</w:t>
      </w:r>
    </w:p>
    <w:p>
      <w:pPr>
        <w:spacing w:after="0" w:line="19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b w:val="1"/>
          <w:bCs w:val="1"/>
          <w:u w:val="single" w:color="auto"/>
          <w:color w:val="auto"/>
        </w:rPr>
        <w:t>Sole Remedy for Delivery of Non-Conforming Product</w:t>
      </w:r>
      <w:r>
        <w:rPr>
          <w:rFonts w:ascii="Times New Roman" w:cs="Times New Roman" w:eastAsia="Times New Roman" w:hAnsi="Times New Roman"/>
          <w:sz w:val="20"/>
          <w:szCs w:val="20"/>
          <w:color w:val="auto"/>
        </w:rPr>
        <w:t>. In the event (a) MBI agrees or the Third Party laboratory determines that a GMP Product Batch is Non-Conforming Product and (b) such non-conformity resulted solely from the [***] of MBI, then MBI, at Client’s option, shall either (i) at MBI’s expense, subject to Client supplying replacement Client-Supplied Raw Materials at Client’s sole expense and paying for the Non-Conforming Product, replace such Non-Conforming Product as promptly as practicable after receipt of replacement Client-Supplied Raw Materials from Client, or (ii) refund the Fees paid by Client for the Non-Conforming Product. This Section 5.4 sets forth MBI’s entire liability and Client’s SOLE REMEDY for delivery of Non-Conforming Product. For clarity, and without limiting the generality of the foregoing, if the non-conformity of any Non-Conforming Product is the result of non-conformity of any Client-Supplied Raw Materials that was not solely caused by MBI or its Representatives, or if Client elects to use the Non-Conforming Product for its intended clinical purpose, then Client shall not be entitled to the foregoing remedy. For clarity, Client may request that such Non-Conforming Product be delivered to Client for research purposes, subject to payment of a mutually agreed reasonable fee for such Non-Conforming Product.</w:t>
      </w:r>
    </w:p>
    <w:p>
      <w:pPr>
        <w:spacing w:after="0" w:line="184" w:lineRule="exact"/>
        <w:rPr>
          <w:sz w:val="20"/>
          <w:szCs w:val="20"/>
          <w:color w:val="auto"/>
        </w:rPr>
      </w:pPr>
    </w:p>
    <w:p>
      <w:pPr>
        <w:ind w:left="760" w:hanging="752"/>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REGULATORY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u w:val="single" w:color="auto"/>
          <w:color w:val="auto"/>
        </w:rPr>
        <w:t>Regulatory Filings; Master File</w:t>
      </w:r>
      <w:r>
        <w:rPr>
          <w:rFonts w:ascii="Times New Roman" w:cs="Times New Roman" w:eastAsia="Times New Roman" w:hAnsi="Times New Roman"/>
          <w:sz w:val="20"/>
          <w:szCs w:val="20"/>
          <w:color w:val="auto"/>
        </w:rPr>
        <w:t>. Client shall be solely responsible for filing and maintaining all investigational new drug applications, applications for regulatory or marketing approval, and regulatory or marketing approvals with respect to any Product (collectively, “</w:t>
      </w:r>
      <w:r>
        <w:rPr>
          <w:rFonts w:ascii="Times New Roman" w:cs="Times New Roman" w:eastAsia="Times New Roman" w:hAnsi="Times New Roman"/>
          <w:sz w:val="20"/>
          <w:szCs w:val="20"/>
          <w:b w:val="1"/>
          <w:bCs w:val="1"/>
          <w:u w:val="single" w:color="auto"/>
          <w:color w:val="auto"/>
        </w:rPr>
        <w:t>Regulatory Filings</w:t>
      </w:r>
      <w:r>
        <w:rPr>
          <w:rFonts w:ascii="Times New Roman" w:cs="Times New Roman" w:eastAsia="Times New Roman" w:hAnsi="Times New Roman"/>
          <w:sz w:val="20"/>
          <w:szCs w:val="20"/>
          <w:color w:val="auto"/>
        </w:rPr>
        <w:t>”), which, for the avoidance of doubt, exclude any applicable Master File(s). Client acknowledges that MBI shall at all times be the sole and exclusive owner of the Master File(s). Upon Client’s written request, MBI shall submit a letter of authorization to FDA authorizing FDA to access and refer to the applicable Master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2" w:name="page93"/>
    <w:bookmarkEnd w:id="92"/>
    <w:p>
      <w:pPr>
        <w:jc w:val="both"/>
        <w:spacing w:after="0"/>
        <w:rPr>
          <w:sz w:val="20"/>
          <w:szCs w:val="20"/>
          <w:color w:val="auto"/>
        </w:rPr>
      </w:pPr>
      <w:r>
        <w:rPr>
          <w:rFonts w:ascii="Times New Roman" w:cs="Times New Roman" w:eastAsia="Times New Roman" w:hAnsi="Times New Roman"/>
          <w:sz w:val="20"/>
          <w:szCs w:val="20"/>
          <w:color w:val="auto"/>
        </w:rPr>
        <w:t>File(s) in support of Client’s Regulatory Filings with respect to any Product and shall promptly provide Client with a copy of such letter of authorization. For clarity, neither this Section nor any other provision of this Agreement shall be construed to obligate MBI to disclose the contents of the Master File(s) to Client or otherwise to provide Client or its Representatives with access to the Master File. Notwithstanding the foregoing, MBI will cooperate with Client, at Client’s expense, to provide information directly to foreign regulatory authorities, under appropriate and suitable confidentiality conditions, such as utilization of commercially confidential information protection under HMA/EMA guidance, to support Client’s Regulatory Filings in jurisdictions outside the U.S., and with respect to jurisdictions in which the regulatory authorities will not accept the necessary information from MBI directly to support Client’s Regulatory Filing, MBI will make the necessary information available to Client directly, solely for use in connection with Client’s Regulatory Filing; provided however, that the disclosure of MBI’s Confidential Information under this sentence shall exclusively be effected to specifically named Client employees who have signed, each on his/her individual behalf, a non-disclosure agreement adequately protecting MBI’s confidentiality interests relating to such MBI Confidential Information prior to such disclosure. Upon MBI’s request, the Parties shall discuss and reasonably agree on any additional or alternative means that may be required or useful to protect MBI’s confidentiality interests for this purpose.</w:t>
      </w:r>
    </w:p>
    <w:p>
      <w:pPr>
        <w:spacing w:after="0" w:line="179"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b w:val="1"/>
          <w:bCs w:val="1"/>
          <w:u w:val="single" w:color="auto"/>
          <w:color w:val="auto"/>
        </w:rPr>
        <w:t>Audits; Performance Observation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39" w:lineRule="auto"/>
        <w:tabs>
          <w:tab w:leader="none" w:pos="299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“without cause” audits, Client and its Representatives shall have the right, acting reasonably, upon not less than [***] days advance notice and during regular business hours, and no more than once in any given [***] month period during the Term hereof, to inspect and audit the Facility used for Manufacture of Product, and MBI’s records at the Facility that are relevant to the Product to assure compliance with MBI’s obligations under this Agreement and the applicable SOW, including for compliance with the Agreed Standards, Applicable Laws, including GMP if applicable, and other prevailing quality system requirements. Such inspection and audit shall be limited to those portions of the Facility that are involved in the Manufacture of the Product, and shall be conducted in a manner so as to minimize disruption of business operations. MBI and its Affiliates reserve the right, at its sole discretion, to exempt certain documentation from such audit by Client if and to the extent this is reasonably required in order to protect MBI’s Technology and Confidential Information of MBI’s other clients, and to the extent that disclosure of such information under such audit is not required by an Authority (as defined below). All information disclosed to or otherwise observed by Client or its Representatives during any such audit or inspection shall be deemed Confidential Information of MBI or its Affiliates, respectively. If Client appoints any Third Party to perform such audit, Client warrants and represents that such Third Party will abide by confidentiality obligations no less stringent than those contained in this Agreement. Client’s representatives shall at all times while present at the Facility comply with all applicable health, safety, environmental and security laws and applicable MBI (or Affiliate) standard policies and procedures.</w:t>
      </w:r>
    </w:p>
    <w:p>
      <w:pPr>
        <w:spacing w:after="0" w:line="195" w:lineRule="exact"/>
        <w:rPr>
          <w:rFonts w:ascii="Times New Roman" w:cs="Times New Roman" w:eastAsia="Times New Roman" w:hAnsi="Times New Roman"/>
          <w:sz w:val="20"/>
          <w:szCs w:val="20"/>
          <w:color w:val="auto"/>
        </w:rPr>
      </w:pPr>
    </w:p>
    <w:p>
      <w:pPr>
        <w:jc w:val="both"/>
        <w:ind w:firstLine="1505"/>
        <w:spacing w:after="0" w:line="241" w:lineRule="auto"/>
        <w:tabs>
          <w:tab w:leader="none" w:pos="299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for Client’s submission of any Regulatory Filing to FDA or equivalent regulatory authority (“</w:t>
      </w:r>
      <w:r>
        <w:rPr>
          <w:rFonts w:ascii="Times New Roman" w:cs="Times New Roman" w:eastAsia="Times New Roman" w:hAnsi="Times New Roman"/>
          <w:sz w:val="20"/>
          <w:szCs w:val="20"/>
          <w:b w:val="1"/>
          <w:bCs w:val="1"/>
          <w:u w:val="single" w:color="auto"/>
          <w:color w:val="auto"/>
        </w:rPr>
        <w:t>Authority</w:t>
      </w:r>
      <w:r>
        <w:rPr>
          <w:rFonts w:ascii="Times New Roman" w:cs="Times New Roman" w:eastAsia="Times New Roman" w:hAnsi="Times New Roman"/>
          <w:sz w:val="20"/>
          <w:szCs w:val="20"/>
          <w:color w:val="auto"/>
        </w:rPr>
        <w:t>”) or necessary for approval thereof by FDA or other Authority, MBI shall permit representatives of the relevant Authority, or cause an appropriately qualified Third Party mutually selected by MBI and Client, to conduct a GMP compliance audit at the Facility, at Client’s sole expense, subject to any reimbursement by Client as described in Section 4.2. As a condition to allowing such Third Party auditor to conduct a GMP compliance audit at the Facility, MBI will require such Third Party auditor to execute a non-disclosure agreement with MBI. The Third Party auditor shall not have the right to copy any notes, data, records or other documentation maintained by MBI. The contents of such Third Party auditor’s audit report shall be limited to the minimum information legally required for Client’s submission of the applicable Regulatory Filing or necessary for approval thereof by FDA or other relevant Authority. MBI shall deliver a copy of the audit report to Client promptly following the issuance thereof. In no event shall any such audit report disclose or include any MBI Technology or other Confidential Information of MBI (including, without limitation, the Manufacturing Process or any portion thereof).</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3" w:name="page94"/>
    <w:bookmarkEnd w:id="93"/>
    <w:p>
      <w:pPr>
        <w:jc w:val="both"/>
        <w:ind w:firstLine="1505"/>
        <w:spacing w:after="0" w:line="254" w:lineRule="auto"/>
        <w:tabs>
          <w:tab w:leader="none" w:pos="299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MBI will permit Client or its Representatives to observe and consult with MBI during the performance of Services or Manufacturing under this Agreement, subject to MBI’s person in plant policies regarding conduct of Client and its Representatives while in the Facility.</w:t>
      </w:r>
    </w:p>
    <w:p>
      <w:pPr>
        <w:spacing w:after="0" w:line="170"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u w:val="single" w:color="auto"/>
          <w:color w:val="auto"/>
        </w:rPr>
        <w:t>Adverse Event Reporting</w:t>
      </w:r>
      <w:r>
        <w:rPr>
          <w:rFonts w:ascii="Times New Roman" w:cs="Times New Roman" w:eastAsia="Times New Roman" w:hAnsi="Times New Roman"/>
          <w:sz w:val="20"/>
          <w:szCs w:val="20"/>
          <w:color w:val="auto"/>
        </w:rPr>
        <w:t>. Client shall be responsible for all reporting to regulatory authorities of adverse events associated with the use of any Product.</w:t>
      </w:r>
    </w:p>
    <w:p>
      <w:pPr>
        <w:spacing w:after="0" w:line="15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u w:val="single" w:color="auto"/>
          <w:color w:val="auto"/>
        </w:rPr>
        <w:t>Regulatory Inspections</w:t>
      </w:r>
      <w:r>
        <w:rPr>
          <w:rFonts w:ascii="Times New Roman" w:cs="Times New Roman" w:eastAsia="Times New Roman" w:hAnsi="Times New Roman"/>
          <w:sz w:val="20"/>
          <w:szCs w:val="20"/>
          <w:color w:val="auto"/>
        </w:rPr>
        <w:t>. In the event MBI receives any correspondence from any regulatory or governmental agency relating specifically to a Product, or any notice of inspection or any inspection visit by any regulatory or governmental authority relating specifically to a Product, MBI shall notify Client thereof and shall keep Client informed of any written observations (or any other written communication) by such regulatory or governmental authority that could reasonably be expected to have a material adverse impact on MBI’s ability to supply Product and of MBI’s response to any such observation, per the specific details in the Quality Agreement. MBI will use reasonable efforts to consult with Client before responding to each such communication relating specifically to Product. In addition to any express obligations under any Quality Agreement, MBI shall promptly furnish Client with summaries of all reports, documents and correspondence with respect to any such inquiries, visits or inspections.</w:t>
      </w:r>
    </w:p>
    <w:p>
      <w:pPr>
        <w:spacing w:after="0" w:line="18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b w:val="1"/>
          <w:bCs w:val="1"/>
          <w:u w:val="single" w:color="auto"/>
          <w:color w:val="auto"/>
        </w:rPr>
        <w:t>Audit and Inspection Costs</w:t>
      </w:r>
      <w:r>
        <w:rPr>
          <w:rFonts w:ascii="Times New Roman" w:cs="Times New Roman" w:eastAsia="Times New Roman" w:hAnsi="Times New Roman"/>
          <w:sz w:val="20"/>
          <w:szCs w:val="20"/>
          <w:color w:val="auto"/>
        </w:rPr>
        <w:t>. Client shall reimburse MBI and its Affiliates for all Expenses reasonably incurred by MBI and/or its Affiliates (as the case may be) in connection with (i) the Facility audits pursuant to Section 6.2 and (ii) any regulatory inspections by, or correspondence with, any regulatory or governmental agency pursuant to Section 6.4.</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b w:val="1"/>
          <w:bCs w:val="1"/>
          <w:u w:val="single" w:color="auto"/>
          <w:color w:val="auto"/>
        </w:rPr>
        <w:t>Assistance</w:t>
      </w:r>
      <w:r>
        <w:rPr>
          <w:rFonts w:ascii="Times New Roman" w:cs="Times New Roman" w:eastAsia="Times New Roman" w:hAnsi="Times New Roman"/>
          <w:sz w:val="20"/>
          <w:szCs w:val="20"/>
          <w:color w:val="auto"/>
        </w:rPr>
        <w:t>. MBI shall, if and as requested, consult with and provide reasonable assistance to Client with regard to regulatory matters concerning the Product, as appropriate, and Client shall be charged for any Expenses arising therefrom.</w:t>
      </w:r>
    </w:p>
    <w:p>
      <w:pPr>
        <w:spacing w:after="0" w:line="152" w:lineRule="exact"/>
        <w:rPr>
          <w:sz w:val="20"/>
          <w:szCs w:val="20"/>
          <w:color w:val="auto"/>
        </w:rPr>
      </w:pPr>
    </w:p>
    <w:p>
      <w:pPr>
        <w:ind w:left="760" w:hanging="752"/>
        <w:spacing w:after="0"/>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OWNERSHIP OF INTELLECTUAL PROPERTY</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u w:val="single" w:color="auto"/>
          <w:color w:val="auto"/>
        </w:rPr>
        <w:t>Client Property</w:t>
      </w:r>
      <w:r>
        <w:rPr>
          <w:rFonts w:ascii="Times New Roman" w:cs="Times New Roman" w:eastAsia="Times New Roman" w:hAnsi="Times New Roman"/>
          <w:sz w:val="20"/>
          <w:szCs w:val="20"/>
          <w:color w:val="auto"/>
        </w:rPr>
        <w:t>. MBI acknowledges and agrees that, as between the Parties, Client Technology constitutes the sole and exclusive property of Client. Except as expressly set forth in Section 7.2, all right, title and interest in and to Results generated by or on behalf of MBI in the performance of Services under any SOW, including all patent and other intellectual property rights therein (collectively, “</w:t>
      </w:r>
      <w:r>
        <w:rPr>
          <w:rFonts w:ascii="Times New Roman" w:cs="Times New Roman" w:eastAsia="Times New Roman" w:hAnsi="Times New Roman"/>
          <w:sz w:val="20"/>
          <w:szCs w:val="20"/>
          <w:b w:val="1"/>
          <w:bCs w:val="1"/>
          <w:u w:val="single" w:color="auto"/>
          <w:color w:val="auto"/>
        </w:rPr>
        <w:t>Client Property</w:t>
      </w:r>
      <w:r>
        <w:rPr>
          <w:rFonts w:ascii="Times New Roman" w:cs="Times New Roman" w:eastAsia="Times New Roman" w:hAnsi="Times New Roman"/>
          <w:sz w:val="20"/>
          <w:szCs w:val="20"/>
          <w:color w:val="auto"/>
        </w:rPr>
        <w:t>”), will be owned solely by Client. MBI hereby assigns to Client all right, title and interest in and to Client Property. MBI represents and warrants to Client that each employee, agent, consultant and subcontractor of MBI or its Affiliates performing any Services hereunder is obligated to assign all right, title and interest in and to Client Property to MBI. MBI shall, and shall cause its Affiliates and its and their employees, agents, consultants and subcontractors to, sign and deliver to Client all writings and do all such things as may be necessary or appropriate to vest in Client all right, title and interest in and to Client Property. Client may, in its sole discretion, file and prosecute in its own name and at its own expense, patent applications on any patentable inventions within the Results. Upon the request of Client, and at Client’s expense, MBI will assist Client in the preparation, filing and prosecution of such patent applications and will execute and deliver any and all instruments necessary to effectuate the ownership of such patent applications and patents and to enable Client to file and prosecute such patent applications in any country.</w:t>
      </w:r>
    </w:p>
    <w:p>
      <w:pPr>
        <w:spacing w:after="0" w:line="17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u w:val="single" w:color="auto"/>
          <w:color w:val="auto"/>
        </w:rPr>
        <w:t>MBI Technology</w:t>
      </w:r>
      <w:r>
        <w:rPr>
          <w:rFonts w:ascii="Times New Roman" w:cs="Times New Roman" w:eastAsia="Times New Roman" w:hAnsi="Times New Roman"/>
          <w:sz w:val="20"/>
          <w:szCs w:val="20"/>
          <w:color w:val="auto"/>
        </w:rPr>
        <w:t>. Client Property shall not include MBI Technology, and Client acknowledges and agrees that, as between the Parties, all MBI Technology is and shall continue to be owned solely and exclusively by MBI. In order to provide Client with freedom to operate with respect to any Results or GMP Product Batch delivered by MBI to Client pursuant to this Agreement, and subject to the terms and conditions of this Agreement, MBI hereby grants to Client a limited, worldwide, non-exclusive license, under MBI Technology solely to use Results or GMP Product Batch delivered by MBI to Client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4" w:name="page95"/>
    <w:bookmarkEnd w:id="94"/>
    <w:p>
      <w:pPr>
        <w:jc w:val="both"/>
        <w:spacing w:after="0" w:line="246" w:lineRule="auto"/>
        <w:rPr>
          <w:sz w:val="20"/>
          <w:szCs w:val="20"/>
          <w:color w:val="auto"/>
        </w:rPr>
      </w:pPr>
      <w:r>
        <w:rPr>
          <w:rFonts w:ascii="Times New Roman" w:cs="Times New Roman" w:eastAsia="Times New Roman" w:hAnsi="Times New Roman"/>
          <w:sz w:val="20"/>
          <w:szCs w:val="20"/>
          <w:color w:val="auto"/>
        </w:rPr>
        <w:t>hereunder to research, develop, make, have made, and use non-commercial products [***]. The foregoing license shall not include the right to sublicense to any party other than an Affiliate or relevant bona fide commercial partner, but Client, its Affiliates and relevant bona fide commercial partners shall have the right to use contract research organizations to perform such research, preclinical development and clinical development activities on behalf of Client. For clarity, and notwithstanding the foregoing or any other provision of this Agreement to the contrary, MBI does not grant, and Client shall not have, any license, under MBI Technology or otherwise, to [***].</w:t>
      </w:r>
    </w:p>
    <w:p>
      <w:pPr>
        <w:spacing w:after="0" w:line="18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u w:val="single" w:color="auto"/>
          <w:color w:val="auto"/>
        </w:rPr>
        <w:t>No Implied License</w:t>
      </w:r>
      <w:r>
        <w:rPr>
          <w:rFonts w:ascii="Times New Roman" w:cs="Times New Roman" w:eastAsia="Times New Roman" w:hAnsi="Times New Roman"/>
          <w:sz w:val="20"/>
          <w:szCs w:val="20"/>
          <w:color w:val="auto"/>
        </w:rPr>
        <w:t>. Neither Client nor MBI grants or transfers to the other by operation of this Agreement any right or license under any patent right, copyright right, trademark right or other proprietary right of such Party, except as expressly set forth in this Agreement.</w:t>
      </w:r>
    </w:p>
    <w:p>
      <w:pPr>
        <w:spacing w:after="0" w:line="17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b w:val="1"/>
          <w:bCs w:val="1"/>
          <w:u w:val="single" w:color="auto"/>
          <w:color w:val="auto"/>
        </w:rPr>
        <w:t>Technology Transfer</w:t>
      </w:r>
      <w:r>
        <w:rPr>
          <w:rFonts w:ascii="Times New Roman" w:cs="Times New Roman" w:eastAsia="Times New Roman" w:hAnsi="Times New Roman"/>
          <w:sz w:val="20"/>
          <w:szCs w:val="20"/>
          <w:color w:val="auto"/>
        </w:rPr>
        <w:t>. If Client elects to Manufacture Product, or to have Product Manufactured by a Third Party, then MBI will provide to Client or its designee, all Manufacturing related information, including documentation, technical assistance, materials and cooperation by appropriate employees of MBI as Client or its designee may reasonably require in order to Manufacture Product. Client will compensate MBI for such assistance at MBI’s then standard hourly rate(s).</w:t>
      </w:r>
    </w:p>
    <w:p>
      <w:pPr>
        <w:spacing w:after="0" w:line="162" w:lineRule="exact"/>
        <w:rPr>
          <w:sz w:val="20"/>
          <w:szCs w:val="20"/>
          <w:color w:val="auto"/>
        </w:rPr>
      </w:pPr>
    </w:p>
    <w:p>
      <w:pPr>
        <w:ind w:left="760" w:hanging="752"/>
        <w:spacing w:after="0"/>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b w:val="1"/>
          <w:bCs w:val="1"/>
          <w:u w:val="single" w:color="auto"/>
          <w:color w:val="auto"/>
        </w:rPr>
        <w:t>Confidentiality Obligation</w:t>
      </w:r>
      <w:r>
        <w:rPr>
          <w:rFonts w:ascii="Times New Roman" w:cs="Times New Roman" w:eastAsia="Times New Roman" w:hAnsi="Times New Roman"/>
          <w:sz w:val="20"/>
          <w:szCs w:val="20"/>
          <w:color w:val="auto"/>
        </w:rPr>
        <w:t>. Except to the extent expressly authorized by this Agreement, the Receiving Party agrees that, during the Term and for [***] years thereafter (the “</w:t>
      </w:r>
      <w:r>
        <w:rPr>
          <w:rFonts w:ascii="Times New Roman" w:cs="Times New Roman" w:eastAsia="Times New Roman" w:hAnsi="Times New Roman"/>
          <w:sz w:val="20"/>
          <w:szCs w:val="20"/>
          <w:b w:val="1"/>
          <w:bCs w:val="1"/>
          <w:u w:val="single" w:color="auto"/>
          <w:color w:val="auto"/>
        </w:rPr>
        <w:t>Confidentiality Period</w:t>
      </w:r>
      <w:r>
        <w:rPr>
          <w:rFonts w:ascii="Times New Roman" w:cs="Times New Roman" w:eastAsia="Times New Roman" w:hAnsi="Times New Roman"/>
          <w:sz w:val="20"/>
          <w:szCs w:val="20"/>
          <w:color w:val="auto"/>
        </w:rPr>
        <w:t>”), it shall keep confidential and shall not publish or otherwise disclose to any Third Party, and shall not use for any purpose other than as expressly provided for in this Agreement, any Confidential Information of the Disclosing Party The Receiving Party may disclose Confidential Information to those of the Receiving Party’s Representatives who have a need for such Confidential Information, provided that the Receiving Party shall advise such Representatives of the confidential nature thereof, shall insure that each such Representative is bound in writing by obligations of confidentiality and non-use at least as stringent as those contained in this Agreement, and shall be responsible for the compliance of its Representatives with the terms of this Agreement. The Receiving Party shall use at least the same standard of care as it uses to protect proprietary or confidential information of its own (but in no event less than reasonable care) to ensure that its Representatives do not disclose or make any unauthorized use of the Confidential Information. The Receiving Party shall promptly notify the Disclosing Party upon discovery of any unauthorized use or disclosure of the Confidential Information.</w:t>
      </w:r>
    </w:p>
    <w:p>
      <w:pPr>
        <w:spacing w:after="0" w:line="187"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b w:val="1"/>
          <w:bCs w:val="1"/>
          <w:u w:val="single" w:color="auto"/>
          <w:color w:val="auto"/>
        </w:rPr>
        <w:t>Exceptions</w:t>
      </w:r>
      <w:r>
        <w:rPr>
          <w:rFonts w:ascii="Times New Roman" w:cs="Times New Roman" w:eastAsia="Times New Roman" w:hAnsi="Times New Roman"/>
          <w:sz w:val="20"/>
          <w:szCs w:val="20"/>
          <w:color w:val="auto"/>
        </w:rPr>
        <w:t>. The Receiving Party’s obligations under Section 8.1 shall not apply to any information that the Receiving Party can prove by competent evidence: (a) is now, or hereafter becomes, through no act or failure to act on the part of the Receiving Party in breach of this Agreement, the Prior Agreement or any prior confidentiality agreement between the Parties hereto, generally known or available; (b) is known by the Receiving Party at the time of receiving such information from the Disclosing Party, as evidenced by its pre-existing written records; (c) is hereafter furnished to the Receiving Party by a Third Party, as a matter of right and without restriction on disclosure; or (d) is independently discovered or developed by the Receiving Party, without the aid, use, or application of any Confidential Information disclosed or made available to the Receiving Party by the Disclosing Party, as evidenced by the Receiving Party’s contemporaneously-maintained written records.</w:t>
      </w:r>
    </w:p>
    <w:p>
      <w:pPr>
        <w:spacing w:after="0" w:line="18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b w:val="1"/>
          <w:bCs w:val="1"/>
          <w:u w:val="single" w:color="auto"/>
          <w:color w:val="auto"/>
        </w:rPr>
        <w:t>Authorized Disclosure</w:t>
      </w:r>
      <w:r>
        <w:rPr>
          <w:rFonts w:ascii="Times New Roman" w:cs="Times New Roman" w:eastAsia="Times New Roman" w:hAnsi="Times New Roman"/>
          <w:sz w:val="20"/>
          <w:szCs w:val="20"/>
          <w:color w:val="auto"/>
        </w:rPr>
        <w:t>. Notwithstanding the provisions of Section 8.1, the Receiving Party may disclose Confidential Information, without violating its obligations under this Agreement, to the extent the disclosure is: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5" w:name="page96"/>
    <w:bookmarkEnd w:id="95"/>
    <w:p>
      <w:pPr>
        <w:jc w:val="both"/>
        <w:ind w:firstLine="1505"/>
        <w:spacing w:after="0" w:line="245" w:lineRule="auto"/>
        <w:tabs>
          <w:tab w:leader="none" w:pos="299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by a valid order of a court or other governmental body of competent jurisdiction or is otherwise required by Applicable Laws; provided that the Receiving Party shall, prior to disclosure, give reasonable prior written notice to the Disclosing Party of such required disclosure and, at the Disclosing Party’s request and expense, shall cooperate with the Disclosing Party’s efforts to contest such requirement, to obtain a protective order requiring that the Confidential Information so disclosed be used only for the purposes for which the order was issued or the law or regulation required, and/or to obtain other confidential treatment of such Confidential Information; or</w:t>
      </w:r>
    </w:p>
    <w:p>
      <w:pPr>
        <w:spacing w:after="0" w:line="170" w:lineRule="exact"/>
        <w:rPr>
          <w:rFonts w:ascii="Times New Roman" w:cs="Times New Roman" w:eastAsia="Times New Roman" w:hAnsi="Times New Roman"/>
          <w:sz w:val="20"/>
          <w:szCs w:val="20"/>
          <w:color w:val="auto"/>
        </w:rPr>
      </w:pPr>
    </w:p>
    <w:p>
      <w:pPr>
        <w:ind w:left="3000" w:hanging="1495"/>
        <w:spacing w:after="0"/>
        <w:tabs>
          <w:tab w:leader="none" w:pos="30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necessary to enforce the Receiving Party’s rights under this Agreement.</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b w:val="1"/>
          <w:bCs w:val="1"/>
          <w:u w:val="single" w:color="auto"/>
          <w:color w:val="auto"/>
        </w:rPr>
        <w:t>Confidentiality of this Agreement</w:t>
      </w:r>
      <w:r>
        <w:rPr>
          <w:rFonts w:ascii="Times New Roman" w:cs="Times New Roman" w:eastAsia="Times New Roman" w:hAnsi="Times New Roman"/>
          <w:sz w:val="20"/>
          <w:szCs w:val="20"/>
          <w:color w:val="auto"/>
        </w:rPr>
        <w:t>. This Agreement and its terms are considered Confidential Information of both Parties, and each Party shall keep confidential and shall not publish or otherwise disclose the terms of this Agreement without the prior written consent of the other Party, except as expressly permitted by Section 8.3.</w:t>
      </w:r>
    </w:p>
    <w:p>
      <w:pPr>
        <w:spacing w:after="0" w:line="16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b w:val="1"/>
          <w:bCs w:val="1"/>
          <w:u w:val="single" w:color="auto"/>
          <w:color w:val="auto"/>
        </w:rPr>
        <w:t>Use of Names</w:t>
      </w:r>
      <w:r>
        <w:rPr>
          <w:rFonts w:ascii="Times New Roman" w:cs="Times New Roman" w:eastAsia="Times New Roman" w:hAnsi="Times New Roman"/>
          <w:sz w:val="20"/>
          <w:szCs w:val="20"/>
          <w:color w:val="auto"/>
        </w:rPr>
        <w:t>. Except as otherwise required by Applicable Laws, neither Party shall make any public statement concerning this Agreement or the transactions contemplated by this Agreement or use the other Party’s name or trademarks in any advertising, sales, or promotional material or in any publication without the prior written consent of the other Party.</w:t>
      </w:r>
    </w:p>
    <w:p>
      <w:pPr>
        <w:spacing w:after="0" w:line="175" w:lineRule="exact"/>
        <w:rPr>
          <w:sz w:val="20"/>
          <w:szCs w:val="20"/>
          <w:color w:val="auto"/>
        </w:rPr>
      </w:pPr>
    </w:p>
    <w:p>
      <w:pPr>
        <w:ind w:left="760" w:hanging="752"/>
        <w:spacing w:after="0"/>
        <w:tabs>
          <w:tab w:leader="none" w:pos="7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REPRESENTATIONS AND WARRANTIES; DISCLAIMER; LIMITATION OF LIABILITY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b w:val="1"/>
          <w:bCs w:val="1"/>
          <w:u w:val="single" w:color="auto"/>
          <w:color w:val="auto"/>
        </w:rPr>
        <w:t>Mutual Representations and Warranties</w:t>
      </w:r>
      <w:r>
        <w:rPr>
          <w:rFonts w:ascii="Times New Roman" w:cs="Times New Roman" w:eastAsia="Times New Roman" w:hAnsi="Times New Roman"/>
          <w:sz w:val="20"/>
          <w:szCs w:val="20"/>
          <w:color w:val="auto"/>
        </w:rPr>
        <w:t>. Each Party represents and warrants to the other that: (a) it is duly organized and validly existing under the laws of its jurisdiction of incorporation or formation, and has full corporate or other power and authority to enter into this Agreement and to carry out the provisions hereof; (b) it is duly authorized to execute and deliver this Agreement and to perform its obligations hereunder; and (c) this Agreement is legally binding upon it, enforceable in accordance with its terms, and does not conflict with any agreement, instrument, or understanding, oral or written, to which it is a party or by which it may be bound.</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b w:val="1"/>
          <w:bCs w:val="1"/>
          <w:u w:val="single" w:color="auto"/>
          <w:color w:val="auto"/>
        </w:rPr>
        <w:t>Limited Services Warranty</w:t>
      </w:r>
      <w:r>
        <w:rPr>
          <w:rFonts w:ascii="Times New Roman" w:cs="Times New Roman" w:eastAsia="Times New Roman" w:hAnsi="Times New Roman"/>
          <w:sz w:val="20"/>
          <w:szCs w:val="20"/>
          <w:color w:val="auto"/>
        </w:rPr>
        <w:t>. MBI represents and warrants that (a) it will perform the Services under each SOW in a workmanlike manner and with professional diligence and skill in accordance with prevailing industry standards, and in material compliance with Agreed Standards and Applicable Laws; (b) the Services will be performed with requisite care, skill and diligence, by individuals who are appropriately trained and qualified; and (c) to MBI’s knowledge as of the Effective Date, MBI has not received any written communication alleging that the practice of MBI Technology infringes the patent rights or misappropriates the trade secrets of any Third Party and it will promptly notify Client in writing should it become aware of any claims asserting such violation. In the event of a material error by MBI in the performance of any Services that renders the Results invalid, MBI shall, at Client’s option and as Client’s SOLE REMEDY, either (i) repeat those particular Services at MBI’s expense, subject to Client providing MBI, at no cost to MBI, with any Client Materials and Client-Supplied Raw Materials necessary for the performance of such Services, or (ii) refund to Client the Fees actually paid for those particular Services. No claim for breach of MBI’s warranty under this Section 9.2 with respect to Services performed under an SOW may be brought more than [***] months after completion of the applicable Project.</w:t>
      </w:r>
    </w:p>
    <w:p>
      <w:pPr>
        <w:spacing w:after="0" w:line="187"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b w:val="1"/>
          <w:bCs w:val="1"/>
          <w:u w:val="single" w:color="auto"/>
          <w:color w:val="auto"/>
        </w:rPr>
        <w:t>Product Warranty</w:t>
      </w:r>
      <w:r>
        <w:rPr>
          <w:rFonts w:ascii="Times New Roman" w:cs="Times New Roman" w:eastAsia="Times New Roman" w:hAnsi="Times New Roman"/>
          <w:sz w:val="19"/>
          <w:szCs w:val="19"/>
          <w:color w:val="auto"/>
        </w:rPr>
        <w:t>. MBI represents and warrants to Client with respect to each Batch of Product supplied hereunder that:</w:t>
      </w:r>
    </w:p>
    <w:p>
      <w:pPr>
        <w:spacing w:after="0" w:line="12" w:lineRule="exact"/>
        <w:rPr>
          <w:sz w:val="20"/>
          <w:szCs w:val="20"/>
          <w:color w:val="auto"/>
        </w:rPr>
      </w:pPr>
    </w:p>
    <w:p>
      <w:pPr>
        <w:jc w:val="both"/>
        <w:ind w:firstLine="8"/>
        <w:spacing w:after="0" w:line="242" w:lineRule="auto"/>
        <w:tabs>
          <w:tab w:leader="none" w:pos="27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Batch will have been Manufactured in material compliance with the Agreed Standards, Applicable Laws, the Quality Agreement and the Manufacturing Process; and (b) provided that Client has paid all relevant Fees and Expenses relating thereto, when delivered, Client will have good and marketable title, free and clear of any liability, pledge, lien, restriction, claim, charge,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6" w:name="page97"/>
    <w:bookmarkEnd w:id="96"/>
    <w:p>
      <w:pPr>
        <w:jc w:val="both"/>
        <w:spacing w:after="0" w:line="249" w:lineRule="auto"/>
        <w:rPr>
          <w:sz w:val="20"/>
          <w:szCs w:val="20"/>
          <w:color w:val="auto"/>
        </w:rPr>
      </w:pPr>
      <w:r>
        <w:rPr>
          <w:rFonts w:ascii="Times New Roman" w:cs="Times New Roman" w:eastAsia="Times New Roman" w:hAnsi="Times New Roman"/>
          <w:sz w:val="20"/>
          <w:szCs w:val="20"/>
          <w:color w:val="auto"/>
        </w:rPr>
        <w:t>security interest and/or other encumbrance, to such Batch of Product; provided, however, that MBI shall have no responsibility whatsoever with respect to any deficiency of Product that, directly or indirectly, is caused by or results from MBI’s reliance on or use of Client Materials, Client-Supplied Raw Materials, and/or Client Information. Client’s remedies for MBI’s breach of this warranty shall include those expressly set forth in Section 5.4.</w:t>
      </w:r>
    </w:p>
    <w:p>
      <w:pPr>
        <w:spacing w:after="0" w:line="17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b w:val="1"/>
          <w:bCs w:val="1"/>
          <w:u w:val="single" w:color="auto"/>
          <w:color w:val="auto"/>
        </w:rPr>
        <w:t>No Debarment Warranty</w:t>
      </w:r>
      <w:r>
        <w:rPr>
          <w:rFonts w:ascii="Times New Roman" w:cs="Times New Roman" w:eastAsia="Times New Roman" w:hAnsi="Times New Roman"/>
          <w:sz w:val="20"/>
          <w:szCs w:val="20"/>
          <w:color w:val="auto"/>
        </w:rPr>
        <w:t>. MBI, its Affiliates, approved subcontractors, and each of their respective officers and directors, as applicable, and any person used by MBI, its Affiliates or approved subcontractors to perform Services or Manufacturing under this Agreement: (i) have not been debarred and are not subject to a pending debarment pursuant to section 306 of the United States Food, Drug and Cosmetic Act, 21 U.S.C. § 335a; (ii) are not ineligible to participate in any federal and/or state healthcare programs or federal procurement or non-procurement programs (as that term is defined in 42 U.S.C. § 1320a-7b(f)); (iii) are not disqualified by any government or regulatory authorities from performing specific services, and are not subject to a pending disqualification proceeding; and (iv) have not been convicted of a criminal offense related to the provision of healthcare items or services and are not subject to any such pending action. MBI will notify Client immediately if MBI, its Affiliates, or approved subcontractors, or any person used to perform Services or Manufacturing under this Agreement, or any of their respective officers or directors, as applicable, is subject to the foregoing, or if any action, suit, claim, investigation, or proceeding relating to the foregoing is pending, or to the best of MBI’s knowledge, is threatened.</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b w:val="1"/>
          <w:bCs w:val="1"/>
          <w:u w:val="single" w:color="auto"/>
          <w:color w:val="auto"/>
        </w:rPr>
        <w:t>Client Warranties</w:t>
      </w:r>
      <w:r>
        <w:rPr>
          <w:rFonts w:ascii="Times New Roman" w:cs="Times New Roman" w:eastAsia="Times New Roman" w:hAnsi="Times New Roman"/>
          <w:sz w:val="20"/>
          <w:szCs w:val="20"/>
          <w:color w:val="auto"/>
        </w:rPr>
        <w:t>. Client represents and warrants to MBI that (i) all Client Materials and Client-Supplied Raw Materials supplied by Client to MBI hereunder shall conform in all material respects to the applicable specifications, if any, for such Client Materials and Client-Supplied Raw Materials specified in the applicable SOW or the Quality Agreement (as applicable), in each case, as in effect at the time of delivery to MBI; and (ii) Client Information provided to MBI hereunder is, to Client’s knowledge, true, accurate, complete and suitable in all material respects for the performance of the relevant Services under the applicable SOW. Client hereby covenants to MBI to use all Results and Product(s) delivered to Client hereunder at all times in accordance with Applicable Laws.</w:t>
      </w:r>
    </w:p>
    <w:p>
      <w:pPr>
        <w:spacing w:after="0" w:line="18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b w:val="1"/>
          <w:bCs w:val="1"/>
          <w:u w:val="single" w:color="auto"/>
          <w:color w:val="auto"/>
        </w:rPr>
        <w:t>Disclaimer</w:t>
      </w:r>
      <w:r>
        <w:rPr>
          <w:rFonts w:ascii="Times New Roman" w:cs="Times New Roman" w:eastAsia="Times New Roman" w:hAnsi="Times New Roman"/>
          <w:sz w:val="20"/>
          <w:szCs w:val="20"/>
          <w:color w:val="auto"/>
        </w:rPr>
        <w:t>. Except as expressly set forth herein, EACH PARTY EXPRESSLY DISCLAIMS ANY AND ALL WARRANTIES OF ANY KIND, EXPRESS OR IMPLIED, INCLUDING, WITHOUT LIMITATION, THE WARRANTIES OF DESIGN, MERCHANTABILITY, FITNESS FOR A PARTICULAR PURPOSE, NON-INFRINGEMENT OF THE INTELLECTUAL PROPERTY RIGHTS OF THIRD PARTIES, OR ARISING FROM A COURSE OF DEALING, USAGE, OR TRADE PRACTICES. Without limiting the generality of the foregoing, Client acknowledges and agrees that, due to the complex nature of the subject matter hereof, MBI does not make, and hereby disclaims, any representation or warranty: (a) as to the safety or usefulness for any purpose of any Results or Product delivered hereunder, including, without limitation, the safety or usefulness of any Results or Product for Client’s intended use thereof; (b) that MBI’s performance of the Services or Manufacturing will yield a specific desired result; or (c) that any Results or Product will be acceptable to any regulatory governmental agency to which it is presented, or that Client will be able to market or otherwise exploit any product obtained from the use thereof.</w:t>
      </w:r>
    </w:p>
    <w:p>
      <w:pPr>
        <w:spacing w:after="0" w:line="18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b w:val="1"/>
          <w:bCs w:val="1"/>
          <w:u w:val="single" w:color="auto"/>
          <w:color w:val="auto"/>
        </w:rPr>
        <w:t>Limitation of Liability</w:t>
      </w:r>
      <w:r>
        <w:rPr>
          <w:rFonts w:ascii="Times New Roman" w:cs="Times New Roman" w:eastAsia="Times New Roman" w:hAnsi="Times New Roman"/>
          <w:sz w:val="20"/>
          <w:szCs w:val="20"/>
          <w:color w:val="auto"/>
        </w:rPr>
        <w:t>. EXCEPT FOR LIABILITY FOR BREACH OF THE OBLIGATIONS IN ARTICLE 7.3, INFRINGEMENT OF THE OTHER PARTY’S INTELLECTUAL PROPERTY, OR INTENTIONAL BREACH OF CONTRACT, GROSS NEGLIGENCE OR WILLFUL MISCONDUCT, IN NO EVENT SHALL EITHER PARTY BE ENTITLED TO RECOVER FROM THE OTHER PARTY ANY SPECIAL, INCIDENTAL, CONSEQUENTIAL, OR PUNITIVE DAMAGES ARISING OUT OF OR IN CONNECTION WITH THIS AGREEMENT, EVEN IF THE OTHER PARTY HAD NOTICE OF THE POSSIBILITY OF SUCH DAMAGES In addition, in no event shall: (a) MBI’s aggregate liability to Client arising out of or relating to this Agreement exceed [***] the total Fees paid 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7" w:name="page98"/>
    <w:bookmarkEnd w:id="97"/>
    <w:p>
      <w:pPr>
        <w:jc w:val="both"/>
        <w:spacing w:after="0" w:line="249" w:lineRule="auto"/>
        <w:rPr>
          <w:sz w:val="20"/>
          <w:szCs w:val="20"/>
          <w:color w:val="auto"/>
        </w:rPr>
      </w:pPr>
      <w:r>
        <w:rPr>
          <w:rFonts w:ascii="Times New Roman" w:cs="Times New Roman" w:eastAsia="Times New Roman" w:hAnsi="Times New Roman"/>
          <w:sz w:val="20"/>
          <w:szCs w:val="20"/>
          <w:color w:val="auto"/>
        </w:rPr>
        <w:t>payable by Client to MBI under the applicable SOW giving rise to such liability during the [***] month period immediately preceding the event giving rise to such liability; and (b) MBI have any liability whatsoever to Client or any Third Party arising out of or in connection with the research, development, manufacture, use, handling, storage, sale or other disposition of any Product by or on behalf of Client or any of its Affiliates or licensees.</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b w:val="1"/>
          <w:bCs w:val="1"/>
          <w:u w:val="single" w:color="auto"/>
          <w:color w:val="auto"/>
        </w:rPr>
        <w:t>Liability for Clinical Trials</w:t>
      </w:r>
      <w:r>
        <w:rPr>
          <w:rFonts w:ascii="Times New Roman" w:cs="Times New Roman" w:eastAsia="Times New Roman" w:hAnsi="Times New Roman"/>
          <w:sz w:val="20"/>
          <w:szCs w:val="20"/>
          <w:color w:val="auto"/>
        </w:rPr>
        <w:t>. As between MBI and Client, Client agrees that it shall be Client’s sole responsibility to determine that Product will be safe for human use, and Client hereby assumes the sole responsibility and liability for any injuries, claims, actions, damages, losses, or liability of any kind, including direct, indirect, incidental, consequential, or punitive damages resulting from or arising out of or in connection with the administration, possession, use, misuse, or nonuse of the Product, by or on behalf of Client or its Affiliates in clinical trials or other studies or treatment involving human subjects, provided that any such claims, actions, etc. are not the result of the gross negligence or willful misconduct of MBI, and Client agrees to defend, indemnify and hold MBI harmless from and against any Third Party claims arising therefrom, in accordance with Section 11.1 below.</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b w:val="1"/>
          <w:bCs w:val="1"/>
          <w:u w:val="single" w:color="auto"/>
          <w:color w:val="auto"/>
        </w:rPr>
        <w:t>Insurance</w:t>
      </w:r>
      <w:r>
        <w:rPr>
          <w:rFonts w:ascii="Times New Roman" w:cs="Times New Roman" w:eastAsia="Times New Roman" w:hAnsi="Times New Roman"/>
          <w:sz w:val="20"/>
          <w:szCs w:val="20"/>
          <w:color w:val="auto"/>
        </w:rPr>
        <w:t>. Each Party agrees to self-insure, or to provide and maintain during the Term of this Agreement, at its sole expense, comprehensive insurance, including general liability insurance and product liability insurance, covering the Party’s respective activities in connection with this Agreement, in accordance with Applicable Laws. The insurance shall provide appropriate limits of liability in accordance with generally accepted standards. Each Party will upon reasonable request furnish to the other certificates of insurance evidencing that such insurance is in effect. Each Party shall serve prompt notice on the other in the event that such insurance should be materially adversely changed or terminated for any reason.</w:t>
      </w:r>
    </w:p>
    <w:p>
      <w:pPr>
        <w:spacing w:after="0" w:line="182" w:lineRule="exact"/>
        <w:rPr>
          <w:sz w:val="20"/>
          <w:szCs w:val="20"/>
          <w:color w:val="auto"/>
        </w:rPr>
      </w:pPr>
    </w:p>
    <w:p>
      <w:pPr>
        <w:ind w:left="760" w:hanging="752"/>
        <w:spacing w:after="0"/>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 AND TERMINATION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b w:val="1"/>
          <w:bCs w:val="1"/>
          <w:u w:val="single" w:color="auto"/>
          <w:color w:val="auto"/>
        </w:rPr>
        <w:t>Term</w:t>
      </w:r>
      <w:r>
        <w:rPr>
          <w:rFonts w:ascii="Times New Roman" w:cs="Times New Roman" w:eastAsia="Times New Roman" w:hAnsi="Times New Roman"/>
          <w:sz w:val="20"/>
          <w:szCs w:val="20"/>
          <w:color w:val="auto"/>
        </w:rPr>
        <w:t>. The term of this Agreement shall commence on the Effective Date and, subject to earlier termination of this Agreement in accordance with this Article 10, shall continue for a period of three (3) years from the Effective Date and thereafter shall automatically renew for successive one (1)-year periods, unless either Party provides written notice to the other Party of its desire not to renew at least ninety (90) days prior to the expiration of the then-current term (the initial three-year term, together with any renewal terms, collectively, the “</w:t>
      </w:r>
      <w:r>
        <w:rPr>
          <w:rFonts w:ascii="Times New Roman" w:cs="Times New Roman" w:eastAsia="Times New Roman" w:hAnsi="Times New Roman"/>
          <w:sz w:val="20"/>
          <w:szCs w:val="20"/>
          <w:b w:val="1"/>
          <w:bCs w:val="1"/>
          <w:u w:val="single" w:color="auto"/>
          <w:color w:val="auto"/>
        </w:rPr>
        <w:t>Term</w:t>
      </w:r>
      <w:r>
        <w:rPr>
          <w:rFonts w:ascii="Times New Roman" w:cs="Times New Roman" w:eastAsia="Times New Roman" w:hAnsi="Times New Roman"/>
          <w:sz w:val="20"/>
          <w:szCs w:val="20"/>
          <w:color w:val="auto"/>
        </w:rPr>
        <w:t>”); provided, however, that if Services or Manufacturing under any SOW are in progress as of the expiration of the Term, this Agreement shall continue in effect solely with respect to such Services or Manufacturing until completion of such Services or Manufacturing or the earlier termination of such SOW in accordance with this Article 10.</w:t>
      </w:r>
    </w:p>
    <w:p>
      <w:pPr>
        <w:spacing w:after="0" w:line="172"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b w:val="1"/>
          <w:bCs w:val="1"/>
          <w:u w:val="single" w:color="auto"/>
          <w:color w:val="auto"/>
        </w:rPr>
        <w:t>Termination for Material Breach</w:t>
      </w:r>
      <w:r>
        <w:rPr>
          <w:rFonts w:ascii="Times New Roman" w:cs="Times New Roman" w:eastAsia="Times New Roman" w:hAnsi="Times New Roman"/>
          <w:sz w:val="20"/>
          <w:szCs w:val="20"/>
          <w:color w:val="auto"/>
        </w:rPr>
        <w:t>. Each Party shall have the right to terminate this Agreement or any SOW upon sixty</w:t>
      </w:r>
    </w:p>
    <w:p>
      <w:pPr>
        <w:spacing w:after="0" w:line="26" w:lineRule="exact"/>
        <w:rPr>
          <w:sz w:val="20"/>
          <w:szCs w:val="20"/>
          <w:color w:val="auto"/>
        </w:rPr>
      </w:pPr>
    </w:p>
    <w:p>
      <w:pPr>
        <w:jc w:val="both"/>
        <w:ind w:firstLine="8"/>
        <w:spacing w:after="0" w:line="238" w:lineRule="auto"/>
        <w:tabs>
          <w:tab w:leader="none" w:pos="39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(or, in the case of breach of any payment obligation, fifteen (15) days’) prior written notice to the other Party upon or after the material breach of this Agreement or any SOW by the other Party if the breaching Party has not cured such breach by the end of such sixty (60)-day (or fifteen (15)-day, as applicable) period. If such notice of breach is for breach of an SOW, such notice shall note the specific SOW under which such breach is claimed. Notwithstanding the foregoing, in the event of a good faith dispute as to whether performance has been made by either Party pursuant to this Agreement, including any good faith dispute as to payments due under this Agreement, the relevant cure period with respect thereto will be tolled pending resolution of such dispute in accordance with the applicable provisions of this Agreement; provided, that if such dispute relates to payment, the cure period will only apply with respect to payment of disputed amounts, and not with respect to undisputed amounts.</w:t>
      </w:r>
    </w:p>
    <w:p>
      <w:pPr>
        <w:spacing w:after="0" w:line="188"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b w:val="1"/>
          <w:bCs w:val="1"/>
          <w:u w:val="single" w:color="auto"/>
          <w:color w:val="auto"/>
        </w:rPr>
        <w:t>Termination at Will</w:t>
      </w:r>
      <w:r>
        <w:rPr>
          <w:rFonts w:ascii="Times New Roman" w:cs="Times New Roman" w:eastAsia="Times New Roman" w:hAnsi="Times New Roman"/>
          <w:sz w:val="20"/>
          <w:szCs w:val="20"/>
          <w:color w:val="auto"/>
        </w:rPr>
        <w:t>. Client may terminate this Agreement or any SOW at any time upon (a) ninety (90) days’ prior written notice to MBI, or (b) written notice to MBI following a Bankruptcy Event.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8" w:name="page99"/>
    <w:bookmarkEnd w:id="98"/>
    <w:p>
      <w:pPr>
        <w:jc w:val="both"/>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b w:val="1"/>
          <w:bCs w:val="1"/>
          <w:u w:val="single" w:color="auto"/>
          <w:color w:val="auto"/>
        </w:rPr>
        <w:t>Payment Upon Termination</w:t>
      </w:r>
      <w:r>
        <w:rPr>
          <w:rFonts w:ascii="Times New Roman" w:cs="Times New Roman" w:eastAsia="Times New Roman" w:hAnsi="Times New Roman"/>
          <w:sz w:val="20"/>
          <w:szCs w:val="20"/>
          <w:color w:val="auto"/>
        </w:rPr>
        <w:t>. In the event of termination of this Agreement before completion of the Services or Manufacturing specified in any SOW, or termination of any SOW before completion of the Services or Manufacturing specified in such SOW, Client shall pay MBI for all Services or Manufacturing completed through the date of termination in accordance with this Agreement and such SOW, including, except as provided for below, reasonable and documented out-of-pocket costs and non- cancellable obligations incurred by MBI in accordance with this Agreement and such SOW and Expenses incurred by MBI in accordance with Section 4.2, and if applicable, the Cancellation Fee(s) due under Section 3.4 with respect to any Manufacturing run cancelled by virtue of such termination, prior to MBI’s delivery of all relevant Client Property and completed GMP Product Batches (as applicable) to Client. As promptly as practicable after the termination of any SOW (either individually or as a result of termination of this Agreement), MBI shall deliver to Client a written itemized statement of (i) all Services or Manufacturing performed under such SOW, (ii) the Fees payable by Client for such Services or Manufacturing, and (iii) the actual Expenses and non-cancelable Expenses reasonably incurred by MBI in accordance with this Agreement and such SOW, and (iv) if applicable, the Cancellation Fee(s) payable by Client under Section 3.4, and Client shall pay the undisputed invoiced amount within [***] days of receipt of invoice. MBI shall use commercially reasonable efforts to mitigate the amounts payable by Client hereunder in the case of early termination.</w:t>
      </w:r>
    </w:p>
    <w:p>
      <w:pPr>
        <w:spacing w:after="0" w:line="19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b w:val="1"/>
          <w:bCs w:val="1"/>
          <w:u w:val="single" w:color="auto"/>
          <w:color w:val="auto"/>
        </w:rPr>
        <w:t>Return of Confidential Information and Client Materials</w:t>
      </w:r>
      <w:r>
        <w:rPr>
          <w:rFonts w:ascii="Times New Roman" w:cs="Times New Roman" w:eastAsia="Times New Roman" w:hAnsi="Times New Roman"/>
          <w:sz w:val="20"/>
          <w:szCs w:val="20"/>
          <w:color w:val="auto"/>
        </w:rPr>
        <w:t>. In the event of expiration or termination of this Agreement, the Receiving Party shall return to the Disclosing Party all Confidential Information of the Disclosing Party (including all copies thereof) in the Receiving Party’s possession; provided, however, that the Receiving Party may retain one copy of such Confidential Information in the Receiving Party’s secure archives for the sole purpose of monitoring compliance with its obligations hereunder or as required by Applicable Laws. Further, upon request, MBI will also promptly return all Client Materials and Client-Supplied Raw Materials, at Client’s expense.</w:t>
      </w:r>
    </w:p>
    <w:p>
      <w:pPr>
        <w:spacing w:after="0" w:line="180"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b w:val="1"/>
          <w:bCs w:val="1"/>
          <w:u w:val="single" w:color="auto"/>
          <w:color w:val="auto"/>
        </w:rPr>
        <w:t>Accrued Rights; Survival</w:t>
      </w:r>
      <w:r>
        <w:rPr>
          <w:rFonts w:ascii="Times New Roman" w:cs="Times New Roman" w:eastAsia="Times New Roman" w:hAnsi="Times New Roman"/>
          <w:sz w:val="20"/>
          <w:szCs w:val="20"/>
          <w:color w:val="auto"/>
        </w:rPr>
        <w:t>. Except as expressly set forth in Section 10.4 or 10.5 or in this Section 10.6, upon expiration or any termination of this Agreement, all rights and obligations of the Parties under this Agreement shall terminate and be of no further force or effect. Notwithstanding the forgoing, the rights and obligations of this Agreement will survive and control all SOWs, under which Services or Manufacturing are still being performed by MBI, despite the expiration or termination of this Agreement. The expiration or termination of this Agreement for any reason shall not release either Party from any liability or obligation that, at the time of such expiration or termination, has already accrued to the other Party or that is attributable to a period prior to such expiration or termination, nor will expiration or any termination of this Agreement preclude either Party from pursuing all rights and remedies it may have under this Agreement, or at law or in equity, with respect to breach of this Agreement. In the event of expiration or any termination of this Agreement, the provisions of Sections [***] of this Agreement shall survive such expiration or termination in accordance with their respective terms and conditions.</w:t>
      </w:r>
    </w:p>
    <w:p>
      <w:pPr>
        <w:spacing w:after="0" w:line="184" w:lineRule="exact"/>
        <w:rPr>
          <w:sz w:val="20"/>
          <w:szCs w:val="20"/>
          <w:color w:val="auto"/>
        </w:rPr>
      </w:pPr>
    </w:p>
    <w:p>
      <w:pPr>
        <w:ind w:left="760" w:hanging="752"/>
        <w:spacing w:after="0"/>
        <w:tabs>
          <w:tab w:leader="none" w:pos="7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INDEMNIFICATION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b w:val="1"/>
          <w:bCs w:val="1"/>
          <w:u w:val="single" w:color="auto"/>
          <w:color w:val="auto"/>
        </w:rPr>
        <w:t>By Client</w:t>
      </w:r>
      <w:r>
        <w:rPr>
          <w:rFonts w:ascii="Times New Roman" w:cs="Times New Roman" w:eastAsia="Times New Roman" w:hAnsi="Times New Roman"/>
          <w:sz w:val="20"/>
          <w:szCs w:val="20"/>
          <w:color w:val="auto"/>
        </w:rPr>
        <w:t>. Client hereby agrees to save, defend, indemnify, and hold harmless MBI and its Representatives (each, an “</w:t>
      </w:r>
      <w:r>
        <w:rPr>
          <w:rFonts w:ascii="Times New Roman" w:cs="Times New Roman" w:eastAsia="Times New Roman" w:hAnsi="Times New Roman"/>
          <w:sz w:val="20"/>
          <w:szCs w:val="20"/>
          <w:b w:val="1"/>
          <w:bCs w:val="1"/>
          <w:u w:val="single" w:color="auto"/>
          <w:color w:val="auto"/>
        </w:rPr>
        <w:t>MBI Indemnitee</w:t>
      </w:r>
      <w:r>
        <w:rPr>
          <w:rFonts w:ascii="Times New Roman" w:cs="Times New Roman" w:eastAsia="Times New Roman" w:hAnsi="Times New Roman"/>
          <w:sz w:val="20"/>
          <w:szCs w:val="20"/>
          <w:color w:val="auto"/>
        </w:rPr>
        <w:t>”) from and against any and all losses, damages (including direct, indirect, incidental, consequential, or punitive damages), expenses, costs (including reasonable legal expense and attorneys’ fees) and liabilities of any kind (collectively, “</w:t>
      </w:r>
      <w:r>
        <w:rPr>
          <w:rFonts w:ascii="Times New Roman" w:cs="Times New Roman" w:eastAsia="Times New Roman" w:hAnsi="Times New Roman"/>
          <w:sz w:val="20"/>
          <w:szCs w:val="20"/>
          <w:b w:val="1"/>
          <w:bCs w:val="1"/>
          <w:u w:val="single" w:color="auto"/>
          <w:color w:val="auto"/>
        </w:rPr>
        <w:t>Losses</w:t>
      </w:r>
      <w:r>
        <w:rPr>
          <w:rFonts w:ascii="Times New Roman" w:cs="Times New Roman" w:eastAsia="Times New Roman" w:hAnsi="Times New Roman"/>
          <w:sz w:val="20"/>
          <w:szCs w:val="20"/>
          <w:color w:val="auto"/>
        </w:rPr>
        <w:t>”), to which any MBI Indemnitee may become subject as a result of any claim, demand, action, or other proceeding by any Third Party (each a “</w:t>
      </w:r>
      <w:r>
        <w:rPr>
          <w:rFonts w:ascii="Times New Roman" w:cs="Times New Roman" w:eastAsia="Times New Roman" w:hAnsi="Times New Roman"/>
          <w:sz w:val="20"/>
          <w:szCs w:val="20"/>
          <w:b w:val="1"/>
          <w:bCs w:val="1"/>
          <w:u w:val="single" w:color="auto"/>
          <w:color w:val="auto"/>
        </w:rPr>
        <w:t>Third-Party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Claim</w:t>
      </w:r>
      <w:r>
        <w:rPr>
          <w:rFonts w:ascii="Times New Roman" w:cs="Times New Roman" w:eastAsia="Times New Roman" w:hAnsi="Times New Roman"/>
          <w:sz w:val="20"/>
          <w:szCs w:val="20"/>
          <w:color w:val="auto"/>
        </w:rPr>
        <w:t>”) to the extent such Losses arise directly or indirectly out of: (a) the transfer or disclosure to MBI of Client Materials, Client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or Client-Supplied Raw Materials; (b) the research, development, manufacture, use, handling, storage, sale, or other disposition by or on behalf of Client or any of its Affiliates or Third Party licensees, of any Result or Product; (c) the gross negligence or willful misconduct of any Client Indemnitee (defined below); or (d) the breach by Client of any warranty,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99" w:name="page100"/>
    <w:bookmarkEnd w:id="99"/>
    <w:p>
      <w:pPr>
        <w:jc w:val="both"/>
        <w:spacing w:after="0" w:line="254" w:lineRule="auto"/>
        <w:rPr>
          <w:sz w:val="20"/>
          <w:szCs w:val="20"/>
          <w:color w:val="auto"/>
        </w:rPr>
      </w:pPr>
      <w:r>
        <w:rPr>
          <w:rFonts w:ascii="Times New Roman" w:cs="Times New Roman" w:eastAsia="Times New Roman" w:hAnsi="Times New Roman"/>
          <w:sz w:val="20"/>
          <w:szCs w:val="20"/>
          <w:color w:val="auto"/>
        </w:rPr>
        <w:t>representation, covenant, or agreement made by Client in this Agreement; except, in each case, to the extent such Losses result from the gross negligence or willful misconduct of any MBI Indemnitee or the breach by MBI of any warranty, representation, covenant, or agreement made by MBI in this Agreement.</w:t>
      </w:r>
    </w:p>
    <w:p>
      <w:pPr>
        <w:spacing w:after="0" w:line="17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b w:val="1"/>
          <w:bCs w:val="1"/>
          <w:u w:val="single" w:color="auto"/>
          <w:color w:val="auto"/>
        </w:rPr>
        <w:t>By MBI</w:t>
      </w:r>
      <w:r>
        <w:rPr>
          <w:rFonts w:ascii="Times New Roman" w:cs="Times New Roman" w:eastAsia="Times New Roman" w:hAnsi="Times New Roman"/>
          <w:sz w:val="20"/>
          <w:szCs w:val="20"/>
          <w:color w:val="auto"/>
        </w:rPr>
        <w:t>. MBI hereby agrees to save, defend, indemnify, and hold harmless Client and its Representatives (each, a “</w:t>
      </w:r>
      <w:r>
        <w:rPr>
          <w:rFonts w:ascii="Times New Roman" w:cs="Times New Roman" w:eastAsia="Times New Roman" w:hAnsi="Times New Roman"/>
          <w:sz w:val="20"/>
          <w:szCs w:val="20"/>
          <w:b w:val="1"/>
          <w:bCs w:val="1"/>
          <w:u w:val="single" w:color="auto"/>
          <w:color w:val="auto"/>
        </w:rPr>
        <w:t>Client Indemnitee</w:t>
      </w:r>
      <w:r>
        <w:rPr>
          <w:rFonts w:ascii="Times New Roman" w:cs="Times New Roman" w:eastAsia="Times New Roman" w:hAnsi="Times New Roman"/>
          <w:sz w:val="20"/>
          <w:szCs w:val="20"/>
          <w:color w:val="auto"/>
        </w:rPr>
        <w:t>”) from and against any and all Losses to which any Client Indemnitee may become subject as a result of any Third-Party Claim, to the extent such Losses arise directly or indirectly out of: (a) the gross negligence or willful misconduct of any MBI Indemnitee; or</w:t>
      </w:r>
    </w:p>
    <w:p>
      <w:pPr>
        <w:spacing w:after="0" w:line="2" w:lineRule="exact"/>
        <w:rPr>
          <w:sz w:val="20"/>
          <w:szCs w:val="20"/>
          <w:color w:val="auto"/>
        </w:rPr>
      </w:pPr>
    </w:p>
    <w:p>
      <w:pPr>
        <w:jc w:val="both"/>
        <w:ind w:firstLine="8"/>
        <w:spacing w:after="0" w:line="242" w:lineRule="auto"/>
        <w:tabs>
          <w:tab w:leader="none" w:pos="28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breach by MBI of any warranty, representation, covenant, or agreement made by MBI in this Agreement; except, in each case, to the extent such Losses result from the gross negligence or willful misconduct of any Client Indemnitee or the breach by Client of any warranty, representation, covenant or agreement made by Client in this Agreement.</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b w:val="1"/>
          <w:bCs w:val="1"/>
          <w:u w:val="single" w:color="auto"/>
          <w:color w:val="auto"/>
        </w:rPr>
        <w:t>Control of Defense</w:t>
      </w:r>
      <w:r>
        <w:rPr>
          <w:rFonts w:ascii="Times New Roman" w:cs="Times New Roman" w:eastAsia="Times New Roman" w:hAnsi="Times New Roman"/>
          <w:sz w:val="20"/>
          <w:szCs w:val="20"/>
          <w:color w:val="auto"/>
        </w:rPr>
        <w:t>. In the event a Client Indemnitee or MBI Indemnitee seeks indemnification under Section 11.1 or Section 11.2, it shall: (a) inform the other Party (the “</w:t>
      </w:r>
      <w:r>
        <w:rPr>
          <w:rFonts w:ascii="Times New Roman" w:cs="Times New Roman" w:eastAsia="Times New Roman" w:hAnsi="Times New Roman"/>
          <w:sz w:val="20"/>
          <w:szCs w:val="20"/>
          <w:b w:val="1"/>
          <w:bCs w:val="1"/>
          <w:u w:val="single" w:color="auto"/>
          <w:color w:val="auto"/>
        </w:rPr>
        <w:t>Indemnifying Party</w:t>
      </w:r>
      <w:r>
        <w:rPr>
          <w:rFonts w:ascii="Times New Roman" w:cs="Times New Roman" w:eastAsia="Times New Roman" w:hAnsi="Times New Roman"/>
          <w:sz w:val="20"/>
          <w:szCs w:val="20"/>
          <w:color w:val="auto"/>
        </w:rPr>
        <w:t>”) of a Third-Party Claim as soon as reasonably practicable (and in any event within [***] days) after it receives notice of the claim; (b) shall permit the Indemnifying Party to assume direction and control of the defense of the claim (including the right to settle the claim solely for monetary consideration with no admission of fault and using legal counsel of its choice) at the Indemnifying Party’s expense; and (c) shall cooperate as reasonably requested (at the expense of the Indemnifying Party) in the defense of the claim; provided, however, no Indemnitee shall be required to admit fault or responsibility in connection with any settlement. An Indemnitee’s failure to perform any obligations under this Section shall not relieve the Indemnifying Party of its obligations under this Article 11 except to the extent that the Indemnifying Party can demonstrate that it has been materially prejudiced as a result of such failure. An Indemnitee shall have the right participate in and observe the proceedings through its own separate legal counsel at its own expense.</w:t>
      </w:r>
    </w:p>
    <w:p>
      <w:pPr>
        <w:spacing w:after="0" w:line="175" w:lineRule="exact"/>
        <w:rPr>
          <w:sz w:val="20"/>
          <w:szCs w:val="20"/>
          <w:color w:val="auto"/>
        </w:rPr>
      </w:pPr>
    </w:p>
    <w:p>
      <w:pPr>
        <w:ind w:left="760" w:hanging="752"/>
        <w:spacing w:after="0"/>
        <w:tabs>
          <w:tab w:leader="none" w:pos="7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19"/>
          <w:szCs w:val="19"/>
          <w:color w:val="auto"/>
        </w:rPr>
        <w:t xml:space="preserve">12.1 </w:t>
      </w:r>
      <w:r>
        <w:rPr>
          <w:rFonts w:ascii="Times New Roman" w:cs="Times New Roman" w:eastAsia="Times New Roman" w:hAnsi="Times New Roman"/>
          <w:sz w:val="19"/>
          <w:szCs w:val="19"/>
          <w:b w:val="1"/>
          <w:bCs w:val="1"/>
          <w:u w:val="single" w:color="auto"/>
          <w:color w:val="auto"/>
        </w:rPr>
        <w:t>Compliance with Laws; Cooperation</w:t>
      </w:r>
      <w:r>
        <w:rPr>
          <w:rFonts w:ascii="Times New Roman" w:cs="Times New Roman" w:eastAsia="Times New Roman" w:hAnsi="Times New Roman"/>
          <w:sz w:val="19"/>
          <w:szCs w:val="19"/>
          <w:color w:val="auto"/>
        </w:rPr>
        <w:t>. In exercising their rights under this Agreement and the applicable SOWs, and performing any obligations thereunder, the Parties shall fully comply in all material respects with the requirements of any and all Applicable Laws of any governmental body having jurisdiction over the exercise of rights under this Agreement. Each Party shall make reasonable efforts to furnish to the other Party any information reasonably requested or required by that Party during the Term of this Agreement or any extensions thereof to enable the requesting Party to comply with the requirements of any U.S., state and/or government agency.</w:t>
      </w:r>
    </w:p>
    <w:p>
      <w:pPr>
        <w:spacing w:after="0" w:line="148"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b w:val="1"/>
          <w:bCs w:val="1"/>
          <w:u w:val="single" w:color="auto"/>
          <w:color w:val="auto"/>
        </w:rPr>
        <w:t>Non-Solicitation</w:t>
      </w:r>
      <w:r>
        <w:rPr>
          <w:rFonts w:ascii="Times New Roman" w:cs="Times New Roman" w:eastAsia="Times New Roman" w:hAnsi="Times New Roman"/>
          <w:sz w:val="20"/>
          <w:szCs w:val="20"/>
          <w:color w:val="auto"/>
        </w:rPr>
        <w:t>. During the Term and for [***] months thereafter, neither Party shall solicit or seek to hire as an employee, or solicit or seek to engage as a consultant, any current employee of the other Party that was involved in the provision or utilization of Services or Manufacturing; provided, however, that this provision will not prevent either Party from causing to be placed any general advertisement or similar notice, including in newspapers, trade publications, through social media, on internet job boards and sites, or use of professional recruiters, that is not targeted specifically at employees of the other Party.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b w:val="1"/>
          <w:bCs w:val="1"/>
          <w:u w:val="single" w:color="auto"/>
          <w:color w:val="auto"/>
        </w:rPr>
        <w:t>Independent Contractor Relationship</w:t>
      </w:r>
      <w:r>
        <w:rPr>
          <w:rFonts w:ascii="Times New Roman" w:cs="Times New Roman" w:eastAsia="Times New Roman" w:hAnsi="Times New Roman"/>
          <w:sz w:val="20"/>
          <w:szCs w:val="20"/>
          <w:color w:val="auto"/>
        </w:rPr>
        <w:t>. MBI’s relationship with Client is that of an independent contractor, and nothing in this Agreement should be construed to create a partnership, joint venture, or employer-employee relationship. Neither Party is an agent of the other Party or authorized to make any representation, contract, or commitment on behalf of the other Party. MBI will be responsible for and will withhold and/or pay any and all applicable federal, state or local taxes, payroll taxes, workers’ compensation contributions, unemployment insurance contributions, or other payroll deductions from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0" w:name="page101"/>
    <w:bookmarkEnd w:id="100"/>
    <w:p>
      <w:pPr>
        <w:jc w:val="both"/>
        <w:spacing w:after="0" w:line="269" w:lineRule="auto"/>
        <w:rPr>
          <w:sz w:val="20"/>
          <w:szCs w:val="20"/>
          <w:color w:val="auto"/>
        </w:rPr>
      </w:pPr>
      <w:r>
        <w:rPr>
          <w:rFonts w:ascii="Times New Roman" w:cs="Times New Roman" w:eastAsia="Times New Roman" w:hAnsi="Times New Roman"/>
          <w:sz w:val="20"/>
          <w:szCs w:val="20"/>
          <w:color w:val="auto"/>
        </w:rPr>
        <w:t>compensation of MBI’s employees and other MBI personnel. MBI understands and agrees that it is solely responsible for such matters and that it will indemnify Client and hold Client harmless from all claims and demands in connection with such matters.</w:t>
      </w:r>
    </w:p>
    <w:p>
      <w:pPr>
        <w:spacing w:after="0" w:line="15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12.4 </w:t>
      </w:r>
      <w:r>
        <w:rPr>
          <w:rFonts w:ascii="Times New Roman" w:cs="Times New Roman" w:eastAsia="Times New Roman" w:hAnsi="Times New Roman"/>
          <w:sz w:val="20"/>
          <w:szCs w:val="20"/>
          <w:b w:val="1"/>
          <w:bCs w:val="1"/>
          <w:u w:val="single" w:color="auto"/>
          <w:color w:val="auto"/>
        </w:rPr>
        <w:t>Entire Agreement; Amendment</w:t>
      </w:r>
      <w:r>
        <w:rPr>
          <w:rFonts w:ascii="Times New Roman" w:cs="Times New Roman" w:eastAsia="Times New Roman" w:hAnsi="Times New Roman"/>
          <w:sz w:val="20"/>
          <w:szCs w:val="20"/>
          <w:color w:val="auto"/>
        </w:rPr>
        <w:t>. This Agreement (including the SOWs and Exhibit(s) attached hereto) constitutes the final, complete, and exclusive agreement of the Parties with respect to the subject matter hereof. For clarity and notwithstanding the foregoing, any SOW executed by the Parties expressly referencing the Prior Agreement shall be governed by the Prior Agreement and not this Agreement, and any SOW executed by the Parties expressly referencing this Agreement shall be governed by this Agreement and not the Prior Agreement. This Agreement (including its Exhibits and SOWs) may not be changed, modified, amended, or supplemented except by a written instrument signed by both Parties.</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b w:val="1"/>
          <w:bCs w:val="1"/>
          <w:u w:val="single" w:color="auto"/>
          <w:color w:val="auto"/>
        </w:rPr>
        <w:t>Non-Waiver</w:t>
      </w:r>
      <w:r>
        <w:rPr>
          <w:rFonts w:ascii="Times New Roman" w:cs="Times New Roman" w:eastAsia="Times New Roman" w:hAnsi="Times New Roman"/>
          <w:sz w:val="20"/>
          <w:szCs w:val="20"/>
          <w:color w:val="auto"/>
        </w:rPr>
        <w:t>. The failure of a Party to insist upon strict performance of any provision of this Agreement or to exercise any 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12.6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If any provision of this Agreement should be held invalid or unenforceable, the remaining provisions shall be unaffected and shall remain in full force and effect, to the extent consistent with the intent of the Parties as evidenced by this Agreement as a whole and the invalid or unenforceable provision will be changed and interpreted so as to best accomplish the objectives of such unenforceable or invalid provision and the intent of the Parties, within the limits of Applicable Laws.</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12.7 </w:t>
      </w:r>
      <w:r>
        <w:rPr>
          <w:rFonts w:ascii="Times New Roman" w:cs="Times New Roman" w:eastAsia="Times New Roman" w:hAnsi="Times New Roman"/>
          <w:sz w:val="20"/>
          <w:szCs w:val="20"/>
          <w:b w:val="1"/>
          <w:bCs w:val="1"/>
          <w:u w:val="single" w:color="auto"/>
          <w:color w:val="auto"/>
        </w:rPr>
        <w:t>Assignment</w:t>
      </w:r>
      <w:r>
        <w:rPr>
          <w:rFonts w:ascii="Times New Roman" w:cs="Times New Roman" w:eastAsia="Times New Roman" w:hAnsi="Times New Roman"/>
          <w:sz w:val="20"/>
          <w:szCs w:val="20"/>
          <w:color w:val="auto"/>
        </w:rPr>
        <w:t>. Neither this Agreement nor any rights or obligations hereunder may be assigned by either Party without the prior written consent of the other Party (which consent shall not be unreasonably withheld); provided, however, that either Party may assign this Agreement and its rights and obligations hereunder without the other Party’s consent (but with notice to the other Party): (a) in connection with the transfer or sale of all or substantially all of the business of such Party to which this Agreement relates to a Third Party, whether by merger, sale of stock, sale of assets, or otherwise; or (b) to an Affiliate, provided that the assigning Party shall remain liable and responsible to the non-assigning Party hereto for the performance and observance of all such duties and obligations by such Affiliate.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Any assignment not in accordance with this Agreement shall be void.</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12.8 </w:t>
      </w:r>
      <w:r>
        <w:rPr>
          <w:rFonts w:ascii="Times New Roman" w:cs="Times New Roman" w:eastAsia="Times New Roman" w:hAnsi="Times New Roman"/>
          <w:sz w:val="20"/>
          <w:szCs w:val="20"/>
          <w:b w:val="1"/>
          <w:bCs w:val="1"/>
          <w:u w:val="single" w:color="auto"/>
          <w:color w:val="auto"/>
        </w:rPr>
        <w:t>Governing Law; Venue</w:t>
      </w:r>
      <w:r>
        <w:rPr>
          <w:rFonts w:ascii="Times New Roman" w:cs="Times New Roman" w:eastAsia="Times New Roman" w:hAnsi="Times New Roman"/>
          <w:sz w:val="20"/>
          <w:szCs w:val="20"/>
          <w:color w:val="auto"/>
        </w:rPr>
        <w:t>. This Agreement and any dispute arising from the performance or breach hereof or any SOW executed hereunder shall be governed by and construed and enforced in accordance with the laws of the State of Delaware and the federal laws of the United States of America, without reference to conflicts of laws principles. The exclusive venue of any dispute arising out of or in connection with the performance or breach of this Agreement shall be the state and/or federal courts in the State of Delaware, USA, and the Parties hereby consent to the personal jurisdiction of such courts. [***]. Notwithstanding the foregoing, a Party may apply to any court of competent jurisdiction for temporary or preliminary injunctive relief.</w:t>
      </w:r>
    </w:p>
    <w:p>
      <w:pPr>
        <w:spacing w:after="0" w:line="16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12.9 </w:t>
      </w:r>
      <w:r>
        <w:rPr>
          <w:rFonts w:ascii="Times New Roman" w:cs="Times New Roman" w:eastAsia="Times New Roman" w:hAnsi="Times New Roman"/>
          <w:sz w:val="20"/>
          <w:szCs w:val="20"/>
          <w:b w:val="1"/>
          <w:bCs w:val="1"/>
          <w:u w:val="single" w:color="auto"/>
          <w:color w:val="auto"/>
        </w:rPr>
        <w:t>Force Majeure</w:t>
      </w:r>
      <w:r>
        <w:rPr>
          <w:rFonts w:ascii="Times New Roman" w:cs="Times New Roman" w:eastAsia="Times New Roman" w:hAnsi="Times New Roman"/>
          <w:sz w:val="20"/>
          <w:szCs w:val="20"/>
          <w:color w:val="auto"/>
        </w:rPr>
        <w:t>. Except for the obligation to make payment when due, each Party shall be excused from liability for the failure or delay in performance of its obligations under this Agreement, upon prompt written notice of such cause being given to the other Party, by reason of any force majeure event beyond such Party’s reasonable control including but not limited to Acts of God, fire, flood, explosion, earthquake, or other natural forces, war, civil unrest, acts of terrorism, accident, destruction,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1" w:name="page102"/>
    <w:bookmarkEnd w:id="101"/>
    <w:p>
      <w:pPr>
        <w:jc w:val="both"/>
        <w:spacing w:after="0" w:line="245" w:lineRule="auto"/>
        <w:rPr>
          <w:sz w:val="20"/>
          <w:szCs w:val="20"/>
          <w:color w:val="auto"/>
        </w:rPr>
      </w:pPr>
      <w:r>
        <w:rPr>
          <w:rFonts w:ascii="Times New Roman" w:cs="Times New Roman" w:eastAsia="Times New Roman" w:hAnsi="Times New Roman"/>
          <w:sz w:val="20"/>
          <w:szCs w:val="20"/>
          <w:color w:val="auto"/>
        </w:rPr>
        <w:t>other casualty, any lack or failure of transportation facilities or public utilities, any lack or failure of supply of raw materials, any strike or labor disturbance, or any other event similar to those enumerated above. Such excuse from liability shall be effective only to the extent and duration of the event(s) causing the failure or delay in performance and provided that the Party has not caused such event(s) to occur and the Party so affected shall use its commercially reasonable efforts to avoid or remove the cause or causes of nonperformance and observance expeditiously. All delivery dates under this Agreement that have been affected by force majeure shall be tolled for the duration of such force majeure.</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12.10 </w:t>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Any notice to be given under this Agreement must be in writing and delivered either in person, by any method of certified or registered mail (postage prepaid, return receipt requested), or by internationally-recognized express courier (such as FedEx, UPS, DHL), or by email, to the Party to be notified at its address(es) given below, or at any address such Party has previously designated by prior written notice to the other pursuant to the foregoing. Notice shall be deemed sufficiently given for all purposes upon the date of confirmed receipt, including, if delivered by email, upon the date upon which the receipt of such email is confirmed by the recipient thereof by return email or other written or electronic confirmation.</w:t>
      </w:r>
    </w:p>
    <w:p>
      <w:pPr>
        <w:sectPr>
          <w:pgSz w:w="11900" w:h="16838" w:orient="portrait"/>
          <w:cols w:equalWidth="0" w:num="1">
            <w:col w:w="11240"/>
          </w:cols>
          <w:pgMar w:left="320" w:top="319" w:right="339" w:bottom="1440" w:gutter="0" w:footer="0" w:header="0"/>
        </w:sectPr>
      </w:pP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If to MBI:</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Miltenyi Biotec, Inc.</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2303 Lindbergh Road</w:t>
      </w:r>
    </w:p>
    <w:p>
      <w:pPr>
        <w:ind w:left="1060"/>
        <w:spacing w:after="0"/>
        <w:rPr>
          <w:sz w:val="20"/>
          <w:szCs w:val="20"/>
          <w:color w:val="auto"/>
        </w:rPr>
      </w:pPr>
      <w:r>
        <w:rPr>
          <w:rFonts w:ascii="Times New Roman" w:cs="Times New Roman" w:eastAsia="Times New Roman" w:hAnsi="Times New Roman"/>
          <w:sz w:val="20"/>
          <w:szCs w:val="20"/>
          <w:color w:val="auto"/>
        </w:rPr>
        <w:t>Auburn, CA 95602</w:t>
      </w:r>
    </w:p>
    <w:p>
      <w:pPr>
        <w:ind w:left="1060"/>
        <w:spacing w:after="0"/>
        <w:rPr>
          <w:sz w:val="20"/>
          <w:szCs w:val="20"/>
          <w:color w:val="auto"/>
        </w:rPr>
      </w:pPr>
      <w:r>
        <w:rPr>
          <w:rFonts w:ascii="Times New Roman" w:cs="Times New Roman" w:eastAsia="Times New Roman" w:hAnsi="Times New Roman"/>
          <w:sz w:val="20"/>
          <w:szCs w:val="20"/>
          <w:color w:val="auto"/>
        </w:rPr>
        <w:t>Attn: General Manager</w:t>
      </w:r>
    </w:p>
    <w:p>
      <w:pPr>
        <w:ind w:left="1060"/>
        <w:spacing w:after="0"/>
        <w:rPr>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sectPr>
          <w:pgSz w:w="11900" w:h="16838" w:orient="portrait"/>
          <w:cols w:equalWidth="0" w:num="2">
            <w:col w:w="1580" w:space="360"/>
            <w:col w:w="9300"/>
          </w:cols>
          <w:pgMar w:left="320" w:top="319"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Miltenyi Biotec, Inc.</w:t>
      </w:r>
    </w:p>
    <w:p>
      <w:pPr>
        <w:spacing w:after="0" w:line="19" w:lineRule="exact"/>
        <w:rPr>
          <w:sz w:val="20"/>
          <w:szCs w:val="20"/>
          <w:color w:val="auto"/>
        </w:rPr>
      </w:pPr>
    </w:p>
    <w:p>
      <w:pPr>
        <w:sectPr>
          <w:pgSz w:w="11900" w:h="16838" w:orient="portrait"/>
          <w:cols w:equalWidth="0" w:num="2">
            <w:col w:w="1940" w:space="400"/>
            <w:col w:w="8900"/>
          </w:cols>
          <w:pgMar w:left="320" w:top="319" w:right="339" w:bottom="1440" w:gutter="0" w:footer="0" w:header="0"/>
          <w:type w:val="continuous"/>
        </w:sectPr>
      </w:pPr>
    </w:p>
    <w:p>
      <w:pPr>
        <w:ind w:left="3000"/>
        <w:spacing w:after="0"/>
        <w:rPr>
          <w:sz w:val="20"/>
          <w:szCs w:val="20"/>
          <w:color w:val="auto"/>
        </w:rPr>
      </w:pPr>
      <w:r>
        <w:rPr>
          <w:rFonts w:ascii="Times New Roman" w:cs="Times New Roman" w:eastAsia="Times New Roman" w:hAnsi="Times New Roman"/>
          <w:sz w:val="20"/>
          <w:szCs w:val="20"/>
          <w:color w:val="auto"/>
        </w:rPr>
        <w:t>2303 Lindbergh Road</w:t>
      </w:r>
    </w:p>
    <w:p>
      <w:pPr>
        <w:ind w:left="3000"/>
        <w:spacing w:after="0"/>
        <w:rPr>
          <w:sz w:val="20"/>
          <w:szCs w:val="20"/>
          <w:color w:val="auto"/>
        </w:rPr>
      </w:pPr>
      <w:r>
        <w:rPr>
          <w:rFonts w:ascii="Times New Roman" w:cs="Times New Roman" w:eastAsia="Times New Roman" w:hAnsi="Times New Roman"/>
          <w:sz w:val="20"/>
          <w:szCs w:val="20"/>
          <w:color w:val="auto"/>
        </w:rPr>
        <w:t>Auburn, CA 95602</w:t>
      </w:r>
    </w:p>
    <w:p>
      <w:pPr>
        <w:ind w:left="3000"/>
        <w:spacing w:after="0"/>
        <w:rPr>
          <w:sz w:val="20"/>
          <w:szCs w:val="20"/>
          <w:color w:val="auto"/>
        </w:rPr>
      </w:pPr>
      <w:r>
        <w:rPr>
          <w:rFonts w:ascii="Times New Roman" w:cs="Times New Roman" w:eastAsia="Times New Roman" w:hAnsi="Times New Roman"/>
          <w:sz w:val="20"/>
          <w:szCs w:val="20"/>
          <w:color w:val="auto"/>
        </w:rPr>
        <w:t>Attn: Finance Dept.</w:t>
      </w:r>
    </w:p>
    <w:p>
      <w:pPr>
        <w:ind w:left="3000"/>
        <w:spacing w:after="0"/>
        <w:rPr>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And to:</w:t>
      </w:r>
      <w:r>
        <w:rPr>
          <w:sz w:val="20"/>
          <w:szCs w:val="20"/>
          <w:color w:val="auto"/>
        </w:rPr>
        <w:tab/>
      </w:r>
      <w:r>
        <w:rPr>
          <w:rFonts w:ascii="Times New Roman" w:cs="Times New Roman" w:eastAsia="Times New Roman" w:hAnsi="Times New Roman"/>
          <w:sz w:val="19"/>
          <w:szCs w:val="19"/>
          <w:color w:val="auto"/>
        </w:rPr>
        <w:t>Miltenyi Biotec B.V. &amp; Co. KG</w:t>
      </w:r>
    </w:p>
    <w:p>
      <w:pPr>
        <w:spacing w:after="0" w:line="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Friedrich-Ebert-Straße 68</w:t>
      </w:r>
    </w:p>
    <w:p>
      <w:pPr>
        <w:ind w:left="3000"/>
        <w:spacing w:after="0" w:line="225" w:lineRule="auto"/>
        <w:rPr>
          <w:sz w:val="20"/>
          <w:szCs w:val="20"/>
          <w:color w:val="auto"/>
        </w:rPr>
      </w:pPr>
      <w:r>
        <w:rPr>
          <w:rFonts w:ascii="Times New Roman" w:cs="Times New Roman" w:eastAsia="Times New Roman" w:hAnsi="Times New Roman"/>
          <w:sz w:val="20"/>
          <w:szCs w:val="20"/>
          <w:color w:val="auto"/>
        </w:rPr>
        <w:t>51429 Bergisch Gladbach</w:t>
      </w:r>
    </w:p>
    <w:p>
      <w:pPr>
        <w:ind w:left="3000"/>
        <w:spacing w:after="0"/>
        <w:rPr>
          <w:sz w:val="20"/>
          <w:szCs w:val="20"/>
          <w:color w:val="auto"/>
        </w:rPr>
      </w:pPr>
      <w:r>
        <w:rPr>
          <w:rFonts w:ascii="Times New Roman" w:cs="Times New Roman" w:eastAsia="Times New Roman" w:hAnsi="Times New Roman"/>
          <w:sz w:val="20"/>
          <w:szCs w:val="20"/>
          <w:color w:val="auto"/>
        </w:rPr>
        <w:t>Germany</w:t>
      </w:r>
    </w:p>
    <w:p>
      <w:pPr>
        <w:ind w:left="3000"/>
        <w:spacing w:after="0"/>
        <w:rPr>
          <w:sz w:val="20"/>
          <w:szCs w:val="20"/>
          <w:color w:val="auto"/>
        </w:rPr>
      </w:pPr>
      <w:r>
        <w:rPr>
          <w:rFonts w:ascii="Times New Roman" w:cs="Times New Roman" w:eastAsia="Times New Roman" w:hAnsi="Times New Roman"/>
          <w:sz w:val="20"/>
          <w:szCs w:val="20"/>
          <w:color w:val="auto"/>
        </w:rPr>
        <w:t>Attn: Group General Counsel</w:t>
      </w:r>
    </w:p>
    <w:p>
      <w:pPr>
        <w:spacing w:after="0" w:line="19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If to Client:</w:t>
      </w:r>
      <w:r>
        <w:rPr>
          <w:sz w:val="20"/>
          <w:szCs w:val="20"/>
          <w:color w:val="auto"/>
        </w:rPr>
        <w:tab/>
      </w:r>
      <w:r>
        <w:rPr>
          <w:rFonts w:ascii="Times New Roman" w:cs="Times New Roman" w:eastAsia="Times New Roman" w:hAnsi="Times New Roman"/>
          <w:sz w:val="19"/>
          <w:szCs w:val="19"/>
          <w:color w:val="auto"/>
        </w:rPr>
        <w:t>AVROBIO, Inc.</w:t>
      </w:r>
    </w:p>
    <w:p>
      <w:pPr>
        <w:spacing w:after="0" w:line="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One Kendall Square</w:t>
      </w:r>
    </w:p>
    <w:p>
      <w:pPr>
        <w:ind w:left="3000"/>
        <w:spacing w:after="0"/>
        <w:rPr>
          <w:sz w:val="20"/>
          <w:szCs w:val="20"/>
          <w:color w:val="auto"/>
        </w:rPr>
      </w:pPr>
      <w:r>
        <w:rPr>
          <w:rFonts w:ascii="Times New Roman" w:cs="Times New Roman" w:eastAsia="Times New Roman" w:hAnsi="Times New Roman"/>
          <w:sz w:val="20"/>
          <w:szCs w:val="20"/>
          <w:color w:val="auto"/>
        </w:rPr>
        <w:t>Building 300, Suite 201</w:t>
      </w:r>
    </w:p>
    <w:p>
      <w:pPr>
        <w:ind w:left="3000"/>
        <w:spacing w:after="0" w:line="225" w:lineRule="auto"/>
        <w:rPr>
          <w:sz w:val="20"/>
          <w:szCs w:val="20"/>
          <w:color w:val="auto"/>
        </w:rPr>
      </w:pPr>
      <w:r>
        <w:rPr>
          <w:rFonts w:ascii="Times New Roman" w:cs="Times New Roman" w:eastAsia="Times New Roman" w:hAnsi="Times New Roman"/>
          <w:sz w:val="20"/>
          <w:szCs w:val="20"/>
          <w:color w:val="auto"/>
        </w:rPr>
        <w:t>Cambridge, MA 02139, USA</w:t>
      </w:r>
    </w:p>
    <w:p>
      <w:pPr>
        <w:ind w:left="3000"/>
        <w:spacing w:after="0"/>
        <w:rPr>
          <w:sz w:val="20"/>
          <w:szCs w:val="20"/>
          <w:color w:val="auto"/>
        </w:rPr>
      </w:pPr>
      <w:r>
        <w:rPr>
          <w:rFonts w:ascii="Times New Roman" w:cs="Times New Roman" w:eastAsia="Times New Roman" w:hAnsi="Times New Roman"/>
          <w:sz w:val="20"/>
          <w:szCs w:val="20"/>
          <w:color w:val="auto"/>
        </w:rPr>
        <w:t>Attn: Chief Executive Officer</w:t>
      </w:r>
    </w:p>
    <w:p>
      <w:pPr>
        <w:ind w:left="3000"/>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319" w:right="339" w:bottom="1440" w:gutter="0" w:footer="0" w:header="0"/>
          <w:type w:val="continuous"/>
        </w:sectPr>
      </w:pP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With a copy to: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General Counsel at the same address</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190" w:lineRule="exact"/>
        <w:rPr>
          <w:sz w:val="20"/>
          <w:szCs w:val="20"/>
          <w:color w:val="auto"/>
        </w:rPr>
      </w:pPr>
    </w:p>
    <w:p>
      <w:pPr>
        <w:sectPr>
          <w:pgSz w:w="11900" w:h="16838" w:orient="portrait"/>
          <w:cols w:equalWidth="0" w:num="2">
            <w:col w:w="1980" w:space="360"/>
            <w:col w:w="8900"/>
          </w:cols>
          <w:pgMar w:left="320" w:top="319" w:right="339" w:bottom="1440" w:gutter="0" w:footer="0" w:header="0"/>
          <w:type w:val="continuous"/>
        </w:sect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12.11 </w:t>
      </w: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color w:val="auto"/>
        </w:rPr>
        <w:t>. The headings of clauses contained in this Agreement preceding the text of the sections, subsections, and paragraphs hereof are inserted solely for convenience and ease of reference only and shall not constitute any part of this Agreement, or have any effect on its interpretation or construction. In this Agreement, (i) the meaning of defined terms shall be equally applicable to both the singular and plural forms of the terms defined; (ii) “or” and “any” are not exclusive; and (iii) the use of the words “including,” “includes” and “include” in this Agreement to refer to specific examples shall be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102" w:name="page103"/>
    <w:bookmarkEnd w:id="102"/>
    <w:p>
      <w:pPr>
        <w:jc w:val="both"/>
        <w:spacing w:after="0" w:line="241" w:lineRule="auto"/>
        <w:rPr>
          <w:sz w:val="20"/>
          <w:szCs w:val="20"/>
          <w:color w:val="auto"/>
        </w:rPr>
      </w:pPr>
      <w:r>
        <w:rPr>
          <w:rFonts w:ascii="Times New Roman" w:cs="Times New Roman" w:eastAsia="Times New Roman" w:hAnsi="Times New Roman"/>
          <w:sz w:val="20"/>
          <w:szCs w:val="20"/>
          <w:color w:val="auto"/>
        </w:rPr>
        <w:t>construed to mean “including, without limitation” or “including, but not limited to” and shall not be construed to mean that the examples given are an exclusive list of the topics covered; and (iv) a reference to a law includes any amendment or modification to such law and any rules or regulations issued thereunder. Unless otherwise specified, references in this Agreement to any Article shall include all Sections, subsections, and paragraphs in such Article, references to any Section shall include all subsections and paragraphs in such Section, and references in this Agreement to any subsection shall include all paragraphs in such subsection.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spacing w:after="0" w:line="18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12.12 </w:t>
      </w:r>
      <w:r>
        <w:rPr>
          <w:rFonts w:ascii="Times New Roman" w:cs="Times New Roman" w:eastAsia="Times New Roman" w:hAnsi="Times New Roman"/>
          <w:sz w:val="20"/>
          <w:szCs w:val="20"/>
          <w:b w:val="1"/>
          <w:bCs w:val="1"/>
          <w:u w:val="single" w:color="auto"/>
          <w:color w:val="auto"/>
        </w:rPr>
        <w:t>No Third Party Rights</w:t>
      </w:r>
      <w:r>
        <w:rPr>
          <w:rFonts w:ascii="Times New Roman" w:cs="Times New Roman" w:eastAsia="Times New Roman" w:hAnsi="Times New Roman"/>
          <w:sz w:val="20"/>
          <w:szCs w:val="20"/>
          <w:color w:val="auto"/>
        </w:rPr>
        <w:t>. The provisions of this Agreement are for the exclusive benefit of the Parties and their successors and permitted assigns, and no other person shall have any right or claim against any Party by reason of these provisions or be entitled to enforce any of these provisions against any Party.</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12.13 </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including any SOWs and Change Orders, may be executed in counterparts, each of which shall be deemed an original document, and all of which, together with this writing, shall be deemed one instrument. The signatures of the Parties to this Agreement may be transmitted as a PDF attachment to electronic mail, and such PDF will, for all purposes, be deemed to be the original signature of such Party whose signature it reproduces and will be binding upon such Party.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REMAINDER OF PAGE LEFT INTENTIONALLY BLANK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SIGNATURE PAGE TO FOLLOW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3" w:name="page104"/>
    <w:bookmarkEnd w:id="103"/>
    <w:p>
      <w:pPr>
        <w:ind w:left="7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Master Services Agreement on the Effective Date.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80" w:type="dxa"/>
            <w:vAlign w:val="bottom"/>
            <w:gridSpan w:val="6"/>
          </w:tcPr>
          <w:p>
            <w:pPr>
              <w:ind w:left="20"/>
              <w:spacing w:after="0"/>
              <w:rPr>
                <w:sz w:val="20"/>
                <w:szCs w:val="20"/>
                <w:color w:val="auto"/>
              </w:rPr>
            </w:pPr>
            <w:r>
              <w:rPr>
                <w:rFonts w:ascii="Times New Roman" w:cs="Times New Roman" w:eastAsia="Times New Roman" w:hAnsi="Times New Roman"/>
                <w:sz w:val="20"/>
                <w:szCs w:val="20"/>
                <w:b w:val="1"/>
                <w:bCs w:val="1"/>
                <w:color w:val="auto"/>
              </w:rPr>
              <w:t>MILTENYI BIOTEC, INC.</w:t>
            </w:r>
          </w:p>
        </w:tc>
        <w:tc>
          <w:tcPr>
            <w:tcW w:w="6960" w:type="dxa"/>
            <w:vAlign w:val="bottom"/>
            <w:gridSpan w:val="6"/>
          </w:tcPr>
          <w:p>
            <w:pPr>
              <w:ind w:left="1260"/>
              <w:spacing w:after="0"/>
              <w:rPr>
                <w:sz w:val="20"/>
                <w:szCs w:val="20"/>
                <w:color w:val="auto"/>
              </w:rPr>
            </w:pPr>
            <w:r>
              <w:rPr>
                <w:rFonts w:ascii="Times New Roman" w:cs="Times New Roman" w:eastAsia="Times New Roman" w:hAnsi="Times New Roman"/>
                <w:sz w:val="20"/>
                <w:szCs w:val="20"/>
                <w:b w:val="1"/>
                <w:bCs w:val="1"/>
                <w:color w:val="auto"/>
              </w:rPr>
              <w:t>AVROBIO, INC.</w:t>
            </w:r>
          </w:p>
        </w:tc>
      </w:tr>
      <w:tr>
        <w:trPr>
          <w:trHeight w:val="871"/>
        </w:trPr>
        <w:tc>
          <w:tcPr>
            <w:tcW w:w="428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By:  /s/ Leonard Pulig</w:t>
            </w:r>
          </w:p>
        </w:tc>
        <w:tc>
          <w:tcPr>
            <w:tcW w:w="6960" w:type="dxa"/>
            <w:vAlign w:val="bottom"/>
            <w:gridSpan w:val="6"/>
          </w:tcPr>
          <w:p>
            <w:pPr>
              <w:ind w:left="1260"/>
              <w:spacing w:after="0"/>
              <w:rPr>
                <w:sz w:val="20"/>
                <w:szCs w:val="20"/>
                <w:color w:val="auto"/>
              </w:rPr>
            </w:pPr>
            <w:r>
              <w:rPr>
                <w:rFonts w:ascii="Times New Roman" w:cs="Times New Roman" w:eastAsia="Times New Roman" w:hAnsi="Times New Roman"/>
                <w:sz w:val="20"/>
                <w:szCs w:val="20"/>
                <w:color w:val="auto"/>
              </w:rPr>
              <w:t>By:  /s/ Kim Raineri</w:t>
            </w:r>
          </w:p>
        </w:tc>
      </w:tr>
      <w:tr>
        <w:trPr>
          <w:trHeight w:val="20"/>
        </w:trPr>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60" w:type="dxa"/>
            <w:vAlign w:val="bottom"/>
            <w:tcBorders>
              <w:lef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500" w:type="dxa"/>
            <w:vAlign w:val="bottom"/>
            <w:tcBorders>
              <w:left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668"/>
        </w:trPr>
        <w:tc>
          <w:tcPr>
            <w:tcW w:w="428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Name: Leonard Pulig</w:t>
            </w:r>
          </w:p>
        </w:tc>
        <w:tc>
          <w:tcPr>
            <w:tcW w:w="6960" w:type="dxa"/>
            <w:vAlign w:val="bottom"/>
            <w:gridSpan w:val="6"/>
          </w:tcPr>
          <w:p>
            <w:pPr>
              <w:ind w:left="1260"/>
              <w:spacing w:after="0"/>
              <w:rPr>
                <w:sz w:val="20"/>
                <w:szCs w:val="20"/>
                <w:color w:val="auto"/>
              </w:rPr>
            </w:pPr>
            <w:r>
              <w:rPr>
                <w:rFonts w:ascii="Times New Roman" w:cs="Times New Roman" w:eastAsia="Times New Roman" w:hAnsi="Times New Roman"/>
                <w:sz w:val="20"/>
                <w:szCs w:val="20"/>
                <w:color w:val="auto"/>
              </w:rPr>
              <w:t>Name: Kim Raineri</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669"/>
        </w:trPr>
        <w:tc>
          <w:tcPr>
            <w:tcW w:w="428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Title: President and General Manager</w:t>
            </w:r>
          </w:p>
        </w:tc>
        <w:tc>
          <w:tcPr>
            <w:tcW w:w="6960" w:type="dxa"/>
            <w:vAlign w:val="bottom"/>
            <w:gridSpan w:val="6"/>
          </w:tcPr>
          <w:p>
            <w:pPr>
              <w:ind w:left="1260"/>
              <w:spacing w:after="0"/>
              <w:rPr>
                <w:sz w:val="20"/>
                <w:szCs w:val="20"/>
                <w:color w:val="auto"/>
              </w:rPr>
            </w:pPr>
            <w:r>
              <w:rPr>
                <w:rFonts w:ascii="Times New Roman" w:cs="Times New Roman" w:eastAsia="Times New Roman" w:hAnsi="Times New Roman"/>
                <w:sz w:val="20"/>
                <w:szCs w:val="20"/>
                <w:color w:val="auto"/>
              </w:rPr>
              <w:t>Title: Chief Manufacturing and Technology Officer</w:t>
            </w:r>
          </w:p>
        </w:tc>
      </w:tr>
      <w:tr>
        <w:trPr>
          <w:trHeight w:val="877"/>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640" w:type="dxa"/>
            <w:vAlign w:val="bottom"/>
          </w:tcPr>
          <w:p>
            <w:pPr>
              <w:ind w:left="1240"/>
              <w:spacing w:after="0"/>
              <w:rPr>
                <w:sz w:val="20"/>
                <w:szCs w:val="20"/>
                <w:color w:val="auto"/>
              </w:rPr>
            </w:pPr>
            <w:r>
              <w:rPr>
                <w:rFonts w:ascii="Times New Roman" w:cs="Times New Roman" w:eastAsia="Times New Roman" w:hAnsi="Times New Roman"/>
                <w:sz w:val="20"/>
                <w:szCs w:val="20"/>
                <w:color w:val="auto"/>
              </w:rPr>
              <w:t>24</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312"/>
        </w:trPr>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STATEMENTS OF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482600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 MacKay, certify that:</w:t>
      </w:r>
    </w:p>
    <w:p>
      <w:pPr>
        <w:spacing w:after="0" w:line="117"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AVROBIO, Inc.;</w:t>
      </w:r>
    </w:p>
    <w:p>
      <w:pPr>
        <w:spacing w:after="0" w:line="103"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860" w:val="left"/>
          <w:tab w:leader="none" w:pos="86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Geoff MacKay</w:t>
      </w:r>
    </w:p>
    <w:p>
      <w:pPr>
        <w:spacing w:after="0" w:line="15"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ind w:left="81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Erik Ostrowski, certify that:</w:t>
      </w:r>
    </w:p>
    <w:p>
      <w:pPr>
        <w:spacing w:after="0" w:line="117"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AVROBIO, Inc.;</w:t>
      </w:r>
    </w:p>
    <w:p>
      <w:pPr>
        <w:spacing w:after="0" w:line="103"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860" w:val="left"/>
          <w:tab w:leader="none" w:pos="86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9"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b w:val="1"/>
          <w:bCs w:val="1"/>
          <w:color w:val="auto"/>
        </w:rPr>
        <w:t>Erik Ostrowski</w:t>
      </w:r>
    </w:p>
    <w:p>
      <w:pPr>
        <w:spacing w:after="0" w:line="15"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ind w:left="81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AVROBIO, Inc. (the “Company”) on Form 10-Q for the period ending June 30, 2022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61" w:lineRule="exact"/>
        <w:rPr>
          <w:sz w:val="20"/>
          <w:szCs w:val="20"/>
          <w:color w:val="auto"/>
        </w:rPr>
      </w:pPr>
    </w:p>
    <w:p>
      <w:pPr>
        <w:ind w:left="900" w:hanging="383"/>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900" w:right="760" w:hanging="383"/>
        <w:spacing w:after="0" w:line="266"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9" w:lineRule="exact"/>
        <w:rPr>
          <w:sz w:val="20"/>
          <w:szCs w:val="20"/>
          <w:color w:val="auto"/>
        </w:rPr>
      </w:pPr>
    </w:p>
    <w:p>
      <w:pPr>
        <w:ind w:left="20"/>
        <w:spacing w:after="0"/>
        <w:tabs>
          <w:tab w:leader="none" w:pos="5260" w:val="left"/>
          <w:tab w:leader="none" w:pos="784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Geoff MacKay</w:t>
      </w:r>
    </w:p>
    <w:p>
      <w:pPr>
        <w:ind w:left="7600"/>
        <w:spacing w:after="0" w:line="231"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ind w:left="74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5" w:lineRule="exact"/>
        <w:rPr>
          <w:sz w:val="20"/>
          <w:szCs w:val="20"/>
          <w:color w:val="auto"/>
        </w:rPr>
      </w:pPr>
    </w:p>
    <w:p>
      <w:pPr>
        <w:ind w:left="20"/>
        <w:spacing w:after="0"/>
        <w:tabs>
          <w:tab w:leader="none" w:pos="5260" w:val="left"/>
          <w:tab w:leader="none" w:pos="784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Erik Ostrowski</w:t>
      </w:r>
    </w:p>
    <w:p>
      <w:pPr>
        <w:ind w:left="7620"/>
        <w:spacing w:after="0" w:line="231"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ind w:left="74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decimal"/>
      <w:start w:val="2"/>
    </w:lvl>
  </w:abstractNum>
  <w:abstractNum w:abstractNumId="7">
    <w:nsid w:val="7724C67E"/>
    <w:multiLevelType w:val="hybridMultilevel"/>
    <w:lvl w:ilvl="0">
      <w:lvlJc w:val="left"/>
      <w:lvlText w:val="%1."/>
      <w:numFmt w:val="decimal"/>
      <w:start w:val="5"/>
    </w:lvl>
  </w:abstractNum>
  <w:abstractNum w:abstractNumId="8">
    <w:nsid w:val="5C482A97"/>
    <w:multiLevelType w:val="hybridMultilevel"/>
    <w:lvl w:ilvl="0">
      <w:lvlJc w:val="left"/>
      <w:lvlText w:val="%1."/>
      <w:numFmt w:val="decimal"/>
      <w:start w:val="9"/>
    </w:lvl>
  </w:abstractNum>
  <w:abstractNum w:abstractNumId="9">
    <w:nsid w:val="2463B9EA"/>
    <w:multiLevelType w:val="hybridMultilevel"/>
    <w:lvl w:ilvl="0">
      <w:lvlJc w:val="left"/>
      <w:lvlText w:val="%1."/>
      <w:numFmt w:val="decimal"/>
      <w:start w:val="1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1)"/>
      <w:numFmt w:val="lowerRoman"/>
      <w:start w:val="4"/>
    </w:lvl>
    <w:lvl w:ilvl="1">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lvl w:ilvl="1">
      <w:lvlJc w:val="left"/>
      <w:lvlText w:val="%2"/>
      <w:numFmt w:val="decimal"/>
      <w:start w:val="104"/>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lowerLetter"/>
      <w:start w:val="5"/>
    </w:lvl>
  </w:abstractNum>
  <w:abstractNum w:abstractNumId="45">
    <w:nsid w:val="39386575"/>
    <w:multiLevelType w:val="hybridMultilevel"/>
    <w:lvl w:ilvl="0">
      <w:lvlJc w:val="left"/>
      <w:lvlText w:val="%1."/>
      <w:numFmt w:val="decimal"/>
      <w:start w:val="2"/>
    </w:lvl>
  </w:abstractNum>
  <w:abstractNum w:abstractNumId="46">
    <w:nsid w:val="1CF10FD8"/>
    <w:multiLevelType w:val="hybridMultilevel"/>
    <w:lvl w:ilvl="0">
      <w:lvlJc w:val="left"/>
      <w:lvlText w:val="%1."/>
      <w:numFmt w:val="decimal"/>
      <w:start w:val="3"/>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decimal"/>
      <w:start w:val="4"/>
    </w:lvl>
  </w:abstractNum>
  <w:abstractNum w:abstractNumId="49">
    <w:nsid w:val="47398C89"/>
    <w:multiLevelType w:val="hybridMultilevel"/>
    <w:lvl w:ilvl="0">
      <w:lvlJc w:val="left"/>
      <w:lvlText w:val="(%1)"/>
      <w:numFmt w:val="lowerLetter"/>
      <w:start w:val="1"/>
    </w:lvl>
  </w:abstractNum>
  <w:abstractNum w:abstractNumId="50">
    <w:nsid w:val="354FE9F9"/>
    <w:multiLevelType w:val="hybridMultilevel"/>
    <w:lvl w:ilvl="0">
      <w:lvlJc w:val="left"/>
      <w:lvlText w:val="%1."/>
      <w:numFmt w:val="decimal"/>
      <w:start w:val="5"/>
    </w:lvl>
  </w:abstractNum>
  <w:abstractNum w:abstractNumId="51">
    <w:nsid w:val="15B5AF5C"/>
    <w:multiLevelType w:val="hybridMultilevel"/>
    <w:lvl w:ilvl="0">
      <w:lvlJc w:val="left"/>
      <w:lvlText w:val="%1."/>
      <w:numFmt w:val="decimal"/>
      <w:start w:val="6"/>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Letter"/>
      <w:start w:val="3"/>
    </w:lvl>
  </w:abstractNum>
  <w:abstractNum w:abstractNumId="54">
    <w:nsid w:val="10233C99"/>
    <w:multiLevelType w:val="hybridMultilevel"/>
    <w:lvl w:ilvl="0">
      <w:lvlJc w:val="left"/>
      <w:lvlText w:val="%1."/>
      <w:numFmt w:val="decimal"/>
      <w:start w:val="7"/>
    </w:lvl>
  </w:abstractNum>
  <w:abstractNum w:abstractNumId="55">
    <w:nsid w:val="3F6AB60F"/>
    <w:multiLevelType w:val="hybridMultilevel"/>
    <w:lvl w:ilvl="0">
      <w:lvlJc w:val="left"/>
      <w:lvlText w:val="%1."/>
      <w:numFmt w:val="decimal"/>
      <w:start w:val="8"/>
    </w:lvl>
  </w:abstractNum>
  <w:abstractNum w:abstractNumId="56">
    <w:nsid w:val="61574095"/>
    <w:multiLevelType w:val="hybridMultilevel"/>
    <w:lvl w:ilvl="0">
      <w:lvlJc w:val="left"/>
      <w:lvlText w:val="(%1)"/>
      <w:numFmt w:val="lowerLetter"/>
      <w:start w:val="1"/>
    </w:lvl>
  </w:abstractNum>
  <w:abstractNum w:abstractNumId="57">
    <w:nsid w:val="7E0C57B1"/>
    <w:multiLevelType w:val="hybridMultilevel"/>
    <w:lvl w:ilvl="0">
      <w:lvlJc w:val="left"/>
      <w:lvlText w:val="%1."/>
      <w:numFmt w:val="decimal"/>
      <w:start w:val="9"/>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decimal"/>
      <w:start w:val="10"/>
    </w:lvl>
  </w:abstractNum>
  <w:abstractNum w:abstractNumId="60">
    <w:nsid w:val="310C50B3"/>
    <w:multiLevelType w:val="hybridMultilevel"/>
    <w:lvl w:ilvl="0">
      <w:lvlJc w:val="left"/>
      <w:lvlText w:val="(%1)"/>
      <w:numFmt w:val="decimal"/>
      <w:start w:val="60"/>
    </w:lvl>
  </w:abstractNum>
  <w:abstractNum w:abstractNumId="61">
    <w:nsid w:val="5FF87E05"/>
    <w:multiLevelType w:val="hybridMultilevel"/>
    <w:lvl w:ilvl="0">
      <w:lvlJc w:val="left"/>
      <w:lvlText w:val="%1."/>
      <w:numFmt w:val="decimal"/>
      <w:start w:val="11"/>
    </w:lvl>
  </w:abstractNum>
  <w:abstractNum w:abstractNumId="62">
    <w:nsid w:val="2F305DEF"/>
    <w:multiLevelType w:val="hybridMultilevel"/>
    <w:lvl w:ilvl="0">
      <w:lvlJc w:val="left"/>
      <w:lvlText w:val="(%1)"/>
      <w:numFmt w:val="lowerLetter"/>
      <w:start w:val="2"/>
    </w:lvl>
  </w:abstractNum>
  <w:abstractNum w:abstractNumId="63">
    <w:nsid w:val="25A70BF7"/>
    <w:multiLevelType w:val="hybridMultilevel"/>
    <w:lvl w:ilvl="0">
      <w:lvlJc w:val="left"/>
      <w:lvlText w:val="%1."/>
      <w:numFmt w:val="decimal"/>
      <w:start w:val="12"/>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262" Type="http://schemas.openxmlformats.org/officeDocument/2006/relationships/hyperlink" Target="https://www.sec.gov/Archives/edgar/data/1681087/000119312518202460/d153924dex31.htm" TargetMode="External"/><Relationship Id="rId263" Type="http://schemas.openxmlformats.org/officeDocument/2006/relationships/hyperlink" Target="https://www.sec.gov/Archives/edgar/data/1681087/000156459020051456/avro-ex32_90.htm" TargetMode="External"/><Relationship Id="rId264" Type="http://schemas.openxmlformats.org/officeDocument/2006/relationships/hyperlink" Target="https://www.sec.gov/Archives/edgar/data/1681087/000119312518202460/d153924dex32.htm" TargetMode="External"/><Relationship Id="rId265" Type="http://schemas.openxmlformats.org/officeDocument/2006/relationships/hyperlink" Target="https://www.sec.gov/Archives/edgar/data/1681087/000156459022022999/avro-ex101_6.htm" TargetMode="External"/><Relationship Id="rId266" Type="http://schemas.openxmlformats.org/officeDocument/2006/relationships/hyperlink" Target="https://www.sec.gov/Archives/edgar/data/1681087/000156459022019306/avro-ex101_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2022-08-09T18:29:05Z</dcterms:created>
  <dcterms:modified xsi:type="dcterms:W3CDTF">2022-08-09T18:29:05Z</dcterms:modified>
</cp:coreProperties>
</file>