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Leonard Braden Michael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0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65 E CEDAR - SUITE 2</w:t>
            </w:r>
          </w:p>
        </w:tc>
        <w:tc>
          <w:tcPr>
            <w:tcW w:w="15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ZIONSVILLE</w:t>
            </w:r>
          </w:p>
        </w:tc>
        <w:tc>
          <w:tcPr>
            <w:tcW w:w="9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IN</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46077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0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Tectonic Therapeutic,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TECX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06/20/2024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Former 10% owner of AVROBIO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Holding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BML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06/20/2024</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J</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400,355</w:t>
            </w:r>
          </w:p>
        </w:tc>
        <w:tc>
          <w:tcPr>
            <w:tcW w:w="4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41"/>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18"/>
                <w:szCs w:val="18"/>
                <w:color w:val="auto"/>
              </w:rPr>
            </w:pP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400,355</w:t>
            </w:r>
          </w:p>
        </w:tc>
        <w:tc>
          <w:tcPr>
            <w:tcW w:w="30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540" w:type="dxa"/>
            <w:vAlign w:val="bottom"/>
            <w:tcBorders>
              <w:top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06/20/2024</w:t>
            </w:r>
          </w:p>
        </w:tc>
        <w:tc>
          <w:tcPr>
            <w:tcW w:w="42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J</w:t>
            </w:r>
          </w:p>
        </w:tc>
        <w:tc>
          <w:tcPr>
            <w:tcW w:w="760" w:type="dxa"/>
            <w:vAlign w:val="bottom"/>
            <w:tcBorders>
              <w:top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33,333</w:t>
            </w:r>
          </w:p>
        </w:tc>
        <w:tc>
          <w:tcPr>
            <w:tcW w:w="440" w:type="dxa"/>
            <w:vAlign w:val="bottom"/>
            <w:tcBorders>
              <w:top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top w:val="single" w:sz="8" w:color="2C2C2C"/>
            </w:tcBorders>
          </w:tcPr>
          <w:p>
            <w:pPr>
              <w:jc w:val="right"/>
              <w:ind w:right="41"/>
              <w:spacing w:after="0"/>
              <w:rPr>
                <w:sz w:val="20"/>
                <w:szCs w:val="20"/>
                <w:color w:val="auto"/>
              </w:rPr>
            </w:pPr>
            <w:r>
              <w:rPr>
                <w:rFonts w:ascii="Times New Roman" w:cs="Times New Roman" w:eastAsia="Times New Roman" w:hAnsi="Times New Roman"/>
                <w:sz w:val="11"/>
                <w:szCs w:val="11"/>
                <w:color w:val="008000"/>
              </w:rPr>
              <w:t>(3)</w:t>
            </w:r>
          </w:p>
        </w:tc>
        <w:tc>
          <w:tcPr>
            <w:tcW w:w="80" w:type="dxa"/>
            <w:vAlign w:val="bottom"/>
            <w:tcBorders>
              <w:top w:val="single" w:sz="8" w:color="2C2C2C"/>
            </w:tcBorders>
          </w:tcPr>
          <w:p>
            <w:pPr>
              <w:spacing w:after="0"/>
              <w:rPr>
                <w:sz w:val="23"/>
                <w:szCs w:val="23"/>
                <w:color w:val="auto"/>
              </w:rPr>
            </w:pPr>
          </w:p>
        </w:tc>
        <w:tc>
          <w:tcPr>
            <w:tcW w:w="1260" w:type="dxa"/>
            <w:vAlign w:val="bottom"/>
            <w:tcBorders>
              <w:top w:val="single" w:sz="8" w:color="2C2C2C"/>
            </w:tcBorders>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33,333</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4,768,262 shares of common stock of AVROBIO, Inc., pursuant to an Agreement and Plan of Merger dated as of January 30, 2024 (the "Merger Agreement") by and among AVROBIO, Inc., a Delaware corporation ("AVROBIO"), Tectonic and Alpine Merger Subsidiary, Inc., a direct, wholly owned subsidiary of AVROBIO (the "Merger Sub"). Under the terms of the Merger Agreement, on June 20, 2024, Merger Sub merged with and into Tectonic (the "Merger"), with Tectonic surviving the Merger as a wholly owned subsidiary of AVROBIO. Upon the closing of the Merger, each share of AVROBIO common stock reverse stock split of the Issuer's common stock of 1-for-12. Subsequent to the Merger, the name of the Issuer was changed from AVROBIO, Inc. to Tectonic Therapeutic, Inc.</w:t>
      </w:r>
    </w:p>
    <w:p>
      <w:pPr>
        <w:spacing w:after="0" w:line="26"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BML Capital Management, LLC ("BML Capital") serves as the general partner of BML Investment Partners, L.P., a Delaware limited partnership (the "Fund"), which is the direct owner of the subject shares. Mr. Leonard is the managing member of BML Capital, and exercises investment and voting control over the subject shares. Accordingly, shares owned directly by the Fund may be regarded as being beneficially owned by Mr. Leonard. Notwithstanding, Mr. Leonard disclaims beneficial ownership of such shares,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400,000 shares of common stock of AVROBIO, Inc., pursuant to an Agreement and Plan of Merger dated as of January 30, 2024 (the "Merger Agreement") by and among AVROBIO, Inc., a Delaware corporation ("AVROBIO"), Tectonic and Alpine Merger Subsidiary, Inc., a direct, wholly owned subsidiary of AVROBIO (the "Merger Sub"). Under the terms of the Merger Agreement, on June 20, 2024, Merger Sub merged with and into Tectonic (the "Merger"), with Tectonic surviving the Merger as a wholly owned subsidiary of AVROBIO. Upon the closing of the Merger, each share of AVROBIO common stock reverse stock split of the Issuer's common stock of 1-for-12. Subsequent to the Merger, the name of the Issuer was changed from AVROBIO, Inc. to Tectonic Therapeutic, Inc.</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Braden Michael Leonard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06/25/2024</w:t>
            </w:r>
          </w:p>
        </w:tc>
      </w:tr>
      <w:tr>
        <w:trPr>
          <w:trHeight w:val="20"/>
        </w:trPr>
        <w:tc>
          <w:tcPr>
            <w:tcW w:w="1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3603"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2024-06-25T13:02:59Z</dcterms:created>
  <dcterms:modified xsi:type="dcterms:W3CDTF">2024-06-25T13:02:59Z</dcterms:modified>
</cp:coreProperties>
</file>