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As filed with the Securities and Exchange Commission on December 20, 2019</w:t>
      </w:r>
    </w:p>
    <w:p>
      <w:pPr>
        <w:spacing w:after="0" w:line="27" w:lineRule="exact"/>
        <w:rPr>
          <w:sz w:val="24"/>
          <w:szCs w:val="24"/>
          <w:color w:val="auto"/>
        </w:rPr>
      </w:pPr>
    </w:p>
    <w:p>
      <w:pPr>
        <w:ind w:left="902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108585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210185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REGISTRATION STATEMENT</w:t>
      </w:r>
    </w:p>
    <w:p>
      <w:pPr>
        <w:jc w:val="center"/>
        <w:ind w:right="-5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201930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AVROBIO,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560" w:type="dxa"/>
        <w:tblCellMar>
          <w:top w:w="0" w:type="dxa"/>
          <w:left w:w="0" w:type="dxa"/>
          <w:bottom w:w="0" w:type="dxa"/>
          <w:right w:w="0" w:type="dxa"/>
        </w:tblCellMar>
      </w:tblPr>
      <w:tr>
        <w:trPr>
          <w:trHeight w:val="212"/>
        </w:trPr>
        <w:tc>
          <w:tcPr>
            <w:tcW w:w="5960" w:type="dxa"/>
            <w:vAlign w:val="bottom"/>
            <w:gridSpan w:val="3"/>
          </w:tcPr>
          <w:p>
            <w:pPr>
              <w:jc w:val="center"/>
              <w:ind w:right="3520"/>
              <w:spacing w:after="0"/>
              <w:rPr>
                <w:sz w:val="20"/>
                <w:szCs w:val="20"/>
                <w:color w:val="auto"/>
              </w:rPr>
            </w:pPr>
            <w:r>
              <w:rPr>
                <w:rFonts w:ascii="Arial" w:cs="Arial" w:eastAsia="Arial" w:hAnsi="Arial"/>
                <w:sz w:val="18"/>
                <w:szCs w:val="18"/>
                <w:b w:val="1"/>
                <w:bCs w:val="1"/>
                <w:color w:val="auto"/>
                <w:w w:val="91"/>
              </w:rPr>
              <w:t>Delaware</w:t>
            </w:r>
          </w:p>
        </w:tc>
        <w:tc>
          <w:tcPr>
            <w:tcW w:w="1540" w:type="dxa"/>
            <w:vAlign w:val="bottom"/>
          </w:tcPr>
          <w:p>
            <w:pPr>
              <w:jc w:val="right"/>
              <w:ind w:right="201"/>
              <w:spacing w:after="0"/>
              <w:rPr>
                <w:sz w:val="20"/>
                <w:szCs w:val="20"/>
                <w:color w:val="auto"/>
              </w:rPr>
            </w:pPr>
            <w:r>
              <w:rPr>
                <w:rFonts w:ascii="Arial" w:cs="Arial" w:eastAsia="Arial" w:hAnsi="Arial"/>
                <w:sz w:val="18"/>
                <w:szCs w:val="18"/>
                <w:b w:val="1"/>
                <w:bCs w:val="1"/>
                <w:color w:val="auto"/>
              </w:rPr>
              <w:t>81-0710585</w:t>
            </w:r>
          </w:p>
        </w:tc>
      </w:tr>
      <w:tr>
        <w:trPr>
          <w:trHeight w:val="149"/>
        </w:trPr>
        <w:tc>
          <w:tcPr>
            <w:tcW w:w="5960" w:type="dxa"/>
            <w:vAlign w:val="bottom"/>
            <w:gridSpan w:val="3"/>
          </w:tcPr>
          <w:p>
            <w:pPr>
              <w:jc w:val="center"/>
              <w:ind w:right="352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540" w:type="dxa"/>
            <w:vAlign w:val="bottom"/>
          </w:tcPr>
          <w:p>
            <w:pPr>
              <w:jc w:val="center"/>
              <w:ind w:left="4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5960" w:type="dxa"/>
            <w:vAlign w:val="bottom"/>
            <w:gridSpan w:val="3"/>
          </w:tcPr>
          <w:p>
            <w:pPr>
              <w:jc w:val="center"/>
              <w:ind w:right="3520"/>
              <w:spacing w:after="0"/>
              <w:rPr>
                <w:sz w:val="20"/>
                <w:szCs w:val="20"/>
                <w:color w:val="auto"/>
              </w:rPr>
            </w:pPr>
            <w:r>
              <w:rPr>
                <w:rFonts w:ascii="Arial" w:cs="Arial" w:eastAsia="Arial" w:hAnsi="Arial"/>
                <w:sz w:val="14"/>
                <w:szCs w:val="14"/>
                <w:b w:val="1"/>
                <w:bCs w:val="1"/>
                <w:color w:val="auto"/>
                <w:w w:val="94"/>
              </w:rPr>
              <w:t>incorporation or organization)</w:t>
            </w:r>
          </w:p>
        </w:tc>
        <w:tc>
          <w:tcPr>
            <w:tcW w:w="1540" w:type="dxa"/>
            <w:vAlign w:val="bottom"/>
          </w:tcPr>
          <w:p>
            <w:pPr>
              <w:jc w:val="center"/>
              <w:ind w:left="41"/>
              <w:spacing w:after="0"/>
              <w:rPr>
                <w:sz w:val="20"/>
                <w:szCs w:val="20"/>
                <w:color w:val="auto"/>
              </w:rPr>
            </w:pPr>
            <w:r>
              <w:rPr>
                <w:rFonts w:ascii="Arial" w:cs="Arial" w:eastAsia="Arial" w:hAnsi="Arial"/>
                <w:sz w:val="14"/>
                <w:szCs w:val="14"/>
                <w:b w:val="1"/>
                <w:bCs w:val="1"/>
                <w:color w:val="auto"/>
                <w:w w:val="95"/>
              </w:rPr>
              <w:t>Identification Number)</w:t>
            </w:r>
          </w:p>
        </w:tc>
      </w:tr>
      <w:tr>
        <w:trPr>
          <w:trHeight w:val="372"/>
        </w:trPr>
        <w:tc>
          <w:tcPr>
            <w:tcW w:w="5960" w:type="dxa"/>
            <w:vAlign w:val="bottom"/>
            <w:gridSpan w:val="3"/>
          </w:tcPr>
          <w:p>
            <w:pPr>
              <w:jc w:val="center"/>
              <w:ind w:right="3520"/>
              <w:spacing w:after="0"/>
              <w:rPr>
                <w:sz w:val="20"/>
                <w:szCs w:val="20"/>
                <w:color w:val="auto"/>
              </w:rPr>
            </w:pPr>
            <w:r>
              <w:rPr>
                <w:rFonts w:ascii="Arial" w:cs="Arial" w:eastAsia="Arial" w:hAnsi="Arial"/>
                <w:sz w:val="18"/>
                <w:szCs w:val="18"/>
                <w:b w:val="1"/>
                <w:bCs w:val="1"/>
                <w:color w:val="auto"/>
                <w:w w:val="91"/>
              </w:rPr>
              <w:t>One Kendall Square</w:t>
            </w:r>
          </w:p>
        </w:tc>
        <w:tc>
          <w:tcPr>
            <w:tcW w:w="1540" w:type="dxa"/>
            <w:vAlign w:val="bottom"/>
          </w:tcPr>
          <w:p>
            <w:pPr>
              <w:spacing w:after="0"/>
              <w:rPr>
                <w:sz w:val="24"/>
                <w:szCs w:val="24"/>
                <w:color w:val="auto"/>
              </w:rPr>
            </w:pPr>
          </w:p>
        </w:tc>
      </w:tr>
      <w:tr>
        <w:trPr>
          <w:trHeight w:val="216"/>
        </w:trPr>
        <w:tc>
          <w:tcPr>
            <w:tcW w:w="5960" w:type="dxa"/>
            <w:vAlign w:val="bottom"/>
            <w:gridSpan w:val="3"/>
          </w:tcPr>
          <w:p>
            <w:pPr>
              <w:jc w:val="center"/>
              <w:ind w:right="3500"/>
              <w:spacing w:after="0"/>
              <w:rPr>
                <w:sz w:val="20"/>
                <w:szCs w:val="20"/>
                <w:color w:val="auto"/>
              </w:rPr>
            </w:pPr>
            <w:r>
              <w:rPr>
                <w:rFonts w:ascii="Arial" w:cs="Arial" w:eastAsia="Arial" w:hAnsi="Arial"/>
                <w:sz w:val="18"/>
                <w:szCs w:val="18"/>
                <w:b w:val="1"/>
                <w:bCs w:val="1"/>
                <w:color w:val="auto"/>
                <w:w w:val="90"/>
              </w:rPr>
              <w:t>Building 300, Suite 201</w:t>
            </w:r>
          </w:p>
        </w:tc>
        <w:tc>
          <w:tcPr>
            <w:tcW w:w="1540" w:type="dxa"/>
            <w:vAlign w:val="bottom"/>
          </w:tcPr>
          <w:p>
            <w:pPr>
              <w:spacing w:after="0"/>
              <w:rPr>
                <w:sz w:val="18"/>
                <w:szCs w:val="18"/>
                <w:color w:val="auto"/>
              </w:rPr>
            </w:pPr>
          </w:p>
        </w:tc>
      </w:tr>
      <w:tr>
        <w:trPr>
          <w:trHeight w:val="225"/>
        </w:trPr>
        <w:tc>
          <w:tcPr>
            <w:tcW w:w="5960" w:type="dxa"/>
            <w:vAlign w:val="bottom"/>
            <w:gridSpan w:val="3"/>
          </w:tcPr>
          <w:p>
            <w:pPr>
              <w:jc w:val="center"/>
              <w:ind w:right="3500"/>
              <w:spacing w:after="0"/>
              <w:rPr>
                <w:sz w:val="20"/>
                <w:szCs w:val="20"/>
                <w:color w:val="auto"/>
              </w:rPr>
            </w:pPr>
            <w:r>
              <w:rPr>
                <w:rFonts w:ascii="Arial" w:cs="Arial" w:eastAsia="Arial" w:hAnsi="Arial"/>
                <w:sz w:val="18"/>
                <w:szCs w:val="18"/>
                <w:b w:val="1"/>
                <w:bCs w:val="1"/>
                <w:color w:val="auto"/>
                <w:w w:val="88"/>
              </w:rPr>
              <w:t>Cambridge, Massachusetts</w:t>
            </w:r>
          </w:p>
        </w:tc>
        <w:tc>
          <w:tcPr>
            <w:tcW w:w="1540" w:type="dxa"/>
            <w:vAlign w:val="bottom"/>
          </w:tcPr>
          <w:p>
            <w:pPr>
              <w:jc w:val="right"/>
              <w:ind w:right="401"/>
              <w:spacing w:after="0"/>
              <w:rPr>
                <w:sz w:val="20"/>
                <w:szCs w:val="20"/>
                <w:color w:val="auto"/>
              </w:rPr>
            </w:pPr>
            <w:r>
              <w:rPr>
                <w:rFonts w:ascii="Arial" w:cs="Arial" w:eastAsia="Arial" w:hAnsi="Arial"/>
                <w:sz w:val="18"/>
                <w:szCs w:val="18"/>
                <w:b w:val="1"/>
                <w:bCs w:val="1"/>
                <w:color w:val="auto"/>
              </w:rPr>
              <w:t>02139</w:t>
            </w:r>
          </w:p>
        </w:tc>
      </w:tr>
      <w:tr>
        <w:trPr>
          <w:trHeight w:val="186"/>
        </w:trPr>
        <w:tc>
          <w:tcPr>
            <w:tcW w:w="5960" w:type="dxa"/>
            <w:vAlign w:val="bottom"/>
            <w:gridSpan w:val="3"/>
          </w:tcPr>
          <w:p>
            <w:pPr>
              <w:jc w:val="center"/>
              <w:ind w:right="350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540" w:type="dxa"/>
            <w:vAlign w:val="bottom"/>
          </w:tcPr>
          <w:p>
            <w:pPr>
              <w:jc w:val="center"/>
              <w:ind w:left="41"/>
              <w:spacing w:after="0"/>
              <w:rPr>
                <w:sz w:val="20"/>
                <w:szCs w:val="20"/>
                <w:color w:val="auto"/>
              </w:rPr>
            </w:pPr>
            <w:r>
              <w:rPr>
                <w:rFonts w:ascii="Arial" w:cs="Arial" w:eastAsia="Arial" w:hAnsi="Arial"/>
                <w:sz w:val="14"/>
                <w:szCs w:val="14"/>
                <w:b w:val="1"/>
                <w:bCs w:val="1"/>
                <w:color w:val="auto"/>
                <w:w w:val="95"/>
              </w:rPr>
              <w:t>(Zip Code)</w:t>
            </w:r>
          </w:p>
        </w:tc>
      </w:tr>
      <w:tr>
        <w:trPr>
          <w:trHeight w:val="358"/>
        </w:trPr>
        <w:tc>
          <w:tcPr>
            <w:tcW w:w="5960" w:type="dxa"/>
            <w:vAlign w:val="bottom"/>
            <w:gridSpan w:val="3"/>
          </w:tcPr>
          <w:p>
            <w:pPr>
              <w:jc w:val="center"/>
              <w:ind w:left="1856"/>
              <w:spacing w:after="0"/>
              <w:rPr>
                <w:sz w:val="20"/>
                <w:szCs w:val="20"/>
                <w:color w:val="auto"/>
              </w:rPr>
            </w:pPr>
            <w:r>
              <w:rPr>
                <w:rFonts w:ascii="Arial" w:cs="Arial" w:eastAsia="Arial" w:hAnsi="Arial"/>
                <w:sz w:val="18"/>
                <w:szCs w:val="18"/>
                <w:b w:val="1"/>
                <w:bCs w:val="1"/>
                <w:color w:val="auto"/>
                <w:w w:val="93"/>
              </w:rPr>
              <w:t>AVROBIO, Inc. 2019 Inducement Plan</w:t>
            </w:r>
          </w:p>
        </w:tc>
        <w:tc>
          <w:tcPr>
            <w:tcW w:w="1540" w:type="dxa"/>
            <w:vAlign w:val="bottom"/>
          </w:tcPr>
          <w:p>
            <w:pPr>
              <w:spacing w:after="0"/>
              <w:rPr>
                <w:sz w:val="24"/>
                <w:szCs w:val="24"/>
                <w:color w:val="auto"/>
              </w:rPr>
            </w:pPr>
          </w:p>
        </w:tc>
      </w:tr>
      <w:tr>
        <w:trPr>
          <w:trHeight w:val="212"/>
        </w:trPr>
        <w:tc>
          <w:tcPr>
            <w:tcW w:w="5960" w:type="dxa"/>
            <w:vAlign w:val="bottom"/>
            <w:gridSpan w:val="3"/>
          </w:tcPr>
          <w:p>
            <w:pPr>
              <w:jc w:val="center"/>
              <w:ind w:left="1856"/>
              <w:spacing w:after="0"/>
              <w:rPr>
                <w:sz w:val="20"/>
                <w:szCs w:val="20"/>
                <w:color w:val="auto"/>
              </w:rPr>
            </w:pPr>
            <w:r>
              <w:rPr>
                <w:rFonts w:ascii="Arial" w:cs="Arial" w:eastAsia="Arial" w:hAnsi="Arial"/>
                <w:sz w:val="18"/>
                <w:szCs w:val="18"/>
                <w:b w:val="1"/>
                <w:bCs w:val="1"/>
                <w:color w:val="auto"/>
                <w:w w:val="90"/>
              </w:rPr>
              <w:t>Inducement Stock Option Agreement</w:t>
            </w:r>
          </w:p>
        </w:tc>
        <w:tc>
          <w:tcPr>
            <w:tcW w:w="1540" w:type="dxa"/>
            <w:vAlign w:val="bottom"/>
          </w:tcPr>
          <w:p>
            <w:pPr>
              <w:spacing w:after="0"/>
              <w:rPr>
                <w:sz w:val="18"/>
                <w:szCs w:val="18"/>
                <w:color w:val="auto"/>
              </w:rPr>
            </w:pPr>
          </w:p>
        </w:tc>
      </w:tr>
      <w:tr>
        <w:trPr>
          <w:trHeight w:val="186"/>
        </w:trPr>
        <w:tc>
          <w:tcPr>
            <w:tcW w:w="2800" w:type="dxa"/>
            <w:vAlign w:val="bottom"/>
          </w:tcPr>
          <w:p>
            <w:pPr>
              <w:spacing w:after="0"/>
              <w:rPr>
                <w:sz w:val="16"/>
                <w:szCs w:val="16"/>
                <w:color w:val="auto"/>
              </w:rPr>
            </w:pPr>
          </w:p>
        </w:tc>
        <w:tc>
          <w:tcPr>
            <w:tcW w:w="316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4"/>
              </w:rPr>
              <w:t>(Full Title of the Plans)</w:t>
            </w:r>
          </w:p>
        </w:tc>
        <w:tc>
          <w:tcPr>
            <w:tcW w:w="1540" w:type="dxa"/>
            <w:vAlign w:val="bottom"/>
          </w:tcPr>
          <w:p>
            <w:pPr>
              <w:spacing w:after="0"/>
              <w:rPr>
                <w:sz w:val="16"/>
                <w:szCs w:val="16"/>
                <w:color w:val="auto"/>
              </w:rPr>
            </w:pPr>
          </w:p>
        </w:tc>
      </w:tr>
      <w:tr>
        <w:trPr>
          <w:trHeight w:val="358"/>
        </w:trPr>
        <w:tc>
          <w:tcPr>
            <w:tcW w:w="2800" w:type="dxa"/>
            <w:vAlign w:val="bottom"/>
          </w:tcPr>
          <w:p>
            <w:pPr>
              <w:spacing w:after="0"/>
              <w:rPr>
                <w:sz w:val="24"/>
                <w:szCs w:val="24"/>
                <w:color w:val="auto"/>
              </w:rPr>
            </w:pPr>
          </w:p>
        </w:tc>
        <w:tc>
          <w:tcPr>
            <w:tcW w:w="316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94"/>
              </w:rPr>
              <w:t>Geoff MacKay</w:t>
            </w:r>
          </w:p>
        </w:tc>
        <w:tc>
          <w:tcPr>
            <w:tcW w:w="1540" w:type="dxa"/>
            <w:vAlign w:val="bottom"/>
          </w:tcPr>
          <w:p>
            <w:pPr>
              <w:spacing w:after="0"/>
              <w:rPr>
                <w:sz w:val="24"/>
                <w:szCs w:val="24"/>
                <w:color w:val="auto"/>
              </w:rPr>
            </w:pPr>
          </w:p>
        </w:tc>
      </w:tr>
      <w:tr>
        <w:trPr>
          <w:trHeight w:val="216"/>
        </w:trPr>
        <w:tc>
          <w:tcPr>
            <w:tcW w:w="5960" w:type="dxa"/>
            <w:vAlign w:val="bottom"/>
            <w:gridSpan w:val="3"/>
          </w:tcPr>
          <w:p>
            <w:pPr>
              <w:jc w:val="center"/>
              <w:ind w:left="1876"/>
              <w:spacing w:after="0"/>
              <w:rPr>
                <w:sz w:val="20"/>
                <w:szCs w:val="20"/>
                <w:color w:val="auto"/>
              </w:rPr>
            </w:pPr>
            <w:r>
              <w:rPr>
                <w:rFonts w:ascii="Arial" w:cs="Arial" w:eastAsia="Arial" w:hAnsi="Arial"/>
                <w:sz w:val="18"/>
                <w:szCs w:val="18"/>
                <w:b w:val="1"/>
                <w:bCs w:val="1"/>
                <w:color w:val="auto"/>
                <w:w w:val="90"/>
              </w:rPr>
              <w:t>President and Chief Executive Officer</w:t>
            </w:r>
          </w:p>
        </w:tc>
        <w:tc>
          <w:tcPr>
            <w:tcW w:w="1540" w:type="dxa"/>
            <w:vAlign w:val="bottom"/>
          </w:tcPr>
          <w:p>
            <w:pPr>
              <w:spacing w:after="0"/>
              <w:rPr>
                <w:sz w:val="18"/>
                <w:szCs w:val="18"/>
                <w:color w:val="auto"/>
              </w:rPr>
            </w:pPr>
          </w:p>
        </w:tc>
      </w:tr>
      <w:tr>
        <w:trPr>
          <w:trHeight w:val="216"/>
        </w:trPr>
        <w:tc>
          <w:tcPr>
            <w:tcW w:w="2800" w:type="dxa"/>
            <w:vAlign w:val="bottom"/>
          </w:tcPr>
          <w:p>
            <w:pPr>
              <w:spacing w:after="0"/>
              <w:rPr>
                <w:sz w:val="18"/>
                <w:szCs w:val="18"/>
                <w:color w:val="auto"/>
              </w:rPr>
            </w:pPr>
          </w:p>
        </w:tc>
        <w:tc>
          <w:tcPr>
            <w:tcW w:w="3160" w:type="dxa"/>
            <w:vAlign w:val="bottom"/>
            <w:gridSpan w:val="2"/>
          </w:tcPr>
          <w:p>
            <w:pPr>
              <w:jc w:val="center"/>
              <w:ind w:right="840"/>
              <w:spacing w:after="0"/>
              <w:rPr>
                <w:sz w:val="20"/>
                <w:szCs w:val="20"/>
                <w:color w:val="auto"/>
              </w:rPr>
            </w:pPr>
            <w:r>
              <w:rPr>
                <w:rFonts w:ascii="Arial" w:cs="Arial" w:eastAsia="Arial" w:hAnsi="Arial"/>
                <w:sz w:val="18"/>
                <w:szCs w:val="18"/>
                <w:b w:val="1"/>
                <w:bCs w:val="1"/>
                <w:color w:val="auto"/>
                <w:w w:val="91"/>
              </w:rPr>
              <w:t>One Kendall Square</w:t>
            </w:r>
          </w:p>
        </w:tc>
        <w:tc>
          <w:tcPr>
            <w:tcW w:w="1540" w:type="dxa"/>
            <w:vAlign w:val="bottom"/>
          </w:tcPr>
          <w:p>
            <w:pPr>
              <w:spacing w:after="0"/>
              <w:rPr>
                <w:sz w:val="18"/>
                <w:szCs w:val="18"/>
                <w:color w:val="auto"/>
              </w:rPr>
            </w:pPr>
          </w:p>
        </w:tc>
      </w:tr>
      <w:tr>
        <w:trPr>
          <w:trHeight w:val="216"/>
        </w:trPr>
        <w:tc>
          <w:tcPr>
            <w:tcW w:w="2800" w:type="dxa"/>
            <w:vAlign w:val="bottom"/>
          </w:tcPr>
          <w:p>
            <w:pPr>
              <w:spacing w:after="0"/>
              <w:rPr>
                <w:sz w:val="18"/>
                <w:szCs w:val="18"/>
                <w:color w:val="auto"/>
              </w:rPr>
            </w:pPr>
          </w:p>
        </w:tc>
        <w:tc>
          <w:tcPr>
            <w:tcW w:w="316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90"/>
              </w:rPr>
              <w:t>Building 300, Suite 201</w:t>
            </w:r>
          </w:p>
        </w:tc>
        <w:tc>
          <w:tcPr>
            <w:tcW w:w="1540" w:type="dxa"/>
            <w:vAlign w:val="bottom"/>
          </w:tcPr>
          <w:p>
            <w:pPr>
              <w:spacing w:after="0"/>
              <w:rPr>
                <w:sz w:val="18"/>
                <w:szCs w:val="18"/>
                <w:color w:val="auto"/>
              </w:rPr>
            </w:pPr>
          </w:p>
        </w:tc>
      </w:tr>
      <w:tr>
        <w:trPr>
          <w:trHeight w:val="212"/>
        </w:trPr>
        <w:tc>
          <w:tcPr>
            <w:tcW w:w="2800" w:type="dxa"/>
            <w:vAlign w:val="bottom"/>
          </w:tcPr>
          <w:p>
            <w:pPr>
              <w:spacing w:after="0"/>
              <w:rPr>
                <w:sz w:val="18"/>
                <w:szCs w:val="18"/>
                <w:color w:val="auto"/>
              </w:rPr>
            </w:pPr>
          </w:p>
        </w:tc>
        <w:tc>
          <w:tcPr>
            <w:tcW w:w="3160" w:type="dxa"/>
            <w:vAlign w:val="bottom"/>
            <w:gridSpan w:val="2"/>
          </w:tcPr>
          <w:p>
            <w:pPr>
              <w:jc w:val="center"/>
              <w:ind w:right="840"/>
              <w:spacing w:after="0"/>
              <w:rPr>
                <w:sz w:val="20"/>
                <w:szCs w:val="20"/>
                <w:color w:val="auto"/>
              </w:rPr>
            </w:pPr>
            <w:r>
              <w:rPr>
                <w:rFonts w:ascii="Arial" w:cs="Arial" w:eastAsia="Arial" w:hAnsi="Arial"/>
                <w:sz w:val="18"/>
                <w:szCs w:val="18"/>
                <w:b w:val="1"/>
                <w:bCs w:val="1"/>
                <w:color w:val="auto"/>
                <w:w w:val="94"/>
              </w:rPr>
              <w:t>Cambridge, MA 02139</w:t>
            </w:r>
          </w:p>
        </w:tc>
        <w:tc>
          <w:tcPr>
            <w:tcW w:w="1540" w:type="dxa"/>
            <w:vAlign w:val="bottom"/>
          </w:tcPr>
          <w:p>
            <w:pPr>
              <w:spacing w:after="0"/>
              <w:rPr>
                <w:sz w:val="18"/>
                <w:szCs w:val="18"/>
                <w:color w:val="auto"/>
              </w:rPr>
            </w:pPr>
          </w:p>
        </w:tc>
      </w:tr>
      <w:tr>
        <w:trPr>
          <w:trHeight w:val="186"/>
        </w:trPr>
        <w:tc>
          <w:tcPr>
            <w:tcW w:w="5960" w:type="dxa"/>
            <w:vAlign w:val="bottom"/>
            <w:gridSpan w:val="3"/>
          </w:tcPr>
          <w:p>
            <w:pPr>
              <w:jc w:val="center"/>
              <w:ind w:left="1876"/>
              <w:spacing w:after="0"/>
              <w:rPr>
                <w:sz w:val="20"/>
                <w:szCs w:val="20"/>
                <w:color w:val="auto"/>
              </w:rPr>
            </w:pPr>
            <w:r>
              <w:rPr>
                <w:rFonts w:ascii="Arial" w:cs="Arial" w:eastAsia="Arial" w:hAnsi="Arial"/>
                <w:sz w:val="14"/>
                <w:szCs w:val="14"/>
                <w:b w:val="1"/>
                <w:bCs w:val="1"/>
                <w:color w:val="auto"/>
                <w:w w:val="91"/>
              </w:rPr>
              <w:t>(Name and address of agent for service)</w:t>
            </w:r>
          </w:p>
        </w:tc>
        <w:tc>
          <w:tcPr>
            <w:tcW w:w="1540" w:type="dxa"/>
            <w:vAlign w:val="bottom"/>
          </w:tcPr>
          <w:p>
            <w:pPr>
              <w:spacing w:after="0"/>
              <w:rPr>
                <w:sz w:val="16"/>
                <w:szCs w:val="16"/>
                <w:color w:val="auto"/>
              </w:rPr>
            </w:pPr>
          </w:p>
        </w:tc>
      </w:tr>
      <w:tr>
        <w:trPr>
          <w:trHeight w:val="367"/>
        </w:trPr>
        <w:tc>
          <w:tcPr>
            <w:tcW w:w="5100" w:type="dxa"/>
            <w:vAlign w:val="bottom"/>
            <w:gridSpan w:val="2"/>
          </w:tcPr>
          <w:p>
            <w:pPr>
              <w:jc w:val="center"/>
              <w:ind w:left="2736"/>
              <w:spacing w:after="0"/>
              <w:rPr>
                <w:sz w:val="20"/>
                <w:szCs w:val="20"/>
                <w:color w:val="auto"/>
              </w:rPr>
            </w:pPr>
            <w:r>
              <w:rPr>
                <w:rFonts w:ascii="Arial" w:cs="Arial" w:eastAsia="Arial" w:hAnsi="Arial"/>
                <w:sz w:val="18"/>
                <w:szCs w:val="18"/>
                <w:b w:val="1"/>
                <w:bCs w:val="1"/>
                <w:color w:val="auto"/>
                <w:w w:val="90"/>
              </w:rPr>
              <w:t>(617) 914-8420</w:t>
            </w:r>
          </w:p>
        </w:tc>
        <w:tc>
          <w:tcPr>
            <w:tcW w:w="8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86"/>
        </w:trPr>
        <w:tc>
          <w:tcPr>
            <w:tcW w:w="5960" w:type="dxa"/>
            <w:vAlign w:val="bottom"/>
            <w:gridSpan w:val="3"/>
          </w:tcPr>
          <w:p>
            <w:pPr>
              <w:jc w:val="center"/>
              <w:ind w:left="1856"/>
              <w:spacing w:after="0"/>
              <w:rPr>
                <w:sz w:val="20"/>
                <w:szCs w:val="20"/>
                <w:color w:val="auto"/>
              </w:rPr>
            </w:pPr>
            <w:r>
              <w:rPr>
                <w:rFonts w:ascii="Arial" w:cs="Arial" w:eastAsia="Arial" w:hAnsi="Arial"/>
                <w:sz w:val="14"/>
                <w:szCs w:val="14"/>
                <w:b w:val="1"/>
                <w:bCs w:val="1"/>
                <w:color w:val="auto"/>
                <w:w w:val="91"/>
              </w:rPr>
              <w:t>(Telephone number, including area code, of agent for service)</w:t>
            </w:r>
          </w:p>
        </w:tc>
        <w:tc>
          <w:tcPr>
            <w:tcW w:w="1540" w:type="dxa"/>
            <w:vAlign w:val="bottom"/>
          </w:tcPr>
          <w:p>
            <w:pPr>
              <w:spacing w:after="0"/>
              <w:rPr>
                <w:sz w:val="16"/>
                <w:szCs w:val="16"/>
                <w:color w:val="auto"/>
              </w:rPr>
            </w:pPr>
          </w:p>
        </w:tc>
      </w:tr>
      <w:tr>
        <w:trPr>
          <w:trHeight w:val="309"/>
        </w:trPr>
        <w:tc>
          <w:tcPr>
            <w:tcW w:w="280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85"/>
        </w:trPr>
        <w:tc>
          <w:tcPr>
            <w:tcW w:w="2800" w:type="dxa"/>
            <w:vAlign w:val="bottom"/>
          </w:tcPr>
          <w:p>
            <w:pPr>
              <w:spacing w:after="0"/>
              <w:rPr>
                <w:sz w:val="24"/>
                <w:szCs w:val="24"/>
                <w:color w:val="auto"/>
              </w:rPr>
            </w:pPr>
          </w:p>
        </w:tc>
        <w:tc>
          <w:tcPr>
            <w:tcW w:w="3160" w:type="dxa"/>
            <w:vAlign w:val="bottom"/>
            <w:gridSpan w:val="2"/>
          </w:tcPr>
          <w:p>
            <w:pPr>
              <w:jc w:val="center"/>
              <w:ind w:right="860"/>
              <w:spacing w:after="0"/>
              <w:rPr>
                <w:sz w:val="20"/>
                <w:szCs w:val="20"/>
                <w:color w:val="auto"/>
              </w:rPr>
            </w:pPr>
            <w:r>
              <w:rPr>
                <w:rFonts w:ascii="Arial" w:cs="Arial" w:eastAsia="Arial" w:hAnsi="Arial"/>
                <w:sz w:val="18"/>
                <w:szCs w:val="18"/>
                <w:b w:val="1"/>
                <w:bCs w:val="1"/>
                <w:i w:val="1"/>
                <w:iCs w:val="1"/>
                <w:color w:val="auto"/>
                <w:w w:val="84"/>
              </w:rPr>
              <w:t>Copies to:</w:t>
            </w:r>
          </w:p>
        </w:tc>
        <w:tc>
          <w:tcPr>
            <w:tcW w:w="1540" w:type="dxa"/>
            <w:vAlign w:val="bottom"/>
          </w:tcPr>
          <w:p>
            <w:pPr>
              <w:spacing w:after="0"/>
              <w:rPr>
                <w:sz w:val="24"/>
                <w:szCs w:val="24"/>
                <w:color w:val="auto"/>
              </w:rPr>
            </w:pPr>
          </w:p>
        </w:tc>
      </w:tr>
      <w:tr>
        <w:trPr>
          <w:trHeight w:val="306"/>
        </w:trPr>
        <w:tc>
          <w:tcPr>
            <w:tcW w:w="2800" w:type="dxa"/>
            <w:vAlign w:val="bottom"/>
          </w:tcPr>
          <w:p>
            <w:pPr>
              <w:spacing w:after="0"/>
              <w:rPr>
                <w:sz w:val="24"/>
                <w:szCs w:val="24"/>
                <w:color w:val="auto"/>
              </w:rPr>
            </w:pPr>
          </w:p>
        </w:tc>
        <w:tc>
          <w:tcPr>
            <w:tcW w:w="316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94"/>
              </w:rPr>
              <w:t>Arthur R. McGivern, Esq.</w:t>
            </w:r>
          </w:p>
        </w:tc>
        <w:tc>
          <w:tcPr>
            <w:tcW w:w="1540" w:type="dxa"/>
            <w:vAlign w:val="bottom"/>
          </w:tcPr>
          <w:p>
            <w:pPr>
              <w:spacing w:after="0"/>
              <w:rPr>
                <w:sz w:val="24"/>
                <w:szCs w:val="24"/>
                <w:color w:val="auto"/>
              </w:rPr>
            </w:pPr>
          </w:p>
        </w:tc>
      </w:tr>
      <w:tr>
        <w:trPr>
          <w:trHeight w:val="216"/>
        </w:trPr>
        <w:tc>
          <w:tcPr>
            <w:tcW w:w="2800" w:type="dxa"/>
            <w:vAlign w:val="bottom"/>
          </w:tcPr>
          <w:p>
            <w:pPr>
              <w:spacing w:after="0"/>
              <w:rPr>
                <w:sz w:val="18"/>
                <w:szCs w:val="18"/>
                <w:color w:val="auto"/>
              </w:rPr>
            </w:pPr>
          </w:p>
        </w:tc>
        <w:tc>
          <w:tcPr>
            <w:tcW w:w="316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89"/>
              </w:rPr>
              <w:t>James Xu, Esq.</w:t>
            </w:r>
          </w:p>
        </w:tc>
        <w:tc>
          <w:tcPr>
            <w:tcW w:w="1540" w:type="dxa"/>
            <w:vAlign w:val="bottom"/>
          </w:tcPr>
          <w:p>
            <w:pPr>
              <w:spacing w:after="0"/>
              <w:rPr>
                <w:sz w:val="18"/>
                <w:szCs w:val="18"/>
                <w:color w:val="auto"/>
              </w:rPr>
            </w:pPr>
          </w:p>
        </w:tc>
      </w:tr>
      <w:tr>
        <w:trPr>
          <w:trHeight w:val="216"/>
        </w:trPr>
        <w:tc>
          <w:tcPr>
            <w:tcW w:w="2800" w:type="dxa"/>
            <w:vAlign w:val="bottom"/>
          </w:tcPr>
          <w:p>
            <w:pPr>
              <w:spacing w:after="0"/>
              <w:rPr>
                <w:sz w:val="18"/>
                <w:szCs w:val="18"/>
                <w:color w:val="auto"/>
              </w:rPr>
            </w:pPr>
          </w:p>
        </w:tc>
        <w:tc>
          <w:tcPr>
            <w:tcW w:w="3160" w:type="dxa"/>
            <w:vAlign w:val="bottom"/>
            <w:gridSpan w:val="2"/>
          </w:tcPr>
          <w:p>
            <w:pPr>
              <w:jc w:val="center"/>
              <w:ind w:right="840"/>
              <w:spacing w:after="0"/>
              <w:rPr>
                <w:sz w:val="20"/>
                <w:szCs w:val="20"/>
                <w:color w:val="auto"/>
              </w:rPr>
            </w:pPr>
            <w:r>
              <w:rPr>
                <w:rFonts w:ascii="Arial" w:cs="Arial" w:eastAsia="Arial" w:hAnsi="Arial"/>
                <w:sz w:val="18"/>
                <w:szCs w:val="18"/>
                <w:b w:val="1"/>
                <w:bCs w:val="1"/>
                <w:color w:val="auto"/>
                <w:w w:val="93"/>
              </w:rPr>
              <w:t>Goodwin Procter LLP</w:t>
            </w:r>
          </w:p>
        </w:tc>
        <w:tc>
          <w:tcPr>
            <w:tcW w:w="1540" w:type="dxa"/>
            <w:vAlign w:val="bottom"/>
          </w:tcPr>
          <w:p>
            <w:pPr>
              <w:spacing w:after="0"/>
              <w:rPr>
                <w:sz w:val="18"/>
                <w:szCs w:val="18"/>
                <w:color w:val="auto"/>
              </w:rPr>
            </w:pPr>
          </w:p>
        </w:tc>
      </w:tr>
      <w:tr>
        <w:trPr>
          <w:trHeight w:val="216"/>
        </w:trPr>
        <w:tc>
          <w:tcPr>
            <w:tcW w:w="2800" w:type="dxa"/>
            <w:vAlign w:val="bottom"/>
          </w:tcPr>
          <w:p>
            <w:pPr>
              <w:spacing w:after="0"/>
              <w:rPr>
                <w:sz w:val="18"/>
                <w:szCs w:val="18"/>
                <w:color w:val="auto"/>
              </w:rPr>
            </w:pPr>
          </w:p>
        </w:tc>
        <w:tc>
          <w:tcPr>
            <w:tcW w:w="3160" w:type="dxa"/>
            <w:vAlign w:val="bottom"/>
            <w:gridSpan w:val="2"/>
          </w:tcPr>
          <w:p>
            <w:pPr>
              <w:jc w:val="center"/>
              <w:ind w:right="840"/>
              <w:spacing w:after="0"/>
              <w:rPr>
                <w:sz w:val="20"/>
                <w:szCs w:val="20"/>
                <w:color w:val="auto"/>
              </w:rPr>
            </w:pPr>
            <w:r>
              <w:rPr>
                <w:rFonts w:ascii="Arial" w:cs="Arial" w:eastAsia="Arial" w:hAnsi="Arial"/>
                <w:sz w:val="18"/>
                <w:szCs w:val="18"/>
                <w:b w:val="1"/>
                <w:bCs w:val="1"/>
                <w:color w:val="auto"/>
                <w:w w:val="90"/>
              </w:rPr>
              <w:t>100 Northern Avenue</w:t>
            </w:r>
          </w:p>
        </w:tc>
        <w:tc>
          <w:tcPr>
            <w:tcW w:w="1540" w:type="dxa"/>
            <w:vAlign w:val="bottom"/>
          </w:tcPr>
          <w:p>
            <w:pPr>
              <w:spacing w:after="0"/>
              <w:rPr>
                <w:sz w:val="18"/>
                <w:szCs w:val="18"/>
                <w:color w:val="auto"/>
              </w:rPr>
            </w:pPr>
          </w:p>
        </w:tc>
      </w:tr>
      <w:tr>
        <w:trPr>
          <w:trHeight w:val="216"/>
        </w:trPr>
        <w:tc>
          <w:tcPr>
            <w:tcW w:w="2800" w:type="dxa"/>
            <w:vAlign w:val="bottom"/>
          </w:tcPr>
          <w:p>
            <w:pPr>
              <w:spacing w:after="0"/>
              <w:rPr>
                <w:sz w:val="18"/>
                <w:szCs w:val="18"/>
                <w:color w:val="auto"/>
              </w:rPr>
            </w:pPr>
          </w:p>
        </w:tc>
        <w:tc>
          <w:tcPr>
            <w:tcW w:w="316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86"/>
              </w:rPr>
              <w:t>Boston, Massachusetts 02210</w:t>
            </w:r>
          </w:p>
        </w:tc>
        <w:tc>
          <w:tcPr>
            <w:tcW w:w="1540" w:type="dxa"/>
            <w:vAlign w:val="bottom"/>
          </w:tcPr>
          <w:p>
            <w:pPr>
              <w:spacing w:after="0"/>
              <w:rPr>
                <w:sz w:val="18"/>
                <w:szCs w:val="18"/>
                <w:color w:val="auto"/>
              </w:rPr>
            </w:pPr>
          </w:p>
        </w:tc>
      </w:tr>
      <w:tr>
        <w:trPr>
          <w:trHeight w:val="234"/>
        </w:trPr>
        <w:tc>
          <w:tcPr>
            <w:tcW w:w="5100" w:type="dxa"/>
            <w:vAlign w:val="bottom"/>
            <w:gridSpan w:val="2"/>
          </w:tcPr>
          <w:p>
            <w:pPr>
              <w:jc w:val="center"/>
              <w:ind w:left="2736"/>
              <w:spacing w:after="0"/>
              <w:rPr>
                <w:sz w:val="20"/>
                <w:szCs w:val="20"/>
                <w:color w:val="auto"/>
              </w:rPr>
            </w:pPr>
            <w:r>
              <w:rPr>
                <w:rFonts w:ascii="Arial" w:cs="Arial" w:eastAsia="Arial" w:hAnsi="Arial"/>
                <w:sz w:val="18"/>
                <w:szCs w:val="18"/>
                <w:b w:val="1"/>
                <w:bCs w:val="1"/>
                <w:color w:val="auto"/>
                <w:w w:val="90"/>
              </w:rPr>
              <w:t>(617) 570-1000</w:t>
            </w:r>
          </w:p>
        </w:tc>
        <w:tc>
          <w:tcPr>
            <w:tcW w:w="86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214630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52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2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41" w:lineRule="exact"/>
        <w:rPr>
          <w:sz w:val="24"/>
          <w:szCs w:val="24"/>
          <w:color w:val="auto"/>
        </w:rPr>
      </w:pPr>
    </w:p>
    <w:p>
      <w:pPr>
        <w:ind w:right="2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60"/>
          </w:cols>
          <w:pgMar w:left="440" w:top="229" w:right="49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CALCULATION OF REGISTRATION FEE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840" w:type="dxa"/>
            <w:vAlign w:val="bottom"/>
            <w:tcBorders>
              <w:top w:val="single" w:sz="8" w:color="auto"/>
              <w:bottom w:val="single" w:sz="8" w:color="auto"/>
            </w:tcBorders>
          </w:tcPr>
          <w:p>
            <w:pPr>
              <w:spacing w:after="0"/>
              <w:rPr>
                <w:sz w:val="3"/>
                <w:szCs w:val="3"/>
                <w:color w:val="auto"/>
              </w:rPr>
            </w:pPr>
          </w:p>
        </w:tc>
        <w:tc>
          <w:tcPr>
            <w:tcW w:w="15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84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Title of Securities</w:t>
            </w:r>
          </w:p>
        </w:tc>
        <w:tc>
          <w:tcPr>
            <w:tcW w:w="15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Borders>
              <w:right w:val="single" w:sz="8" w:color="auto"/>
            </w:tcBorders>
            <w:vMerge w:val="continue"/>
          </w:tcPr>
          <w:p>
            <w:pPr>
              <w:spacing w:after="0"/>
              <w:rPr>
                <w:sz w:val="12"/>
                <w:szCs w:val="12"/>
                <w:color w:val="auto"/>
              </w:rPr>
            </w:pPr>
          </w:p>
        </w:tc>
        <w:tc>
          <w:tcPr>
            <w:tcW w:w="15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 be Registered</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Registered (1)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Offering 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Registration Fee</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48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$0.0001 par value per share</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1,800,000 shares (2)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$21.63 (4)</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$38,934,000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$5,053.64</w:t>
            </w:r>
          </w:p>
        </w:tc>
        <w:tc>
          <w:tcPr>
            <w:tcW w:w="0" w:type="dxa"/>
            <w:vAlign w:val="bottom"/>
          </w:tcPr>
          <w:p>
            <w:pPr>
              <w:spacing w:after="0"/>
              <w:rPr>
                <w:sz w:val="1"/>
                <w:szCs w:val="1"/>
                <w:color w:val="auto"/>
              </w:rPr>
            </w:pPr>
          </w:p>
        </w:tc>
      </w:tr>
      <w:tr>
        <w:trPr>
          <w:trHeight w:val="210"/>
        </w:trPr>
        <w:tc>
          <w:tcPr>
            <w:tcW w:w="48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Common Stock, $0.0001 par value per share</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93,000 shares (3)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$19.97 (5)</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$1,857,210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$241.07</w:t>
            </w:r>
          </w:p>
        </w:tc>
        <w:tc>
          <w:tcPr>
            <w:tcW w:w="0" w:type="dxa"/>
            <w:vAlign w:val="bottom"/>
          </w:tcPr>
          <w:p>
            <w:pPr>
              <w:spacing w:after="0"/>
              <w:rPr>
                <w:sz w:val="1"/>
                <w:szCs w:val="1"/>
                <w:color w:val="auto"/>
              </w:rPr>
            </w:pPr>
          </w:p>
        </w:tc>
      </w:tr>
      <w:tr>
        <w:trPr>
          <w:trHeight w:val="210"/>
        </w:trPr>
        <w:tc>
          <w:tcPr>
            <w:tcW w:w="48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1,893,000 shares</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$40,791,210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$5,294.71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80" w:right="420" w:hanging="576"/>
        <w:spacing w:after="0" w:line="254"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under the Securities Act of 1933, as amended (the “Securities Act”), this Registration Statement shall also cover any additional shares of common stock which become issuable by reason of any stock dividend, stock split, recapitalization or any other similar transaction effected without the receipt of consideration which results in an increase in the number of the registrant’s outstanding shares of common stock.</w:t>
      </w:r>
    </w:p>
    <w:p>
      <w:pPr>
        <w:spacing w:after="0" w:line="2" w:lineRule="exact"/>
        <w:rPr>
          <w:rFonts w:ascii="Arial" w:cs="Arial" w:eastAsia="Arial" w:hAnsi="Arial"/>
          <w:sz w:val="18"/>
          <w:szCs w:val="18"/>
          <w:color w:val="auto"/>
        </w:rPr>
      </w:pPr>
    </w:p>
    <w:p>
      <w:pPr>
        <w:ind w:left="580" w:right="320" w:hanging="576"/>
        <w:spacing w:after="0" w:line="250"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of common stock reserved and available for future issuance under the registrant’s 2019 Inducement Plan (the “Inducement Plan”).</w:t>
      </w:r>
    </w:p>
    <w:p>
      <w:pPr>
        <w:ind w:left="580" w:hanging="576"/>
        <w:spacing w:after="0"/>
        <w:tabs>
          <w:tab w:leader="none" w:pos="58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Represents shares of common stock available for future issuance upon the exercise of an inducement stock option award granted on</w:t>
      </w:r>
    </w:p>
    <w:p>
      <w:pPr>
        <w:spacing w:after="0" w:line="20" w:lineRule="exact"/>
        <w:rPr>
          <w:rFonts w:ascii="Arial" w:cs="Arial" w:eastAsia="Arial" w:hAnsi="Arial"/>
          <w:sz w:val="17"/>
          <w:szCs w:val="17"/>
          <w:color w:val="auto"/>
        </w:rPr>
      </w:pPr>
    </w:p>
    <w:p>
      <w:pPr>
        <w:ind w:left="580"/>
        <w:spacing w:after="0"/>
        <w:rPr>
          <w:rFonts w:ascii="Arial" w:cs="Arial" w:eastAsia="Arial" w:hAnsi="Arial"/>
          <w:sz w:val="17"/>
          <w:szCs w:val="17"/>
          <w:color w:val="auto"/>
        </w:rPr>
      </w:pPr>
      <w:r>
        <w:rPr>
          <w:rFonts w:ascii="Arial" w:cs="Arial" w:eastAsia="Arial" w:hAnsi="Arial"/>
          <w:sz w:val="16"/>
          <w:szCs w:val="16"/>
          <w:color w:val="auto"/>
        </w:rPr>
        <w:t>December 11, 2019 outside of the registrant’s employee equity compensation plan to a new employee as a material inducement to employment.</w:t>
      </w:r>
    </w:p>
    <w:p>
      <w:pPr>
        <w:spacing w:after="0" w:line="32" w:lineRule="exact"/>
        <w:rPr>
          <w:rFonts w:ascii="Arial" w:cs="Arial" w:eastAsia="Arial" w:hAnsi="Arial"/>
          <w:sz w:val="17"/>
          <w:szCs w:val="17"/>
          <w:color w:val="auto"/>
        </w:rPr>
      </w:pPr>
    </w:p>
    <w:p>
      <w:pPr>
        <w:ind w:left="580" w:right="80" w:hanging="576"/>
        <w:spacing w:after="0" w:line="281" w:lineRule="auto"/>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pursuant to Rule 457(h) of the Securities Act, and based on the average of the high and low sales prices of the registrant’s common stock, as quoted on the Nasdaq Global Select Market, on December 13, 2019.</w:t>
      </w:r>
    </w:p>
    <w:p>
      <w:pPr>
        <w:spacing w:after="0" w:line="1" w:lineRule="exact"/>
        <w:rPr>
          <w:rFonts w:ascii="Arial" w:cs="Arial" w:eastAsia="Arial" w:hAnsi="Arial"/>
          <w:sz w:val="16"/>
          <w:szCs w:val="16"/>
          <w:color w:val="auto"/>
        </w:rPr>
      </w:pPr>
    </w:p>
    <w:p>
      <w:pPr>
        <w:ind w:left="580" w:right="440" w:hanging="576"/>
        <w:spacing w:after="0" w:line="323" w:lineRule="auto"/>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pursuant to Rule 457(h)(1) of the Securities Act. The price per share and proposed maximum aggregate offering price are calculated on the basis of the exercise price of the inducement stock option award.</w:t>
      </w:r>
    </w:p>
    <w:p>
      <w:pPr>
        <w:spacing w:after="0" w:line="13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Proposed sales to take place as soon after the effective date of the Registration Statement as awards are granted, exercised or distributed under the Inducement Plan.</w:t>
      </w:r>
    </w:p>
    <w:p>
      <w:pPr>
        <w:sectPr>
          <w:pgSz w:w="11900" w:h="16838" w:orient="portrait"/>
          <w:cols w:equalWidth="0" w:num="1">
            <w:col w:w="11040"/>
          </w:cols>
          <w:pgMar w:left="440" w:top="270" w:right="41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This Registration Statement on Form S-8 (the “Registration Statement”) is being filed for the purpose of registering (i) 1,800,000 shares of common stock reserved and available for future issuance under the registrant’s 2019 Inducement Plan; and (ii) 93,000 shares of the registrant’s common stock issuable under a previously announced inducement stock option award granted on December 11, 2019.</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3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Plan Information.</w:t>
      </w:r>
    </w:p>
    <w:p>
      <w:pPr>
        <w:spacing w:after="0" w:line="12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documents containing the information specified in this Item 1 will be sent or given to participants as specified by Rule 428(b)(1) under the Securities Act. In accordance with the rules and regulations of the Securities and Exchange Commission (the “Commission”) and the instructions to Form S-8, such documents are not being filed with the Commission either as part of this Registration Statement or as prospectuses or prospectus supplements pursuant to Rule 424 under the Securities Act.</w:t>
      </w:r>
    </w:p>
    <w:p>
      <w:pPr>
        <w:spacing w:after="0" w:line="3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Registrant Information and Employee Plan Annual Information.</w:t>
      </w:r>
    </w:p>
    <w:p>
      <w:pPr>
        <w:spacing w:after="0" w:line="12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documents containing the information specified in this Item 2 will be sent or given to participants as specified by Rule 428(b)(1) under the Securities Act. In accordance with the rules and regulations of the Commission and the instructions to Form S-8, such documents are not being filed with the Commission either as part of this Registration Statement or as prospectuses or prospectus supplements pursuant to Rule 424 under the Securities Act.</w:t>
      </w: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3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registrant hereby incorporates by reference into this Registration Statement the following documents filed with the Commission:</w:t>
      </w:r>
    </w:p>
    <w:p>
      <w:pPr>
        <w:spacing w:after="0" w:line="131" w:lineRule="exact"/>
        <w:rPr>
          <w:sz w:val="20"/>
          <w:szCs w:val="20"/>
          <w:color w:val="auto"/>
        </w:rPr>
      </w:pPr>
    </w:p>
    <w:p>
      <w:pPr>
        <w:ind w:left="980" w:hanging="54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registrant’s Annual Report on </w:t>
      </w:r>
      <w:hyperlink r:id="rId18">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on March 25, 2019;</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registrant’s definitive proxy statement on </w:t>
      </w:r>
      <w:hyperlink r:id="rId19">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on April 26, 2019;</w:t>
      </w:r>
    </w:p>
    <w:p>
      <w:pPr>
        <w:spacing w:after="0" w:line="130" w:lineRule="exact"/>
        <w:rPr>
          <w:rFonts w:ascii="Arial" w:cs="Arial" w:eastAsia="Arial" w:hAnsi="Arial"/>
          <w:sz w:val="18"/>
          <w:szCs w:val="18"/>
          <w:color w:val="auto"/>
        </w:rPr>
      </w:pPr>
    </w:p>
    <w:p>
      <w:pPr>
        <w:ind w:left="980" w:right="40" w:hanging="544"/>
        <w:spacing w:after="0" w:line="264"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registrant’s Quarterly Reports on Form 10-Q for the period ended March 31, 2019 as filed with the Commission on </w:t>
      </w:r>
      <w:hyperlink r:id="rId20">
        <w:r>
          <w:rPr>
            <w:rFonts w:ascii="Arial" w:cs="Arial" w:eastAsia="Arial" w:hAnsi="Arial"/>
            <w:sz w:val="18"/>
            <w:szCs w:val="18"/>
            <w:u w:val="single" w:color="auto"/>
            <w:color w:val="0000EE"/>
          </w:rPr>
          <w:t>May 13, 2019</w:t>
        </w:r>
      </w:hyperlink>
      <w:r>
        <w:rPr>
          <w:rFonts w:ascii="Arial" w:cs="Arial" w:eastAsia="Arial" w:hAnsi="Arial"/>
          <w:sz w:val="18"/>
          <w:szCs w:val="18"/>
          <w:color w:val="auto"/>
        </w:rPr>
        <w:t xml:space="preserve">, for the period ended June 30, 2019 as filed with the Commission on </w:t>
      </w:r>
      <w:hyperlink r:id="rId21">
        <w:r>
          <w:rPr>
            <w:rFonts w:ascii="Arial" w:cs="Arial" w:eastAsia="Arial" w:hAnsi="Arial"/>
            <w:sz w:val="18"/>
            <w:szCs w:val="18"/>
            <w:u w:val="single" w:color="auto"/>
            <w:color w:val="0000EE"/>
          </w:rPr>
          <w:t>August 8, 2019</w:t>
        </w:r>
      </w:hyperlink>
      <w:r>
        <w:rPr>
          <w:rFonts w:ascii="Arial" w:cs="Arial" w:eastAsia="Arial" w:hAnsi="Arial"/>
          <w:sz w:val="18"/>
          <w:szCs w:val="18"/>
          <w:color w:val="auto"/>
        </w:rPr>
        <w:t xml:space="preserve">, and for the period ended September 30, 2019 as filed with the Commission on </w:t>
      </w:r>
      <w:hyperlink r:id="rId22">
        <w:r>
          <w:rPr>
            <w:rFonts w:ascii="Arial" w:cs="Arial" w:eastAsia="Arial" w:hAnsi="Arial"/>
            <w:sz w:val="18"/>
            <w:szCs w:val="18"/>
            <w:u w:val="single" w:color="auto"/>
            <w:color w:val="0000EE"/>
          </w:rPr>
          <w:t>November 7, 2019</w:t>
        </w:r>
      </w:hyperlink>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980" w:right="20" w:hanging="544"/>
        <w:spacing w:after="0" w:line="293" w:lineRule="auto"/>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The registrant’s Current Report on Form 8-K filed on </w:t>
      </w:r>
      <w:hyperlink r:id="rId23">
        <w:r>
          <w:rPr>
            <w:rFonts w:ascii="Arial" w:cs="Arial" w:eastAsia="Arial" w:hAnsi="Arial"/>
            <w:sz w:val="16"/>
            <w:szCs w:val="16"/>
            <w:u w:val="single" w:color="auto"/>
            <w:color w:val="0000EE"/>
          </w:rPr>
          <w:t>January 7, 2019</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(containing items 5.02 and 9.01), as amended by Form 8-K/A filed on </w:t>
      </w:r>
      <w:hyperlink r:id="rId24">
        <w:r>
          <w:rPr>
            <w:rFonts w:ascii="Arial" w:cs="Arial" w:eastAsia="Arial" w:hAnsi="Arial"/>
            <w:sz w:val="16"/>
            <w:szCs w:val="16"/>
            <w:u w:val="single" w:color="auto"/>
            <w:color w:val="0000EE"/>
          </w:rPr>
          <w:t>January 11, 2019</w:t>
        </w:r>
      </w:hyperlink>
      <w:r>
        <w:rPr>
          <w:rFonts w:ascii="Arial" w:cs="Arial" w:eastAsia="Arial" w:hAnsi="Arial"/>
          <w:sz w:val="16"/>
          <w:szCs w:val="16"/>
          <w:color w:val="auto"/>
        </w:rPr>
        <w:t xml:space="preserve">, the registrant’s Current Report on Form 8-K filed on </w:t>
      </w:r>
      <w:hyperlink r:id="rId25">
        <w:r>
          <w:rPr>
            <w:rFonts w:ascii="Arial" w:cs="Arial" w:eastAsia="Arial" w:hAnsi="Arial"/>
            <w:sz w:val="16"/>
            <w:szCs w:val="16"/>
            <w:u w:val="single" w:color="auto"/>
            <w:color w:val="0000EE"/>
          </w:rPr>
          <w:t>January 22, 2019</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(containing items 8.01), the registrant’s Current Report on Form 8-K filed on </w:t>
      </w:r>
      <w:hyperlink r:id="rId26">
        <w:r>
          <w:rPr>
            <w:rFonts w:ascii="Arial" w:cs="Arial" w:eastAsia="Arial" w:hAnsi="Arial"/>
            <w:sz w:val="16"/>
            <w:szCs w:val="16"/>
            <w:u w:val="single" w:color="auto"/>
            <w:color w:val="0000EE"/>
          </w:rPr>
          <w:t>February 6, 2019</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(containing items 8.01 and 9.01), the registrant’s Current Report on Form 8-K filed on </w:t>
      </w:r>
      <w:hyperlink r:id="rId27">
        <w:r>
          <w:rPr>
            <w:rFonts w:ascii="Arial" w:cs="Arial" w:eastAsia="Arial" w:hAnsi="Arial"/>
            <w:sz w:val="16"/>
            <w:szCs w:val="16"/>
            <w:u w:val="single" w:color="auto"/>
            <w:color w:val="0000EE"/>
          </w:rPr>
          <w:t>April 29, 2019</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(containing items 8.01 and 9.01), the registrant’s Current Report on Form 8-K filed on </w:t>
      </w:r>
      <w:hyperlink r:id="rId28">
        <w:r>
          <w:rPr>
            <w:rFonts w:ascii="Arial" w:cs="Arial" w:eastAsia="Arial" w:hAnsi="Arial"/>
            <w:sz w:val="16"/>
            <w:szCs w:val="16"/>
            <w:u w:val="single" w:color="auto"/>
            <w:color w:val="0000EE"/>
          </w:rPr>
          <w:t>June 12, 2019</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(containing items 5.07), the registrant’s Current Report on Form 8-K filed on </w:t>
      </w:r>
      <w:hyperlink r:id="rId29">
        <w:r>
          <w:rPr>
            <w:rFonts w:ascii="Arial" w:cs="Arial" w:eastAsia="Arial" w:hAnsi="Arial"/>
            <w:sz w:val="16"/>
            <w:szCs w:val="16"/>
            <w:u w:val="single" w:color="auto"/>
            <w:color w:val="0000EE"/>
          </w:rPr>
          <w:t>July 15, 2019</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(containing items 8.01 and 9.01), and the registrant’s Current Report on Form 8-K filed on </w:t>
      </w:r>
      <w:hyperlink r:id="rId30">
        <w:r>
          <w:rPr>
            <w:rFonts w:ascii="Arial" w:cs="Arial" w:eastAsia="Arial" w:hAnsi="Arial"/>
            <w:sz w:val="16"/>
            <w:szCs w:val="16"/>
            <w:u w:val="single" w:color="auto"/>
            <w:color w:val="0000EE"/>
          </w:rPr>
          <w:t>July 17, 2019</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(solely with respect to items 1.01, 8.01 and related exhibits filed pursuant to item 9.01); and</w:t>
      </w:r>
    </w:p>
    <w:p>
      <w:pPr>
        <w:spacing w:after="0" w:line="70" w:lineRule="exact"/>
        <w:rPr>
          <w:rFonts w:ascii="Arial" w:cs="Arial" w:eastAsia="Arial" w:hAnsi="Arial"/>
          <w:sz w:val="16"/>
          <w:szCs w:val="16"/>
          <w:color w:val="auto"/>
        </w:rPr>
      </w:pPr>
    </w:p>
    <w:p>
      <w:pPr>
        <w:ind w:left="980" w:right="140" w:hanging="544"/>
        <w:spacing w:after="0" w:line="286" w:lineRule="auto"/>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The description of the registrant’s common stock contained in the registrant’s Registration Statement on </w:t>
      </w:r>
      <w:hyperlink r:id="rId31">
        <w:r>
          <w:rPr>
            <w:rFonts w:ascii="Arial" w:cs="Arial" w:eastAsia="Arial" w:hAnsi="Arial"/>
            <w:sz w:val="17"/>
            <w:szCs w:val="17"/>
            <w:u w:val="single" w:color="auto"/>
            <w:color w:val="0000EE"/>
          </w:rPr>
          <w:t>Form 8-A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(File No. 001-38537), filed by the registrant with the Commission under Section 12(b) of the Securities Exchange Act of 1934, as amended (the “Exchange Act”), on June 18, 2018, including any amendments or reports filed for the purpose of updating such description.</w:t>
      </w:r>
    </w:p>
    <w:p>
      <w:pPr>
        <w:spacing w:after="0" w:line="166" w:lineRule="exact"/>
        <w:rPr>
          <w:rFonts w:ascii="Arial" w:cs="Arial" w:eastAsia="Arial" w:hAnsi="Arial"/>
          <w:sz w:val="16"/>
          <w:szCs w:val="16"/>
          <w:color w:val="auto"/>
        </w:rPr>
      </w:pPr>
    </w:p>
    <w:p>
      <w:pPr>
        <w:spacing w:after="0" w:line="259" w:lineRule="auto"/>
        <w:rPr>
          <w:sz w:val="20"/>
          <w:szCs w:val="20"/>
          <w:color w:val="auto"/>
        </w:rPr>
      </w:pPr>
      <w:r>
        <w:rPr>
          <w:rFonts w:ascii="Arial" w:cs="Arial" w:eastAsia="Arial" w:hAnsi="Arial"/>
          <w:sz w:val="18"/>
          <w:szCs w:val="18"/>
          <w:color w:val="auto"/>
        </w:rPr>
        <w:t>All documents that the registrant subsequently files pursuant to Sections 13(a), 13(c), 14 and 15(d) of the Exchange Act prior to the filing of a post-effective amendment to this registration statement which indicates that all of the shares of common stock offered have been sold or which deregisters all of such shares then remaining unsold, shall be deemed to be incorporated by reference in this registration statement and to be a part hereof from the date of the filing of such documents.</w:t>
      </w:r>
    </w:p>
    <w:p>
      <w:pPr>
        <w:sectPr>
          <w:pgSz w:w="11900" w:h="16838" w:orient="portrait"/>
          <w:cols w:equalWidth="0" w:num="1">
            <w:col w:w="10980"/>
          </w:cols>
          <w:pgMar w:left="440" w:top="270" w:right="479" w:bottom="1440" w:gutter="0" w:footer="0" w:header="0"/>
        </w:sectPr>
      </w:pPr>
    </w:p>
    <w:bookmarkStart w:id="3" w:name="page4"/>
    <w:bookmarkEnd w:id="3"/>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statement contained in a document incorporated or deemed to be incorporated by reference herein shall be deemed to be modified or superseded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Under no circumstances will any information filed under current items 2.02 or 7.01 of Form 8-K be deemed incorporated herein by reference unless such Form 8-K expressly provides to the contrary.</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Description of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Section 145 of the Delaware General Corporation Law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spacing w:after="0" w:line="166"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We have adopted provisions in our certificate of incorporation and bylaws that limit or eliminate the personal liability of our directors to the fullest extent permitted by the DGCL, as it now exists or may in the future be amended. Consequently, a director will not be personally liable to us or our stockholders for monetary damages or breach of fiduciary duty as a director, except for liability for:</w:t>
      </w:r>
    </w:p>
    <w:p>
      <w:pPr>
        <w:spacing w:after="0" w:line="87" w:lineRule="exact"/>
        <w:rPr>
          <w:sz w:val="20"/>
          <w:szCs w:val="20"/>
          <w:color w:val="auto"/>
        </w:rPr>
      </w:pPr>
    </w:p>
    <w:p>
      <w:pPr>
        <w:ind w:left="980" w:hanging="43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unlawful payments related to dividends or unlawful stock purchases, redemptions or other distributions; or</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These limitations of liability do not alter director liability under the federal securities laws and do not affect the availability of equitable remedies such as an injunction or rescission.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addition, our bylaws provide that:</w:t>
      </w:r>
    </w:p>
    <w:p>
      <w:pPr>
        <w:spacing w:after="0" w:line="131" w:lineRule="exact"/>
        <w:rPr>
          <w:sz w:val="20"/>
          <w:szCs w:val="20"/>
          <w:color w:val="auto"/>
        </w:rPr>
      </w:pPr>
    </w:p>
    <w:p>
      <w:pPr>
        <w:ind w:left="980" w:right="220" w:hanging="436"/>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indemnify our directors, officers and, in the discretion of our board of directors, certain employees to the fullest extent permitted by the DGCL, as it now exists or may in the future be amended; and</w:t>
      </w:r>
    </w:p>
    <w:p>
      <w:pPr>
        <w:spacing w:after="0" w:line="75" w:lineRule="exact"/>
        <w:rPr>
          <w:rFonts w:ascii="Arial" w:cs="Arial" w:eastAsia="Arial" w:hAnsi="Arial"/>
          <w:sz w:val="18"/>
          <w:szCs w:val="18"/>
          <w:color w:val="auto"/>
        </w:rPr>
      </w:pPr>
    </w:p>
    <w:p>
      <w:pPr>
        <w:jc w:val="both"/>
        <w:ind w:left="980" w:right="440" w:hanging="436"/>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advance reasonable expenses, including attorneys’ fees, to our directors and, in the discretion of our board of directors, to our officers and certain employees, in connection with legal proceedings relating to their service for or on behalf of us, subject to limited exceptions.</w:t>
      </w:r>
    </w:p>
    <w:p>
      <w:pPr>
        <w:spacing w:after="0" w:line="18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These agreements provide that we will indemnify each of our directors, certain of our executive officers and, at times, their affiliates to the fullest extent permitted by Delaware law. We will advance expenses, including attorneys’ fees (but excluding judgments, fines and settlement amounts), to each indemnified director or executive officer in connection with any proceeding in which indemnification is available and we will indemnify our directors and officers for any action or proceeding arising out of that person’s services as a director or officer brought on behalf of us or in furtherance of our rights. Additionally, certain of our directors or officers may have certain rights to indemnification, advancement of expenses or insurance provided by their affiliates or other third parties, which indemnification relates to and might apply to the same proceedings arising out of such director’s or officer’s services as a director referenced herein. Nonetheless, we have agreed in the indemnification agreements that our obligations to those same directors or officers are primary and any obligation of such affiliates or other third parties to advance expenses or to provide indemnification for the expenses or liabilities incurred by those directors are secondary.</w:t>
      </w:r>
    </w:p>
    <w:p>
      <w:pPr>
        <w:sectPr>
          <w:pgSz w:w="11900" w:h="16838" w:orient="portrait"/>
          <w:cols w:equalWidth="0" w:num="1">
            <w:col w:w="11020"/>
          </w:cols>
          <w:pgMar w:left="440" w:top="274" w:right="439" w:bottom="1440" w:gutter="0" w:footer="0" w:header="0"/>
        </w:sectPr>
      </w:pPr>
    </w:p>
    <w:bookmarkStart w:id="4" w:name="page5"/>
    <w:bookmarkEnd w:id="4"/>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also maintain general liability insurance which covers certain liabilities of our directors and officers arising out of claims based on acts or omissions in their capacities as directors or officers, including liabilities under the Securities Act.</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gridSpan w:val="3"/>
          </w:tcPr>
          <w:p>
            <w:pPr>
              <w:spacing w:after="0"/>
              <w:rPr>
                <w:sz w:val="20"/>
                <w:szCs w:val="20"/>
                <w:color w:val="auto"/>
              </w:rPr>
            </w:pPr>
            <w:r>
              <w:rPr>
                <w:rFonts w:ascii="Arial" w:cs="Arial" w:eastAsia="Arial" w:hAnsi="Arial"/>
                <w:sz w:val="18"/>
                <w:szCs w:val="18"/>
                <w:b w:val="1"/>
                <w:bCs w:val="1"/>
                <w:color w:val="auto"/>
              </w:rPr>
              <w:t>Item 8.</w:t>
            </w:r>
          </w:p>
        </w:tc>
        <w:tc>
          <w:tcPr>
            <w:tcW w:w="5560" w:type="dxa"/>
            <w:vAlign w:val="bottom"/>
            <w:gridSpan w:val="2"/>
          </w:tcPr>
          <w:p>
            <w:pPr>
              <w:ind w:left="2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648"/>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560" w:type="dxa"/>
            <w:vAlign w:val="bottom"/>
            <w:gridSpan w:val="2"/>
          </w:tcPr>
          <w:p>
            <w:pPr>
              <w:ind w:left="40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5560" w:type="dxa"/>
            <w:vAlign w:val="bottom"/>
            <w:gridSpan w:val="2"/>
            <w:vMerge w:val="restart"/>
          </w:tcPr>
          <w:p>
            <w:pPr>
              <w:ind w:left="484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Arial" w:cs="Arial" w:eastAsia="Arial" w:hAnsi="Arial"/>
                <w:sz w:val="14"/>
                <w:szCs w:val="14"/>
                <w:b w:val="1"/>
                <w:bCs w:val="1"/>
                <w:color w:val="auto"/>
                <w:w w:val="88"/>
              </w:rPr>
              <w:t>No.</w:t>
            </w:r>
          </w:p>
        </w:tc>
        <w:tc>
          <w:tcPr>
            <w:tcW w:w="420" w:type="dxa"/>
            <w:vAlign w:val="bottom"/>
          </w:tcPr>
          <w:p>
            <w:pPr>
              <w:spacing w:after="0"/>
              <w:rPr>
                <w:sz w:val="14"/>
                <w:szCs w:val="14"/>
                <w:color w:val="auto"/>
              </w:rPr>
            </w:pPr>
          </w:p>
        </w:tc>
        <w:tc>
          <w:tcPr>
            <w:tcW w:w="5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100"/>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r:id="rId34">
        <w:r>
          <w:rPr>
            <w:rFonts w:ascii="Arial" w:cs="Arial" w:eastAsia="Arial" w:hAnsi="Arial"/>
            <w:sz w:val="16"/>
            <w:szCs w:val="16"/>
            <w:u w:val="single" w:color="auto"/>
            <w:color w:val="0000EE"/>
          </w:rPr>
          <w:t>Fourth Amended and Restated Certificate of Incorporation of the Registrant (filed as Exhibit 3.1 to the Registrant’s Current Report on Form</w:t>
        </w:r>
      </w:hyperlink>
    </w:p>
    <w:p>
      <w:pPr>
        <w:spacing w:after="0" w:line="23" w:lineRule="exact"/>
        <w:rPr>
          <w:sz w:val="20"/>
          <w:szCs w:val="20"/>
          <w:color w:val="auto"/>
        </w:rPr>
      </w:pPr>
    </w:p>
    <w:p>
      <w:pPr>
        <w:ind w:left="880"/>
        <w:spacing w:after="0"/>
        <w:rPr>
          <w:rFonts w:ascii="Arial" w:cs="Arial" w:eastAsia="Arial" w:hAnsi="Arial"/>
          <w:sz w:val="18"/>
          <w:szCs w:val="18"/>
          <w:u w:val="single" w:color="auto"/>
          <w:color w:val="0000EE"/>
        </w:rPr>
      </w:pPr>
      <w:hyperlink r:id="rId34">
        <w:r>
          <w:rPr>
            <w:rFonts w:ascii="Arial" w:cs="Arial" w:eastAsia="Arial" w:hAnsi="Arial"/>
            <w:sz w:val="18"/>
            <w:szCs w:val="18"/>
            <w:u w:val="single" w:color="auto"/>
            <w:color w:val="0000EE"/>
          </w:rPr>
          <w:t>8-K filed on June 25, 2018 (File No. 001-38537) and incorporated herein by reference)</w:t>
        </w:r>
      </w:hyperlink>
    </w:p>
    <w:p>
      <w:pPr>
        <w:spacing w:after="0" w:line="103" w:lineRule="exact"/>
        <w:rPr>
          <w:sz w:val="20"/>
          <w:szCs w:val="20"/>
          <w:color w:val="auto"/>
        </w:rPr>
      </w:pPr>
    </w:p>
    <w:p>
      <w:pPr>
        <w:ind w:left="880" w:right="780" w:hanging="787"/>
        <w:spacing w:after="0" w:line="277"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4.2</w:t>
      </w:r>
      <w:r>
        <w:rPr>
          <w:sz w:val="20"/>
          <w:szCs w:val="20"/>
          <w:color w:val="auto"/>
        </w:rPr>
        <w:tab/>
      </w:r>
      <w:hyperlink r:id="rId35">
        <w:r>
          <w:rPr>
            <w:rFonts w:ascii="Arial" w:cs="Arial" w:eastAsia="Arial" w:hAnsi="Arial"/>
            <w:sz w:val="18"/>
            <w:szCs w:val="18"/>
            <w:u w:val="single" w:color="auto"/>
            <w:color w:val="0000EE"/>
          </w:rPr>
          <w:t>Amended and Restated By-laws (filed as Exhibit 3.2 to the Registrant’s Current Report on Form 8-K filed on June 25, 2018 (File</w:t>
        </w:r>
      </w:hyperlink>
      <w:r>
        <w:rPr>
          <w:rFonts w:ascii="Arial" w:cs="Arial" w:eastAsia="Arial" w:hAnsi="Arial"/>
          <w:sz w:val="18"/>
          <w:szCs w:val="18"/>
          <w:u w:val="single" w:color="auto"/>
          <w:color w:val="0000EE"/>
        </w:rPr>
        <w:t xml:space="preserve"> </w:t>
      </w:r>
      <w:hyperlink r:id="rId35">
        <w:r>
          <w:rPr>
            <w:rFonts w:ascii="Arial" w:cs="Arial" w:eastAsia="Arial" w:hAnsi="Arial"/>
            <w:sz w:val="18"/>
            <w:szCs w:val="18"/>
            <w:u w:val="single" w:color="auto"/>
            <w:color w:val="0000EE"/>
          </w:rPr>
          <w:t>No. 001-38537) and incorporated herein by reference)</w:t>
        </w:r>
      </w:hyperlink>
    </w:p>
    <w:p>
      <w:pPr>
        <w:spacing w:after="0" w:line="62" w:lineRule="exact"/>
        <w:rPr>
          <w:sz w:val="20"/>
          <w:szCs w:val="20"/>
          <w:color w:val="auto"/>
        </w:rPr>
      </w:pPr>
    </w:p>
    <w:p>
      <w:pPr>
        <w:ind w:left="880" w:right="20" w:hanging="787"/>
        <w:spacing w:after="0" w:line="264"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4.3</w:t>
      </w:r>
      <w:r>
        <w:rPr>
          <w:sz w:val="20"/>
          <w:szCs w:val="20"/>
          <w:color w:val="auto"/>
        </w:rPr>
        <w:tab/>
      </w:r>
      <w:hyperlink r:id="rId36">
        <w:r>
          <w:rPr>
            <w:rFonts w:ascii="Arial" w:cs="Arial" w:eastAsia="Arial" w:hAnsi="Arial"/>
            <w:sz w:val="18"/>
            <w:szCs w:val="18"/>
            <w:u w:val="single" w:color="auto"/>
            <w:color w:val="0000EE"/>
          </w:rPr>
          <w:t>Second Amended and Restated Investors’ Rights Agreement among the Registrant and certain of its stockholders, dated January 9, 2018</w:t>
        </w:r>
      </w:hyperlink>
      <w:r>
        <w:rPr>
          <w:rFonts w:ascii="Arial" w:cs="Arial" w:eastAsia="Arial" w:hAnsi="Arial"/>
          <w:sz w:val="18"/>
          <w:szCs w:val="18"/>
          <w:u w:val="single" w:color="auto"/>
          <w:color w:val="0000EE"/>
        </w:rPr>
        <w:t xml:space="preserve"> </w:t>
      </w:r>
      <w:hyperlink r:id="rId36">
        <w:r>
          <w:rPr>
            <w:rFonts w:ascii="Arial" w:cs="Arial" w:eastAsia="Arial" w:hAnsi="Arial"/>
            <w:sz w:val="18"/>
            <w:szCs w:val="18"/>
            <w:u w:val="single" w:color="auto"/>
            <w:color w:val="0000EE"/>
          </w:rPr>
          <w:t>(filed as Exhibit 4.2 to the Registrant’s Registration Statement on Form S-1 filed on May 25, 2018 (File No. 333-225213) and incorporated</w:t>
        </w:r>
      </w:hyperlink>
      <w:r>
        <w:rPr>
          <w:rFonts w:ascii="Arial" w:cs="Arial" w:eastAsia="Arial" w:hAnsi="Arial"/>
          <w:sz w:val="18"/>
          <w:szCs w:val="18"/>
          <w:u w:val="single" w:color="auto"/>
          <w:color w:val="0000EE"/>
        </w:rPr>
        <w:t xml:space="preserve"> </w:t>
      </w:r>
      <w:hyperlink r:id="rId36">
        <w:r>
          <w:rPr>
            <w:rFonts w:ascii="Arial" w:cs="Arial" w:eastAsia="Arial" w:hAnsi="Arial"/>
            <w:sz w:val="18"/>
            <w:szCs w:val="18"/>
            <w:u w:val="single" w:color="auto"/>
            <w:color w:val="0000EE"/>
          </w:rPr>
          <w:t>herein by reference)</w:t>
        </w:r>
      </w:hyperlink>
    </w:p>
    <w:p>
      <w:pPr>
        <w:spacing w:after="0" w:line="73" w:lineRule="exact"/>
        <w:rPr>
          <w:rFonts w:ascii="Arial" w:cs="Arial" w:eastAsia="Arial" w:hAnsi="Arial"/>
          <w:sz w:val="18"/>
          <w:szCs w:val="18"/>
          <w:u w:val="single" w:color="auto"/>
          <w:color w:val="0000EE"/>
        </w:rPr>
      </w:pPr>
    </w:p>
    <w:p>
      <w:pPr>
        <w:ind w:left="100"/>
        <w:spacing w:after="0"/>
        <w:tabs>
          <w:tab w:leader="none" w:pos="860" w:val="left"/>
        </w:tabs>
        <w:rPr>
          <w:rFonts w:ascii="Arial" w:cs="Arial" w:eastAsia="Arial" w:hAnsi="Arial"/>
          <w:sz w:val="17"/>
          <w:szCs w:val="17"/>
          <w:u w:val="single" w:color="auto"/>
          <w:color w:val="0000EE"/>
        </w:rPr>
      </w:pPr>
      <w:r>
        <w:rPr>
          <w:rFonts w:ascii="Arial" w:cs="Arial" w:eastAsia="Arial" w:hAnsi="Arial"/>
          <w:sz w:val="18"/>
          <w:szCs w:val="18"/>
          <w:color w:val="auto"/>
        </w:rPr>
        <w:t>5.1*</w:t>
      </w:r>
      <w:r>
        <w:rPr>
          <w:sz w:val="20"/>
          <w:szCs w:val="20"/>
          <w:color w:val="auto"/>
        </w:rPr>
        <w:tab/>
      </w:r>
      <w:hyperlink w:anchor="page8">
        <w:r>
          <w:rPr>
            <w:rFonts w:ascii="Arial" w:cs="Arial" w:eastAsia="Arial" w:hAnsi="Arial"/>
            <w:sz w:val="17"/>
            <w:szCs w:val="17"/>
            <w:u w:val="single" w:color="auto"/>
            <w:color w:val="0000EE"/>
          </w:rPr>
          <w:t>Opinion of Goodwin Procter LLP</w:t>
        </w:r>
      </w:hyperlink>
    </w:p>
    <w:p>
      <w:pPr>
        <w:spacing w:after="0" w:line="117" w:lineRule="exact"/>
        <w:rPr>
          <w:rFonts w:ascii="Arial" w:cs="Arial" w:eastAsia="Arial" w:hAnsi="Arial"/>
          <w:sz w:val="18"/>
          <w:szCs w:val="18"/>
          <w:u w:val="single" w:color="auto"/>
          <w:color w:val="0000EE"/>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9">
        <w:r>
          <w:rPr>
            <w:rFonts w:ascii="Arial" w:cs="Arial" w:eastAsia="Arial" w:hAnsi="Arial"/>
            <w:sz w:val="16"/>
            <w:szCs w:val="16"/>
            <w:u w:val="single" w:color="auto"/>
            <w:color w:val="0000EE"/>
          </w:rPr>
          <w:t>Consent of Ernst &amp; Young LLP, Independent Registered Public Accounting Firm</w:t>
        </w:r>
      </w:hyperlink>
    </w:p>
    <w:p>
      <w:pPr>
        <w:spacing w:after="0" w:line="117" w:lineRule="exact"/>
        <w:rPr>
          <w:rFonts w:ascii="Arial" w:cs="Arial" w:eastAsia="Arial" w:hAnsi="Arial"/>
          <w:sz w:val="18"/>
          <w:szCs w:val="18"/>
          <w:u w:val="single" w:color="auto"/>
          <w:color w:val="0000EE"/>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23.2*</w:t>
      </w:r>
      <w:r>
        <w:rPr>
          <w:sz w:val="20"/>
          <w:szCs w:val="20"/>
          <w:color w:val="auto"/>
        </w:rPr>
        <w:tab/>
      </w:r>
      <w:hyperlink w:anchor="page8">
        <w:r>
          <w:rPr>
            <w:rFonts w:ascii="Arial" w:cs="Arial" w:eastAsia="Arial" w:hAnsi="Arial"/>
            <w:sz w:val="16"/>
            <w:szCs w:val="16"/>
            <w:u w:val="single" w:color="auto"/>
            <w:color w:val="0000EE"/>
          </w:rPr>
          <w:t>Consent of Goodwin Procter LLP (included in Exhibit 5.1)</w:t>
        </w:r>
      </w:hyperlink>
    </w:p>
    <w:p>
      <w:pPr>
        <w:spacing w:after="0" w:line="117" w:lineRule="exact"/>
        <w:rPr>
          <w:rFonts w:ascii="Arial" w:cs="Arial" w:eastAsia="Arial" w:hAnsi="Arial"/>
          <w:sz w:val="18"/>
          <w:szCs w:val="18"/>
          <w:u w:val="single" w:color="auto"/>
          <w:color w:val="0000EE"/>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24.1*</w:t>
      </w:r>
      <w:r>
        <w:rPr>
          <w:sz w:val="20"/>
          <w:szCs w:val="20"/>
          <w:color w:val="auto"/>
        </w:rPr>
        <w:tab/>
      </w:r>
      <w:hyperlink w:anchor="page7">
        <w:r>
          <w:rPr>
            <w:rFonts w:ascii="Arial" w:cs="Arial" w:eastAsia="Arial" w:hAnsi="Arial"/>
            <w:sz w:val="16"/>
            <w:szCs w:val="16"/>
            <w:u w:val="single" w:color="auto"/>
            <w:color w:val="0000EE"/>
          </w:rPr>
          <w:t>Power of Attorney (included on signature page)</w:t>
        </w:r>
      </w:hyperlink>
    </w:p>
    <w:p>
      <w:pPr>
        <w:spacing w:after="0" w:line="117" w:lineRule="exact"/>
        <w:rPr>
          <w:rFonts w:ascii="Arial" w:cs="Arial" w:eastAsia="Arial" w:hAnsi="Arial"/>
          <w:sz w:val="18"/>
          <w:szCs w:val="18"/>
          <w:u w:val="single" w:color="auto"/>
          <w:color w:val="0000EE"/>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10">
        <w:r>
          <w:rPr>
            <w:rFonts w:ascii="Arial" w:cs="Arial" w:eastAsia="Arial" w:hAnsi="Arial"/>
            <w:sz w:val="16"/>
            <w:szCs w:val="16"/>
            <w:u w:val="single" w:color="auto"/>
            <w:color w:val="0000EE"/>
          </w:rPr>
          <w:t>AVROBIO, Inc. 2019 Inducement Plan and form of award agreement thereunder</w:t>
        </w:r>
      </w:hyperlink>
    </w:p>
    <w:p>
      <w:pPr>
        <w:spacing w:after="0" w:line="117" w:lineRule="exact"/>
        <w:rPr>
          <w:rFonts w:ascii="Arial" w:cs="Arial" w:eastAsia="Arial" w:hAnsi="Arial"/>
          <w:sz w:val="18"/>
          <w:szCs w:val="18"/>
          <w:u w:val="single" w:color="auto"/>
          <w:color w:val="0000EE"/>
        </w:rPr>
      </w:pPr>
    </w:p>
    <w:p>
      <w:pPr>
        <w:ind w:left="880" w:right="300" w:hanging="877"/>
        <w:spacing w:after="0" w:line="277"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99.2</w:t>
      </w:r>
      <w:r>
        <w:rPr>
          <w:sz w:val="20"/>
          <w:szCs w:val="20"/>
          <w:color w:val="auto"/>
        </w:rPr>
        <w:tab/>
      </w:r>
      <w:hyperlink r:id="rId37">
        <w:r>
          <w:rPr>
            <w:rFonts w:ascii="Arial" w:cs="Arial" w:eastAsia="Arial" w:hAnsi="Arial"/>
            <w:sz w:val="18"/>
            <w:szCs w:val="18"/>
            <w:u w:val="single" w:color="auto"/>
            <w:color w:val="0000EE"/>
          </w:rPr>
          <w:t>AVROBIO, Inc. Form of Inducement Stock Option Award (filed as Exhibit 99.1 to the Registrant’s Registration Statement on Form S-8</w:t>
        </w:r>
      </w:hyperlink>
      <w:r>
        <w:rPr>
          <w:rFonts w:ascii="Arial" w:cs="Arial" w:eastAsia="Arial" w:hAnsi="Arial"/>
          <w:sz w:val="18"/>
          <w:szCs w:val="18"/>
          <w:u w:val="single" w:color="auto"/>
          <w:color w:val="0000EE"/>
        </w:rPr>
        <w:t xml:space="preserve"> </w:t>
      </w:r>
      <w:hyperlink r:id="rId37">
        <w:r>
          <w:rPr>
            <w:rFonts w:ascii="Arial" w:cs="Arial" w:eastAsia="Arial" w:hAnsi="Arial"/>
            <w:sz w:val="18"/>
            <w:szCs w:val="18"/>
            <w:u w:val="single" w:color="auto"/>
            <w:color w:val="0000EE"/>
          </w:rPr>
          <w:t>filed on March 25, 2019 (File No. 333-230493)) and incorporated herein by reference)</w:t>
        </w:r>
      </w:hyperlink>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The registrant hereby undertakes:</w:t>
      </w:r>
    </w:p>
    <w:p>
      <w:pPr>
        <w:spacing w:after="0" w:line="117" w:lineRule="exact"/>
        <w:rPr>
          <w:sz w:val="20"/>
          <w:szCs w:val="20"/>
          <w:color w:val="auto"/>
        </w:rPr>
      </w:pPr>
    </w:p>
    <w:p>
      <w:pPr>
        <w:ind w:left="260" w:hanging="256"/>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w:t>
      </w:r>
    </w:p>
    <w:p>
      <w:pPr>
        <w:spacing w:after="0" w:line="117" w:lineRule="exact"/>
        <w:rPr>
          <w:sz w:val="20"/>
          <w:szCs w:val="20"/>
          <w:color w:val="auto"/>
        </w:rPr>
      </w:pPr>
    </w:p>
    <w:p>
      <w:pPr>
        <w:ind w:right="120" w:firstLine="4"/>
        <w:spacing w:after="0" w:line="293" w:lineRule="auto"/>
        <w:tabs>
          <w:tab w:leader="none" w:pos="265"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56" w:lineRule="exact"/>
        <w:rPr>
          <w:rFonts w:ascii="Arial" w:cs="Arial" w:eastAsia="Arial" w:hAnsi="Arial"/>
          <w:sz w:val="16"/>
          <w:szCs w:val="16"/>
          <w:color w:val="auto"/>
        </w:rPr>
      </w:pPr>
    </w:p>
    <w:p>
      <w:pPr>
        <w:ind w:right="280" w:firstLine="4"/>
        <w:spacing w:after="0" w:line="277" w:lineRule="auto"/>
        <w:tabs>
          <w:tab w:leader="none" w:pos="315"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that paragraphs (a)(1)(i) and (a)(1)(ii) herein do not apply if the information required to be included in a post-effective amendment</w:t>
      </w:r>
      <w:r>
        <w:rPr>
          <w:rFonts w:ascii="Arial" w:cs="Arial" w:eastAsia="Arial" w:hAnsi="Arial"/>
          <w:sz w:val="17"/>
          <w:szCs w:val="17"/>
          <w:i w:val="1"/>
          <w:iCs w:val="1"/>
          <w:color w:val="auto"/>
        </w:rPr>
        <w:t xml:space="preserve"> </w:t>
      </w:r>
      <w:r>
        <w:rPr>
          <w:rFonts w:ascii="Arial" w:cs="Arial" w:eastAsia="Arial" w:hAnsi="Arial"/>
          <w:sz w:val="17"/>
          <w:szCs w:val="17"/>
          <w:color w:val="auto"/>
        </w:rPr>
        <w:t>by those paragraphs is contained in reports filed with or furnished to the Commission by the registrant pursuant to Section 13 or Section 15(d) of the Exchange Act (15 U.S.C. 78m or 78o(d)) that are incorporated by reference in the registration statement.</w:t>
      </w:r>
    </w:p>
    <w:p>
      <w:pPr>
        <w:sectPr>
          <w:pgSz w:w="11900" w:h="16838" w:orient="portrait"/>
          <w:cols w:equalWidth="0" w:num="1">
            <w:col w:w="10960"/>
          </w:cols>
          <w:pgMar w:left="440" w:top="274" w:right="499" w:bottom="1440" w:gutter="0" w:footer="0" w:header="0"/>
        </w:sectPr>
      </w:pPr>
    </w:p>
    <w:bookmarkStart w:id="5" w:name="page6"/>
    <w:bookmarkEnd w:id="5"/>
    <w:p>
      <w:pPr>
        <w:ind w:left="-4" w:right="120" w:firstLine="4"/>
        <w:spacing w:after="0" w:line="264" w:lineRule="auto"/>
        <w:tabs>
          <w:tab w:leader="none" w:pos="251"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73" w:lineRule="exact"/>
        <w:rPr>
          <w:rFonts w:ascii="Arial" w:cs="Arial" w:eastAsia="Arial" w:hAnsi="Arial"/>
          <w:sz w:val="18"/>
          <w:szCs w:val="18"/>
          <w:color w:val="auto"/>
        </w:rPr>
      </w:pPr>
    </w:p>
    <w:p>
      <w:pPr>
        <w:ind w:left="-4" w:firstLine="4"/>
        <w:spacing w:after="0" w:line="277" w:lineRule="auto"/>
        <w:tabs>
          <w:tab w:leader="none" w:pos="251"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sz w:val="20"/>
          <w:szCs w:val="20"/>
          <w:color w:val="auto"/>
        </w:rPr>
      </w:pPr>
    </w:p>
    <w:p>
      <w:pPr>
        <w:ind w:left="-4" w:right="120" w:firstLine="4"/>
        <w:spacing w:after="0" w:line="257" w:lineRule="auto"/>
        <w:tabs>
          <w:tab w:leader="none" w:pos="25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0" w:lineRule="exact"/>
        <w:rPr>
          <w:sz w:val="20"/>
          <w:szCs w:val="20"/>
          <w:color w:val="auto"/>
        </w:rPr>
      </w:pPr>
    </w:p>
    <w:p>
      <w:pPr>
        <w:ind w:left="-4" w:right="40" w:firstLine="4"/>
        <w:spacing w:after="0" w:line="254" w:lineRule="auto"/>
        <w:tabs>
          <w:tab w:leader="none" w:pos="251"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996"/>
          </w:cols>
          <w:pgMar w:left="444" w:top="274" w:right="45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Cambridge, Commonwealth of Massachusetts, on the 20</w:t>
      </w:r>
      <w:r>
        <w:rPr>
          <w:rFonts w:ascii="Arial" w:cs="Arial" w:eastAsia="Arial" w:hAnsi="Arial"/>
          <w:sz w:val="15"/>
          <w:szCs w:val="15"/>
          <w:color w:val="auto"/>
        </w:rPr>
        <w:t>th</w:t>
      </w:r>
      <w:r>
        <w:rPr>
          <w:rFonts w:ascii="Arial" w:cs="Arial" w:eastAsia="Arial" w:hAnsi="Arial"/>
          <w:sz w:val="18"/>
          <w:szCs w:val="18"/>
          <w:color w:val="auto"/>
        </w:rPr>
        <w:t xml:space="preserve"> day of December, 2019.</w:t>
      </w:r>
    </w:p>
    <w:p>
      <w:pPr>
        <w:spacing w:after="0" w:line="20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AVROBIO,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Geoff MacKay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President, Chief Executive Officer and</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 AND SIGNATURES</w:t>
      </w:r>
    </w:p>
    <w:p>
      <w:pPr>
        <w:spacing w:after="0" w:line="229"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KNOW ALL BY THESE PRESENT, that each individual whose signature appears below hereby constitutes and appoints each of Geoff MacKay and Erik Ostrowski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on Form S-8, and to file the same, with all exhibits thereto, and all documents in connection therewith, with the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 indicated.</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720" w:type="dxa"/>
            <w:vAlign w:val="bottom"/>
          </w:tcPr>
          <w:p>
            <w:pPr>
              <w:jc w:val="center"/>
              <w:spacing w:after="0"/>
              <w:rPr>
                <w:sz w:val="20"/>
                <w:szCs w:val="20"/>
                <w:color w:val="auto"/>
              </w:rPr>
            </w:pPr>
            <w:r>
              <w:rPr>
                <w:rFonts w:ascii="Arial" w:cs="Arial" w:eastAsia="Arial" w:hAnsi="Arial"/>
                <w:sz w:val="14"/>
                <w:szCs w:val="14"/>
                <w:b w:val="1"/>
                <w:bCs w:val="1"/>
                <w:color w:val="auto"/>
                <w:w w:val="94"/>
              </w:rPr>
              <w:t>Name</w:t>
            </w:r>
          </w:p>
        </w:tc>
        <w:tc>
          <w:tcPr>
            <w:tcW w:w="4320" w:type="dxa"/>
            <w:vAlign w:val="bottom"/>
          </w:tcPr>
          <w:p>
            <w:pPr>
              <w:jc w:val="center"/>
              <w:ind w:left="192"/>
              <w:spacing w:after="0"/>
              <w:rPr>
                <w:sz w:val="20"/>
                <w:szCs w:val="20"/>
                <w:color w:val="auto"/>
              </w:rPr>
            </w:pPr>
            <w:r>
              <w:rPr>
                <w:rFonts w:ascii="Arial" w:cs="Arial" w:eastAsia="Arial" w:hAnsi="Arial"/>
                <w:sz w:val="14"/>
                <w:szCs w:val="14"/>
                <w:b w:val="1"/>
                <w:bCs w:val="1"/>
                <w:color w:val="auto"/>
                <w:w w:val="97"/>
              </w:rPr>
              <w:t>Title</w:t>
            </w:r>
          </w:p>
        </w:tc>
        <w:tc>
          <w:tcPr>
            <w:tcW w:w="1700" w:type="dxa"/>
            <w:vAlign w:val="bottom"/>
          </w:tcPr>
          <w:p>
            <w:pPr>
              <w:ind w:left="980"/>
              <w:spacing w:after="0"/>
              <w:rPr>
                <w:sz w:val="20"/>
                <w:szCs w:val="20"/>
                <w:color w:val="auto"/>
              </w:rPr>
            </w:pPr>
            <w:r>
              <w:rPr>
                <w:rFonts w:ascii="Arial" w:cs="Arial" w:eastAsia="Arial" w:hAnsi="Arial"/>
                <w:sz w:val="14"/>
                <w:szCs w:val="14"/>
                <w:b w:val="1"/>
                <w:bCs w:val="1"/>
                <w:color w:val="auto"/>
              </w:rPr>
              <w:t>Date</w:t>
            </w:r>
          </w:p>
        </w:tc>
      </w:tr>
      <w:tr>
        <w:trPr>
          <w:trHeight w:val="417"/>
        </w:trPr>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Geoff MacKay</w:t>
            </w:r>
          </w:p>
        </w:tc>
        <w:tc>
          <w:tcPr>
            <w:tcW w:w="4320" w:type="dxa"/>
            <w:vAlign w:val="bottom"/>
          </w:tcPr>
          <w:p>
            <w:pPr>
              <w:jc w:val="center"/>
              <w:ind w:left="192"/>
              <w:spacing w:after="0"/>
              <w:rPr>
                <w:sz w:val="20"/>
                <w:szCs w:val="20"/>
                <w:color w:val="auto"/>
              </w:rPr>
            </w:pPr>
            <w:r>
              <w:rPr>
                <w:rFonts w:ascii="Arial" w:cs="Arial" w:eastAsia="Arial" w:hAnsi="Arial"/>
                <w:sz w:val="18"/>
                <w:szCs w:val="18"/>
                <w:i w:val="1"/>
                <w:iCs w:val="1"/>
                <w:color w:val="auto"/>
                <w:w w:val="92"/>
              </w:rPr>
              <w:t>Director, President, Chief Executive Officer and</w:t>
            </w:r>
          </w:p>
        </w:tc>
        <w:tc>
          <w:tcPr>
            <w:tcW w:w="1700" w:type="dxa"/>
            <w:vAlign w:val="bottom"/>
          </w:tcPr>
          <w:p>
            <w:pPr>
              <w:ind w:left="280"/>
              <w:spacing w:after="0"/>
              <w:rPr>
                <w:sz w:val="20"/>
                <w:szCs w:val="20"/>
                <w:color w:val="auto"/>
              </w:rPr>
            </w:pPr>
            <w:r>
              <w:rPr>
                <w:rFonts w:ascii="Arial" w:cs="Arial" w:eastAsia="Arial" w:hAnsi="Arial"/>
                <w:sz w:val="18"/>
                <w:szCs w:val="18"/>
                <w:color w:val="auto"/>
                <w:w w:val="88"/>
              </w:rPr>
              <w:t>December 20, 2019</w:t>
            </w:r>
          </w:p>
        </w:tc>
      </w:tr>
      <w:tr>
        <w:trPr>
          <w:trHeight w:val="224"/>
        </w:trPr>
        <w:tc>
          <w:tcPr>
            <w:tcW w:w="4720" w:type="dxa"/>
            <w:vAlign w:val="bottom"/>
          </w:tcPr>
          <w:p>
            <w:pPr>
              <w:jc w:val="center"/>
              <w:spacing w:after="0"/>
              <w:rPr>
                <w:sz w:val="20"/>
                <w:szCs w:val="20"/>
                <w:color w:val="auto"/>
              </w:rPr>
            </w:pPr>
            <w:r>
              <w:rPr>
                <w:rFonts w:ascii="Arial" w:cs="Arial" w:eastAsia="Arial" w:hAnsi="Arial"/>
                <w:sz w:val="18"/>
                <w:szCs w:val="18"/>
                <w:color w:val="auto"/>
                <w:w w:val="94"/>
              </w:rPr>
              <w:t>Geoff MacKay</w:t>
            </w:r>
          </w:p>
        </w:tc>
        <w:tc>
          <w:tcPr>
            <w:tcW w:w="4320" w:type="dxa"/>
            <w:vAlign w:val="bottom"/>
          </w:tcPr>
          <w:p>
            <w:pPr>
              <w:jc w:val="center"/>
              <w:ind w:left="192"/>
              <w:spacing w:after="0"/>
              <w:rPr>
                <w:sz w:val="20"/>
                <w:szCs w:val="20"/>
                <w:color w:val="auto"/>
              </w:rPr>
            </w:pPr>
            <w:r>
              <w:rPr>
                <w:rFonts w:ascii="Arial" w:cs="Arial" w:eastAsia="Arial" w:hAnsi="Arial"/>
                <w:sz w:val="18"/>
                <w:szCs w:val="18"/>
                <w:i w:val="1"/>
                <w:iCs w:val="1"/>
                <w:color w:val="auto"/>
                <w:w w:val="93"/>
              </w:rPr>
              <w:t>Principal Executive Officer</w:t>
            </w:r>
          </w:p>
        </w:tc>
        <w:tc>
          <w:tcPr>
            <w:tcW w:w="1700" w:type="dxa"/>
            <w:vAlign w:val="bottom"/>
          </w:tcPr>
          <w:p>
            <w:pPr>
              <w:spacing w:after="0"/>
              <w:rPr>
                <w:sz w:val="19"/>
                <w:szCs w:val="19"/>
                <w:color w:val="auto"/>
              </w:rPr>
            </w:pPr>
          </w:p>
        </w:tc>
      </w:tr>
      <w:tr>
        <w:trPr>
          <w:trHeight w:val="431"/>
        </w:trPr>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Erik Ostrowski</w:t>
            </w:r>
          </w:p>
        </w:tc>
        <w:tc>
          <w:tcPr>
            <w:tcW w:w="4320" w:type="dxa"/>
            <w:vAlign w:val="bottom"/>
          </w:tcPr>
          <w:p>
            <w:pPr>
              <w:jc w:val="center"/>
              <w:ind w:left="192"/>
              <w:spacing w:after="0"/>
              <w:rPr>
                <w:sz w:val="20"/>
                <w:szCs w:val="20"/>
                <w:color w:val="auto"/>
              </w:rPr>
            </w:pPr>
            <w:r>
              <w:rPr>
                <w:rFonts w:ascii="Arial" w:cs="Arial" w:eastAsia="Arial" w:hAnsi="Arial"/>
                <w:sz w:val="18"/>
                <w:szCs w:val="18"/>
                <w:i w:val="1"/>
                <w:iCs w:val="1"/>
                <w:color w:val="auto"/>
                <w:w w:val="95"/>
              </w:rPr>
              <w:t>Chief Financial Officer and Principal Financial</w:t>
            </w:r>
          </w:p>
        </w:tc>
        <w:tc>
          <w:tcPr>
            <w:tcW w:w="1700" w:type="dxa"/>
            <w:vAlign w:val="bottom"/>
          </w:tcPr>
          <w:p>
            <w:pPr>
              <w:ind w:left="280"/>
              <w:spacing w:after="0"/>
              <w:rPr>
                <w:sz w:val="20"/>
                <w:szCs w:val="20"/>
                <w:color w:val="auto"/>
              </w:rPr>
            </w:pPr>
            <w:r>
              <w:rPr>
                <w:rFonts w:ascii="Arial" w:cs="Arial" w:eastAsia="Arial" w:hAnsi="Arial"/>
                <w:sz w:val="18"/>
                <w:szCs w:val="18"/>
                <w:color w:val="auto"/>
                <w:w w:val="88"/>
              </w:rPr>
              <w:t>December 20, 2019</w:t>
            </w:r>
          </w:p>
        </w:tc>
      </w:tr>
      <w:tr>
        <w:trPr>
          <w:trHeight w:val="224"/>
        </w:trPr>
        <w:tc>
          <w:tcPr>
            <w:tcW w:w="4720" w:type="dxa"/>
            <w:vAlign w:val="bottom"/>
          </w:tcPr>
          <w:p>
            <w:pPr>
              <w:jc w:val="center"/>
              <w:spacing w:after="0"/>
              <w:rPr>
                <w:sz w:val="20"/>
                <w:szCs w:val="20"/>
                <w:color w:val="auto"/>
              </w:rPr>
            </w:pPr>
            <w:r>
              <w:rPr>
                <w:rFonts w:ascii="Arial" w:cs="Arial" w:eastAsia="Arial" w:hAnsi="Arial"/>
                <w:sz w:val="18"/>
                <w:szCs w:val="18"/>
                <w:color w:val="auto"/>
                <w:w w:val="95"/>
              </w:rPr>
              <w:t>Erik Ostrowski</w:t>
            </w:r>
          </w:p>
        </w:tc>
        <w:tc>
          <w:tcPr>
            <w:tcW w:w="4320" w:type="dxa"/>
            <w:vAlign w:val="bottom"/>
          </w:tcPr>
          <w:p>
            <w:pPr>
              <w:jc w:val="center"/>
              <w:ind w:left="192"/>
              <w:spacing w:after="0"/>
              <w:rPr>
                <w:sz w:val="20"/>
                <w:szCs w:val="20"/>
                <w:color w:val="auto"/>
              </w:rPr>
            </w:pPr>
            <w:r>
              <w:rPr>
                <w:rFonts w:ascii="Arial" w:cs="Arial" w:eastAsia="Arial" w:hAnsi="Arial"/>
                <w:sz w:val="18"/>
                <w:szCs w:val="18"/>
                <w:i w:val="1"/>
                <w:iCs w:val="1"/>
                <w:color w:val="auto"/>
                <w:w w:val="92"/>
              </w:rPr>
              <w:t>and Accounting Officer</w:t>
            </w:r>
          </w:p>
        </w:tc>
        <w:tc>
          <w:tcPr>
            <w:tcW w:w="1700" w:type="dxa"/>
            <w:vAlign w:val="bottom"/>
          </w:tcPr>
          <w:p>
            <w:pPr>
              <w:spacing w:after="0"/>
              <w:rPr>
                <w:sz w:val="19"/>
                <w:szCs w:val="19"/>
                <w:color w:val="auto"/>
              </w:rPr>
            </w:pPr>
          </w:p>
        </w:tc>
      </w:tr>
      <w:tr>
        <w:trPr>
          <w:trHeight w:val="431"/>
        </w:trPr>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Bruce Booth</w:t>
            </w:r>
          </w:p>
        </w:tc>
        <w:tc>
          <w:tcPr>
            <w:tcW w:w="4320" w:type="dxa"/>
            <w:vAlign w:val="bottom"/>
          </w:tcPr>
          <w:p>
            <w:pPr>
              <w:jc w:val="center"/>
              <w:ind w:left="192"/>
              <w:spacing w:after="0"/>
              <w:rPr>
                <w:sz w:val="20"/>
                <w:szCs w:val="20"/>
                <w:color w:val="auto"/>
              </w:rPr>
            </w:pPr>
            <w:r>
              <w:rPr>
                <w:rFonts w:ascii="Arial" w:cs="Arial" w:eastAsia="Arial" w:hAnsi="Arial"/>
                <w:sz w:val="18"/>
                <w:szCs w:val="18"/>
                <w:i w:val="1"/>
                <w:iCs w:val="1"/>
                <w:color w:val="auto"/>
                <w:w w:val="93"/>
              </w:rPr>
              <w:t>Chairman of the Board of Directors</w:t>
            </w:r>
          </w:p>
        </w:tc>
        <w:tc>
          <w:tcPr>
            <w:tcW w:w="1700" w:type="dxa"/>
            <w:vAlign w:val="bottom"/>
          </w:tcPr>
          <w:p>
            <w:pPr>
              <w:ind w:left="280"/>
              <w:spacing w:after="0"/>
              <w:rPr>
                <w:sz w:val="20"/>
                <w:szCs w:val="20"/>
                <w:color w:val="auto"/>
              </w:rPr>
            </w:pPr>
            <w:r>
              <w:rPr>
                <w:rFonts w:ascii="Arial" w:cs="Arial" w:eastAsia="Arial" w:hAnsi="Arial"/>
                <w:sz w:val="18"/>
                <w:szCs w:val="18"/>
                <w:color w:val="auto"/>
                <w:w w:val="88"/>
              </w:rPr>
              <w:t>December 20, 2019</w:t>
            </w:r>
          </w:p>
        </w:tc>
      </w:tr>
      <w:tr>
        <w:trPr>
          <w:trHeight w:val="224"/>
        </w:trPr>
        <w:tc>
          <w:tcPr>
            <w:tcW w:w="4720" w:type="dxa"/>
            <w:vAlign w:val="bottom"/>
          </w:tcPr>
          <w:p>
            <w:pPr>
              <w:jc w:val="center"/>
              <w:spacing w:after="0"/>
              <w:rPr>
                <w:sz w:val="20"/>
                <w:szCs w:val="20"/>
                <w:color w:val="auto"/>
              </w:rPr>
            </w:pPr>
            <w:r>
              <w:rPr>
                <w:rFonts w:ascii="Arial" w:cs="Arial" w:eastAsia="Arial" w:hAnsi="Arial"/>
                <w:sz w:val="18"/>
                <w:szCs w:val="18"/>
                <w:color w:val="auto"/>
                <w:w w:val="93"/>
              </w:rPr>
              <w:t>Bruce Booth, D.Phil.</w:t>
            </w:r>
          </w:p>
        </w:tc>
        <w:tc>
          <w:tcPr>
            <w:tcW w:w="43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1"/>
        </w:trPr>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Ian T. Clark</w:t>
            </w:r>
          </w:p>
        </w:tc>
        <w:tc>
          <w:tcPr>
            <w:tcW w:w="4320" w:type="dxa"/>
            <w:vAlign w:val="bottom"/>
          </w:tcPr>
          <w:p>
            <w:pPr>
              <w:jc w:val="center"/>
              <w:ind w:left="192"/>
              <w:spacing w:after="0"/>
              <w:rPr>
                <w:sz w:val="20"/>
                <w:szCs w:val="20"/>
                <w:color w:val="auto"/>
              </w:rPr>
            </w:pPr>
            <w:r>
              <w:rPr>
                <w:rFonts w:ascii="Arial" w:cs="Arial" w:eastAsia="Arial" w:hAnsi="Arial"/>
                <w:sz w:val="18"/>
                <w:szCs w:val="18"/>
                <w:i w:val="1"/>
                <w:iCs w:val="1"/>
                <w:color w:val="auto"/>
                <w:w w:val="95"/>
              </w:rPr>
              <w:t>Director</w:t>
            </w:r>
          </w:p>
        </w:tc>
        <w:tc>
          <w:tcPr>
            <w:tcW w:w="1700" w:type="dxa"/>
            <w:vAlign w:val="bottom"/>
          </w:tcPr>
          <w:p>
            <w:pPr>
              <w:ind w:left="280"/>
              <w:spacing w:after="0"/>
              <w:rPr>
                <w:sz w:val="20"/>
                <w:szCs w:val="20"/>
                <w:color w:val="auto"/>
              </w:rPr>
            </w:pPr>
            <w:r>
              <w:rPr>
                <w:rFonts w:ascii="Arial" w:cs="Arial" w:eastAsia="Arial" w:hAnsi="Arial"/>
                <w:sz w:val="18"/>
                <w:szCs w:val="18"/>
                <w:color w:val="auto"/>
                <w:w w:val="88"/>
              </w:rPr>
              <w:t>December 20, 2019</w:t>
            </w:r>
          </w:p>
        </w:tc>
      </w:tr>
      <w:tr>
        <w:trPr>
          <w:trHeight w:val="224"/>
        </w:trPr>
        <w:tc>
          <w:tcPr>
            <w:tcW w:w="4720" w:type="dxa"/>
            <w:vAlign w:val="bottom"/>
          </w:tcPr>
          <w:p>
            <w:pPr>
              <w:jc w:val="center"/>
              <w:spacing w:after="0"/>
              <w:rPr>
                <w:sz w:val="20"/>
                <w:szCs w:val="20"/>
                <w:color w:val="auto"/>
              </w:rPr>
            </w:pPr>
            <w:r>
              <w:rPr>
                <w:rFonts w:ascii="Arial" w:cs="Arial" w:eastAsia="Arial" w:hAnsi="Arial"/>
                <w:sz w:val="18"/>
                <w:szCs w:val="18"/>
                <w:color w:val="auto"/>
                <w:w w:val="92"/>
              </w:rPr>
              <w:t>Ian T. Clark</w:t>
            </w:r>
          </w:p>
        </w:tc>
        <w:tc>
          <w:tcPr>
            <w:tcW w:w="43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1"/>
        </w:trPr>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Phillip B. Donenberg</w:t>
            </w:r>
          </w:p>
        </w:tc>
        <w:tc>
          <w:tcPr>
            <w:tcW w:w="4320" w:type="dxa"/>
            <w:vAlign w:val="bottom"/>
          </w:tcPr>
          <w:p>
            <w:pPr>
              <w:jc w:val="center"/>
              <w:ind w:left="192"/>
              <w:spacing w:after="0"/>
              <w:rPr>
                <w:sz w:val="20"/>
                <w:szCs w:val="20"/>
                <w:color w:val="auto"/>
              </w:rPr>
            </w:pPr>
            <w:r>
              <w:rPr>
                <w:rFonts w:ascii="Arial" w:cs="Arial" w:eastAsia="Arial" w:hAnsi="Arial"/>
                <w:sz w:val="18"/>
                <w:szCs w:val="18"/>
                <w:i w:val="1"/>
                <w:iCs w:val="1"/>
                <w:color w:val="auto"/>
                <w:w w:val="95"/>
              </w:rPr>
              <w:t>Director</w:t>
            </w:r>
          </w:p>
        </w:tc>
        <w:tc>
          <w:tcPr>
            <w:tcW w:w="1700" w:type="dxa"/>
            <w:vAlign w:val="bottom"/>
          </w:tcPr>
          <w:p>
            <w:pPr>
              <w:ind w:left="280"/>
              <w:spacing w:after="0"/>
              <w:rPr>
                <w:sz w:val="20"/>
                <w:szCs w:val="20"/>
                <w:color w:val="auto"/>
              </w:rPr>
            </w:pPr>
            <w:r>
              <w:rPr>
                <w:rFonts w:ascii="Arial" w:cs="Arial" w:eastAsia="Arial" w:hAnsi="Arial"/>
                <w:sz w:val="18"/>
                <w:szCs w:val="18"/>
                <w:color w:val="auto"/>
                <w:w w:val="88"/>
              </w:rPr>
              <w:t>December 20, 2019</w:t>
            </w:r>
          </w:p>
        </w:tc>
      </w:tr>
      <w:tr>
        <w:trPr>
          <w:trHeight w:val="224"/>
        </w:trPr>
        <w:tc>
          <w:tcPr>
            <w:tcW w:w="4720" w:type="dxa"/>
            <w:vAlign w:val="bottom"/>
          </w:tcPr>
          <w:p>
            <w:pPr>
              <w:jc w:val="center"/>
              <w:spacing w:after="0"/>
              <w:rPr>
                <w:sz w:val="20"/>
                <w:szCs w:val="20"/>
                <w:color w:val="auto"/>
              </w:rPr>
            </w:pPr>
            <w:r>
              <w:rPr>
                <w:rFonts w:ascii="Arial" w:cs="Arial" w:eastAsia="Arial" w:hAnsi="Arial"/>
                <w:sz w:val="18"/>
                <w:szCs w:val="18"/>
                <w:color w:val="auto"/>
                <w:w w:val="93"/>
              </w:rPr>
              <w:t>Phillip B. Donenberg</w:t>
            </w:r>
          </w:p>
        </w:tc>
        <w:tc>
          <w:tcPr>
            <w:tcW w:w="43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1"/>
        </w:trPr>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Annalisa Jenkins</w:t>
            </w:r>
          </w:p>
        </w:tc>
        <w:tc>
          <w:tcPr>
            <w:tcW w:w="4320" w:type="dxa"/>
            <w:vAlign w:val="bottom"/>
          </w:tcPr>
          <w:p>
            <w:pPr>
              <w:jc w:val="center"/>
              <w:ind w:left="192"/>
              <w:spacing w:after="0"/>
              <w:rPr>
                <w:sz w:val="20"/>
                <w:szCs w:val="20"/>
                <w:color w:val="auto"/>
              </w:rPr>
            </w:pPr>
            <w:r>
              <w:rPr>
                <w:rFonts w:ascii="Arial" w:cs="Arial" w:eastAsia="Arial" w:hAnsi="Arial"/>
                <w:sz w:val="18"/>
                <w:szCs w:val="18"/>
                <w:i w:val="1"/>
                <w:iCs w:val="1"/>
                <w:color w:val="auto"/>
                <w:w w:val="95"/>
              </w:rPr>
              <w:t>Director</w:t>
            </w:r>
          </w:p>
        </w:tc>
        <w:tc>
          <w:tcPr>
            <w:tcW w:w="1700" w:type="dxa"/>
            <w:vAlign w:val="bottom"/>
          </w:tcPr>
          <w:p>
            <w:pPr>
              <w:ind w:left="280"/>
              <w:spacing w:after="0"/>
              <w:rPr>
                <w:sz w:val="20"/>
                <w:szCs w:val="20"/>
                <w:color w:val="auto"/>
              </w:rPr>
            </w:pPr>
            <w:r>
              <w:rPr>
                <w:rFonts w:ascii="Arial" w:cs="Arial" w:eastAsia="Arial" w:hAnsi="Arial"/>
                <w:sz w:val="18"/>
                <w:szCs w:val="18"/>
                <w:color w:val="auto"/>
                <w:w w:val="88"/>
              </w:rPr>
              <w:t>December 20, 2019</w:t>
            </w:r>
          </w:p>
        </w:tc>
      </w:tr>
      <w:tr>
        <w:trPr>
          <w:trHeight w:val="224"/>
        </w:trPr>
        <w:tc>
          <w:tcPr>
            <w:tcW w:w="4720" w:type="dxa"/>
            <w:vAlign w:val="bottom"/>
          </w:tcPr>
          <w:p>
            <w:pPr>
              <w:jc w:val="center"/>
              <w:spacing w:after="0"/>
              <w:rPr>
                <w:sz w:val="20"/>
                <w:szCs w:val="20"/>
                <w:color w:val="auto"/>
              </w:rPr>
            </w:pPr>
            <w:r>
              <w:rPr>
                <w:rFonts w:ascii="Arial" w:cs="Arial" w:eastAsia="Arial" w:hAnsi="Arial"/>
                <w:sz w:val="18"/>
                <w:szCs w:val="18"/>
                <w:color w:val="auto"/>
                <w:w w:val="90"/>
              </w:rPr>
              <w:t>Annalisa Jenkins, M.B.B.S., F.R.C.P.</w:t>
            </w:r>
          </w:p>
        </w:tc>
        <w:tc>
          <w:tcPr>
            <w:tcW w:w="43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1"/>
        </w:trPr>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Christopher Paige</w:t>
            </w:r>
          </w:p>
        </w:tc>
        <w:tc>
          <w:tcPr>
            <w:tcW w:w="4320" w:type="dxa"/>
            <w:vAlign w:val="bottom"/>
          </w:tcPr>
          <w:p>
            <w:pPr>
              <w:jc w:val="center"/>
              <w:ind w:left="192"/>
              <w:spacing w:after="0"/>
              <w:rPr>
                <w:sz w:val="20"/>
                <w:szCs w:val="20"/>
                <w:color w:val="auto"/>
              </w:rPr>
            </w:pPr>
            <w:r>
              <w:rPr>
                <w:rFonts w:ascii="Arial" w:cs="Arial" w:eastAsia="Arial" w:hAnsi="Arial"/>
                <w:sz w:val="18"/>
                <w:szCs w:val="18"/>
                <w:i w:val="1"/>
                <w:iCs w:val="1"/>
                <w:color w:val="auto"/>
                <w:w w:val="95"/>
              </w:rPr>
              <w:t>Director</w:t>
            </w:r>
          </w:p>
        </w:tc>
        <w:tc>
          <w:tcPr>
            <w:tcW w:w="1700" w:type="dxa"/>
            <w:vAlign w:val="bottom"/>
          </w:tcPr>
          <w:p>
            <w:pPr>
              <w:ind w:left="280"/>
              <w:spacing w:after="0"/>
              <w:rPr>
                <w:sz w:val="20"/>
                <w:szCs w:val="20"/>
                <w:color w:val="auto"/>
              </w:rPr>
            </w:pPr>
            <w:r>
              <w:rPr>
                <w:rFonts w:ascii="Arial" w:cs="Arial" w:eastAsia="Arial" w:hAnsi="Arial"/>
                <w:sz w:val="18"/>
                <w:szCs w:val="18"/>
                <w:color w:val="auto"/>
                <w:w w:val="88"/>
              </w:rPr>
              <w:t>December 20, 2019</w:t>
            </w:r>
          </w:p>
        </w:tc>
      </w:tr>
      <w:tr>
        <w:trPr>
          <w:trHeight w:val="224"/>
        </w:trPr>
        <w:tc>
          <w:tcPr>
            <w:tcW w:w="4720" w:type="dxa"/>
            <w:vAlign w:val="bottom"/>
          </w:tcPr>
          <w:p>
            <w:pPr>
              <w:jc w:val="center"/>
              <w:spacing w:after="0"/>
              <w:rPr>
                <w:sz w:val="20"/>
                <w:szCs w:val="20"/>
                <w:color w:val="auto"/>
              </w:rPr>
            </w:pPr>
            <w:r>
              <w:rPr>
                <w:rFonts w:ascii="Arial" w:cs="Arial" w:eastAsia="Arial" w:hAnsi="Arial"/>
                <w:sz w:val="18"/>
                <w:szCs w:val="18"/>
                <w:color w:val="auto"/>
                <w:w w:val="90"/>
              </w:rPr>
              <w:t>Christopher Paige, Ph.D.</w:t>
            </w:r>
          </w:p>
        </w:tc>
        <w:tc>
          <w:tcPr>
            <w:tcW w:w="43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1"/>
        </w:trPr>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Philip Vickers</w:t>
            </w:r>
          </w:p>
        </w:tc>
        <w:tc>
          <w:tcPr>
            <w:tcW w:w="4320" w:type="dxa"/>
            <w:vAlign w:val="bottom"/>
          </w:tcPr>
          <w:p>
            <w:pPr>
              <w:jc w:val="center"/>
              <w:ind w:left="192"/>
              <w:spacing w:after="0"/>
              <w:rPr>
                <w:sz w:val="20"/>
                <w:szCs w:val="20"/>
                <w:color w:val="auto"/>
              </w:rPr>
            </w:pPr>
            <w:r>
              <w:rPr>
                <w:rFonts w:ascii="Arial" w:cs="Arial" w:eastAsia="Arial" w:hAnsi="Arial"/>
                <w:sz w:val="18"/>
                <w:szCs w:val="18"/>
                <w:i w:val="1"/>
                <w:iCs w:val="1"/>
                <w:color w:val="auto"/>
                <w:w w:val="95"/>
              </w:rPr>
              <w:t>Director</w:t>
            </w:r>
          </w:p>
        </w:tc>
        <w:tc>
          <w:tcPr>
            <w:tcW w:w="1700" w:type="dxa"/>
            <w:vAlign w:val="bottom"/>
          </w:tcPr>
          <w:p>
            <w:pPr>
              <w:ind w:left="280"/>
              <w:spacing w:after="0"/>
              <w:rPr>
                <w:sz w:val="20"/>
                <w:szCs w:val="20"/>
                <w:color w:val="auto"/>
              </w:rPr>
            </w:pPr>
            <w:r>
              <w:rPr>
                <w:rFonts w:ascii="Arial" w:cs="Arial" w:eastAsia="Arial" w:hAnsi="Arial"/>
                <w:sz w:val="18"/>
                <w:szCs w:val="18"/>
                <w:color w:val="auto"/>
                <w:w w:val="88"/>
              </w:rPr>
              <w:t>December 20, 2019</w:t>
            </w:r>
          </w:p>
        </w:tc>
      </w:tr>
      <w:tr>
        <w:trPr>
          <w:trHeight w:val="224"/>
        </w:trPr>
        <w:tc>
          <w:tcPr>
            <w:tcW w:w="4720" w:type="dxa"/>
            <w:vAlign w:val="bottom"/>
          </w:tcPr>
          <w:p>
            <w:pPr>
              <w:jc w:val="center"/>
              <w:spacing w:after="0"/>
              <w:rPr>
                <w:sz w:val="20"/>
                <w:szCs w:val="20"/>
                <w:color w:val="auto"/>
              </w:rPr>
            </w:pPr>
            <w:r>
              <w:rPr>
                <w:rFonts w:ascii="Arial" w:cs="Arial" w:eastAsia="Arial" w:hAnsi="Arial"/>
                <w:sz w:val="18"/>
                <w:szCs w:val="18"/>
                <w:color w:val="auto"/>
                <w:w w:val="93"/>
              </w:rPr>
              <w:t>Philip Vickers, Ph.D.</w:t>
            </w:r>
          </w:p>
        </w:tc>
        <w:tc>
          <w:tcPr>
            <w:tcW w:w="4320" w:type="dxa"/>
            <w:vAlign w:val="bottom"/>
          </w:tcPr>
          <w:p>
            <w:pPr>
              <w:spacing w:after="0"/>
              <w:rPr>
                <w:sz w:val="19"/>
                <w:szCs w:val="19"/>
                <w:color w:val="auto"/>
              </w:rPr>
            </w:pPr>
          </w:p>
        </w:tc>
        <w:tc>
          <w:tcPr>
            <w:tcW w:w="1700" w:type="dxa"/>
            <w:vAlign w:val="bottom"/>
          </w:tcPr>
          <w:p>
            <w:pPr>
              <w:spacing w:after="0"/>
              <w:rPr>
                <w:sz w:val="19"/>
                <w:szCs w:val="19"/>
                <w:color w:val="auto"/>
              </w:rPr>
            </w:pPr>
          </w:p>
        </w:tc>
      </w:tr>
    </w:tbl>
    <w:p>
      <w:pPr>
        <w:sectPr>
          <w:pgSz w:w="11900" w:h="16838" w:orient="portrait"/>
          <w:cols w:equalWidth="0" w:num="1">
            <w:col w:w="10980"/>
          </w:cols>
          <w:pgMar w:left="440" w:top="270" w:right="47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December 20,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AVROBIO,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Kendall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Building 300, Suite 201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02139</w:t>
      </w:r>
    </w:p>
    <w:p>
      <w:pPr>
        <w:spacing w:after="0" w:line="23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Securities Being Registered under Registration Statement on Form S-8</w:t>
      </w:r>
    </w:p>
    <w:p>
      <w:pPr>
        <w:spacing w:after="0" w:line="225"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We have acted as counsel to you in connection with your filing of a Registration Statement on Form S-8 (the “Registration Statement”) pursuant to the Securities Act of 1933, as amended (the “Securities Act”), on or about the date hereof relating to an aggregate of 1,893,000 shares (the “Shares”) of Common Stock, $0.0001 par value per share (“Common Stock”), of AVROBIO, Inc., a Delaware corporation (the “Company”), that may be issued pursuant to the Company’s 2019 Inducement Plan and a Non-Qualified Stock Option Agreement, between the Company and an employee of the Company, for an inducement award granted on December 11, 2019 (collectively, the “Plans”).</w:t>
      </w:r>
    </w:p>
    <w:p>
      <w:pPr>
        <w:spacing w:after="0" w:line="173" w:lineRule="exact"/>
        <w:rPr>
          <w:sz w:val="20"/>
          <w:szCs w:val="20"/>
          <w:color w:val="auto"/>
        </w:rPr>
      </w:pPr>
    </w:p>
    <w:p>
      <w:pPr>
        <w:ind w:right="280" w:firstLine="441"/>
        <w:spacing w:after="0" w:line="264" w:lineRule="auto"/>
        <w:rPr>
          <w:sz w:val="20"/>
          <w:szCs w:val="20"/>
          <w:color w:val="auto"/>
        </w:rPr>
      </w:pPr>
      <w:r>
        <w:rPr>
          <w:rFonts w:ascii="Arial" w:cs="Arial" w:eastAsia="Arial" w:hAnsi="Arial"/>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 set forth below, on certificates of officers of the Company.</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opinion set forth below is limited to the Delaware General Corporation Law.</w:t>
      </w:r>
    </w:p>
    <w:p>
      <w:pPr>
        <w:spacing w:after="0" w:line="225"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For purposes of the opinion set forth below, we have assumed that no event occurs that causes the number of authorized shares of Common Stock available for issuance by the Company to be less than the number of then unissued Shares.</w:t>
      </w:r>
    </w:p>
    <w:p>
      <w:pPr>
        <w:spacing w:after="0" w:line="170"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Based on the foregoing, we are of the opinion that the Shares have been duly authorized and, upon issuance and delivery against payment therefor in accordance with the terms of the Plans, will be validly issued, fully paid and nonassessable.</w:t>
      </w:r>
    </w:p>
    <w:p>
      <w:pPr>
        <w:spacing w:after="0" w:line="170" w:lineRule="exact"/>
        <w:rPr>
          <w:sz w:val="20"/>
          <w:szCs w:val="20"/>
          <w:color w:val="auto"/>
        </w:rPr>
      </w:pPr>
    </w:p>
    <w:p>
      <w:pPr>
        <w:ind w:right="60" w:firstLine="441"/>
        <w:spacing w:after="0" w:line="308" w:lineRule="auto"/>
        <w:rPr>
          <w:sz w:val="20"/>
          <w:szCs w:val="20"/>
          <w:color w:val="auto"/>
        </w:rPr>
      </w:pPr>
      <w:r>
        <w:rPr>
          <w:rFonts w:ascii="Arial" w:cs="Arial" w:eastAsia="Arial" w:hAnsi="Arial"/>
          <w:sz w:val="17"/>
          <w:szCs w:val="17"/>
          <w:color w:val="auto"/>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spacing w:after="0" w:line="17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GOODWIN PROCTER LLP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GOODWIN PROCTER LLP</w:t>
      </w:r>
    </w:p>
    <w:p>
      <w:pPr>
        <w:sectPr>
          <w:pgSz w:w="11900" w:h="16838" w:orient="portrait"/>
          <w:cols w:equalWidth="0" w:num="1">
            <w:col w:w="11020"/>
          </w:cols>
          <w:pgMar w:left="440" w:top="121" w:right="4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We consent to the incorporation by reference in the Registration Statement (Form S-8) pertaining to the AVROBIO, Inc. 2019 Inducement Plan and the Inducement Stock Option Agreement of AVROBIO, Inc. of our report dated March 25, 2019, with respect to the consolidated financial statements of AVROBIO, Inc. included in its Annual Report (Form 10-K) for the year ended December 31, 2018, filed with the Securities and Exchange Commission.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18, 2019</w:t>
      </w:r>
    </w:p>
    <w:p>
      <w:pPr>
        <w:sectPr>
          <w:pgSz w:w="11900" w:h="16838" w:orient="portrait"/>
          <w:cols w:equalWidth="0" w:num="1">
            <w:col w:w="11020"/>
          </w:cols>
          <w:pgMar w:left="440" w:top="121" w:right="4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AVROBIO, INC.</w:t>
      </w: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2019 INDUCEMENT PLAN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GENERAL PURPOSE OF THE PLAN; DEFINITIONS</w:t>
      </w:r>
    </w:p>
    <w:p>
      <w:pPr>
        <w:spacing w:after="0" w:line="117"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The name of the plan is the AVROBIO, Inc. 2019 Inducement Plan (the “Plan”). The purpose of the Plan is to enable AVROBIO, Inc., a Delaware corporation (the “Company”) and its Subsidiaries to grant equity awards to induce highly-qualified prospective officers and employees who are Eligible Employees to accept employment and to provide them with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 The Company intends that the Plan be reserved for persons to whom the Company may issue securities without stockholder approval as an inducement pursuant to Rule 5635(c)(4) of the Marketplace Rules of the Nasdaq Stock Market, Inc.</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terms shall be defined as set forth below:</w:t>
      </w:r>
    </w:p>
    <w:p>
      <w:pPr>
        <w:spacing w:after="0" w:line="117" w:lineRule="exact"/>
        <w:rPr>
          <w:sz w:val="20"/>
          <w:szCs w:val="20"/>
          <w:color w:val="auto"/>
        </w:rPr>
      </w:pPr>
    </w:p>
    <w:p>
      <w:pPr>
        <w:ind w:right="440" w:firstLine="441"/>
        <w:spacing w:after="0" w:line="308" w:lineRule="auto"/>
        <w:rPr>
          <w:sz w:val="20"/>
          <w:szCs w:val="20"/>
          <w:color w:val="auto"/>
        </w:rPr>
      </w:pPr>
      <w:r>
        <w:rPr>
          <w:rFonts w:ascii="Arial" w:cs="Arial" w:eastAsia="Arial" w:hAnsi="Arial"/>
          <w:sz w:val="17"/>
          <w:szCs w:val="17"/>
          <w:i w:val="1"/>
          <w:iCs w:val="1"/>
          <w:color w:val="auto"/>
        </w:rPr>
        <w:t xml:space="preserve">“Administrator” </w:t>
      </w:r>
      <w:r>
        <w:rPr>
          <w:rFonts w:ascii="Arial" w:cs="Arial" w:eastAsia="Arial" w:hAnsi="Arial"/>
          <w:sz w:val="17"/>
          <w:szCs w:val="17"/>
          <w:color w:val="auto"/>
        </w:rPr>
        <w:t>means either the Board or the compensation committee of the Board or a similar committee performing the functions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committee and which is comprised of not less than two Non-Employee Directors who are independent.</w:t>
      </w:r>
    </w:p>
    <w:p>
      <w:pPr>
        <w:spacing w:after="0" w:line="147"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i w:val="1"/>
          <w:iCs w:val="1"/>
          <w:color w:val="auto"/>
        </w:rPr>
        <w:t xml:space="preserve">“Award” </w:t>
      </w:r>
      <w:r>
        <w:rPr>
          <w:rFonts w:ascii="Arial" w:cs="Arial" w:eastAsia="Arial" w:hAnsi="Arial"/>
          <w:sz w:val="18"/>
          <w:szCs w:val="18"/>
          <w:color w:val="auto"/>
        </w:rPr>
        <w:t>or</w:t>
      </w:r>
      <w:r>
        <w:rPr>
          <w:rFonts w:ascii="Arial" w:cs="Arial" w:eastAsia="Arial" w:hAnsi="Arial"/>
          <w:sz w:val="18"/>
          <w:szCs w:val="18"/>
          <w:i w:val="1"/>
          <w:iCs w:val="1"/>
          <w:color w:val="auto"/>
        </w:rPr>
        <w:t xml:space="preserve"> “Awards,” </w:t>
      </w:r>
      <w:r>
        <w:rPr>
          <w:rFonts w:ascii="Arial" w:cs="Arial" w:eastAsia="Arial" w:hAnsi="Arial"/>
          <w:sz w:val="18"/>
          <w:szCs w:val="18"/>
          <w:color w:val="auto"/>
        </w:rPr>
        <w:t>except where referring to a particular category of grant under the Plan, shall include Stock Options, Stock Appreciation</w:t>
      </w:r>
      <w:r>
        <w:rPr>
          <w:rFonts w:ascii="Arial" w:cs="Arial" w:eastAsia="Arial" w:hAnsi="Arial"/>
          <w:sz w:val="18"/>
          <w:szCs w:val="18"/>
          <w:i w:val="1"/>
          <w:iCs w:val="1"/>
          <w:color w:val="auto"/>
        </w:rPr>
        <w:t xml:space="preserve"> </w:t>
      </w:r>
      <w:r>
        <w:rPr>
          <w:rFonts w:ascii="Arial" w:cs="Arial" w:eastAsia="Arial" w:hAnsi="Arial"/>
          <w:sz w:val="18"/>
          <w:szCs w:val="18"/>
          <w:color w:val="auto"/>
        </w:rPr>
        <w:t>Rights, Restricted Stock Units, Restricted Stock Awards, Unrestricted Stock Awards, and Dividend Equivalent Rights.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 xml:space="preserve">“Award Certificate” </w:t>
      </w:r>
      <w:r>
        <w:rPr>
          <w:rFonts w:ascii="Arial" w:cs="Arial" w:eastAsia="Arial" w:hAnsi="Arial"/>
          <w:sz w:val="16"/>
          <w:szCs w:val="16"/>
          <w:color w:val="auto"/>
        </w:rPr>
        <w:t>means a written or electronic document setting forth the terms and provisions applicable to an Award granted under the Plan.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Each Award Certificate is subject to the terms and conditions of the Plan.</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“Board” </w:t>
      </w:r>
      <w:r>
        <w:rPr>
          <w:rFonts w:ascii="Arial" w:cs="Arial" w:eastAsia="Arial" w:hAnsi="Arial"/>
          <w:sz w:val="18"/>
          <w:szCs w:val="18"/>
          <w:color w:val="auto"/>
        </w:rPr>
        <w:t>means the Board of Directors of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 xml:space="preserve">“Code” </w:t>
      </w:r>
      <w:r>
        <w:rPr>
          <w:rFonts w:ascii="Arial" w:cs="Arial" w:eastAsia="Arial" w:hAnsi="Arial"/>
          <w:sz w:val="17"/>
          <w:szCs w:val="17"/>
          <w:color w:val="auto"/>
        </w:rPr>
        <w:t>means the Internal Revenue Code of 1986, as amended, and any successor Code, and related rules, regulations and interpretations.</w:t>
      </w:r>
    </w:p>
    <w:p>
      <w:pPr>
        <w:spacing w:after="0" w:line="237" w:lineRule="exact"/>
        <w:rPr>
          <w:sz w:val="20"/>
          <w:szCs w:val="20"/>
          <w:color w:val="auto"/>
        </w:rPr>
      </w:pPr>
    </w:p>
    <w:p>
      <w:pPr>
        <w:ind w:right="80" w:firstLine="441"/>
        <w:spacing w:after="0" w:line="342" w:lineRule="auto"/>
        <w:rPr>
          <w:sz w:val="20"/>
          <w:szCs w:val="20"/>
          <w:color w:val="auto"/>
        </w:rPr>
      </w:pPr>
      <w:r>
        <w:rPr>
          <w:rFonts w:ascii="Arial" w:cs="Arial" w:eastAsia="Arial" w:hAnsi="Arial"/>
          <w:sz w:val="16"/>
          <w:szCs w:val="16"/>
          <w:i w:val="1"/>
          <w:iCs w:val="1"/>
          <w:color w:val="auto"/>
        </w:rPr>
        <w:t xml:space="preserve">“Consultant” </w:t>
      </w:r>
      <w:r>
        <w:rPr>
          <w:rFonts w:ascii="Arial" w:cs="Arial" w:eastAsia="Arial" w:hAnsi="Arial"/>
          <w:sz w:val="16"/>
          <w:szCs w:val="16"/>
          <w:color w:val="auto"/>
        </w:rPr>
        <w:t>means any natural person that provides bona fide services to the Company, and such services are not in connection with the offer or</w:t>
      </w:r>
      <w:r>
        <w:rPr>
          <w:rFonts w:ascii="Arial" w:cs="Arial" w:eastAsia="Arial" w:hAnsi="Arial"/>
          <w:sz w:val="16"/>
          <w:szCs w:val="16"/>
          <w:i w:val="1"/>
          <w:iCs w:val="1"/>
          <w:color w:val="auto"/>
        </w:rPr>
        <w:t xml:space="preserve"> </w:t>
      </w:r>
      <w:r>
        <w:rPr>
          <w:rFonts w:ascii="Arial" w:cs="Arial" w:eastAsia="Arial" w:hAnsi="Arial"/>
          <w:sz w:val="16"/>
          <w:szCs w:val="16"/>
          <w:color w:val="auto"/>
        </w:rPr>
        <w:t>sale of securities in a capital-raising transaction and do not directly or indirectly promote or maintain a market for the Company’s securities.</w:t>
      </w:r>
    </w:p>
    <w:p>
      <w:pPr>
        <w:spacing w:after="0" w:line="124" w:lineRule="exact"/>
        <w:rPr>
          <w:sz w:val="20"/>
          <w:szCs w:val="20"/>
          <w:color w:val="auto"/>
        </w:rPr>
      </w:pPr>
    </w:p>
    <w:p>
      <w:pPr>
        <w:ind w:right="80" w:firstLine="441"/>
        <w:spacing w:after="0" w:line="342" w:lineRule="auto"/>
        <w:rPr>
          <w:sz w:val="20"/>
          <w:szCs w:val="20"/>
          <w:color w:val="auto"/>
        </w:rPr>
      </w:pPr>
      <w:r>
        <w:rPr>
          <w:rFonts w:ascii="Arial" w:cs="Arial" w:eastAsia="Arial" w:hAnsi="Arial"/>
          <w:sz w:val="16"/>
          <w:szCs w:val="16"/>
          <w:i w:val="1"/>
          <w:iCs w:val="1"/>
          <w:color w:val="auto"/>
        </w:rPr>
        <w:t xml:space="preserve">“Dividend Equivalent Right” </w:t>
      </w:r>
      <w:r>
        <w:rPr>
          <w:rFonts w:ascii="Arial" w:cs="Arial" w:eastAsia="Arial" w:hAnsi="Arial"/>
          <w:sz w:val="16"/>
          <w:szCs w:val="16"/>
          <w:color w:val="auto"/>
        </w:rPr>
        <w:t>means an Award entitling the grantee to receive credits based on cash dividends that would have been paid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Stock specified in the Dividend Equivalent Right (or other award to which it relates) if such shares had been issued to and held by the grantee.</w:t>
      </w:r>
    </w:p>
    <w:p>
      <w:pPr>
        <w:sectPr>
          <w:pgSz w:w="11900" w:h="16838" w:orient="portrait"/>
          <w:cols w:equalWidth="0" w:num="1">
            <w:col w:w="11020"/>
          </w:cols>
          <w:pgMar w:left="440" w:top="121" w:right="439" w:bottom="1440" w:gutter="0" w:footer="0" w:header="0"/>
        </w:sectPr>
      </w:pPr>
    </w:p>
    <w:bookmarkStart w:id="10" w:name="page11"/>
    <w:bookmarkEnd w:id="10"/>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“Effective Date” </w:t>
      </w:r>
      <w:r>
        <w:rPr>
          <w:rFonts w:ascii="Arial" w:cs="Arial" w:eastAsia="Arial" w:hAnsi="Arial"/>
          <w:sz w:val="18"/>
          <w:szCs w:val="18"/>
          <w:color w:val="auto"/>
        </w:rPr>
        <w:t>means the date on which the Plan becomes effective as set forth in Section 18.</w:t>
      </w:r>
    </w:p>
    <w:p>
      <w:pPr>
        <w:spacing w:after="0" w:line="225"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i w:val="1"/>
          <w:iCs w:val="1"/>
          <w:color w:val="auto"/>
        </w:rPr>
        <w:t xml:space="preserve">“Eligible Employee” </w:t>
      </w:r>
      <w:r>
        <w:rPr>
          <w:rFonts w:ascii="Arial" w:cs="Arial" w:eastAsia="Arial" w:hAnsi="Arial"/>
          <w:sz w:val="18"/>
          <w:szCs w:val="18"/>
          <w:color w:val="auto"/>
        </w:rPr>
        <w:t>means any individual who was not previously an employee or a non-employee director of the Company or any of its</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(or who has had a bona fide period of non-employment with the Company and its Subsidiaries) who is hired as a full or part-time employee by the Company or one of its Subsidiaries, and for whom the Award is being made as an inducement material to the individual’s entering into such employment.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“Exchange Act” </w:t>
      </w:r>
      <w:r>
        <w:rPr>
          <w:rFonts w:ascii="Arial" w:cs="Arial" w:eastAsia="Arial" w:hAnsi="Arial"/>
          <w:sz w:val="18"/>
          <w:szCs w:val="18"/>
          <w:color w:val="auto"/>
        </w:rPr>
        <w:t>means the Securities Exchange Act of 1934, as amended, and the rules and regulations thereunder.</w:t>
      </w:r>
    </w:p>
    <w:p>
      <w:pPr>
        <w:spacing w:after="0" w:line="225" w:lineRule="exact"/>
        <w:rPr>
          <w:sz w:val="20"/>
          <w:szCs w:val="20"/>
          <w:color w:val="auto"/>
        </w:rPr>
      </w:pPr>
    </w:p>
    <w:p>
      <w:pPr>
        <w:ind w:right="280" w:firstLine="441"/>
        <w:spacing w:after="0" w:line="257" w:lineRule="auto"/>
        <w:rPr>
          <w:sz w:val="20"/>
          <w:szCs w:val="20"/>
          <w:color w:val="auto"/>
        </w:rPr>
      </w:pPr>
      <w:r>
        <w:rPr>
          <w:rFonts w:ascii="Arial" w:cs="Arial" w:eastAsia="Arial" w:hAnsi="Arial"/>
          <w:sz w:val="18"/>
          <w:szCs w:val="18"/>
          <w:i w:val="1"/>
          <w:iCs w:val="1"/>
          <w:color w:val="auto"/>
        </w:rPr>
        <w:t xml:space="preserve">“Fair Market Value” </w:t>
      </w:r>
      <w:r>
        <w:rPr>
          <w:rFonts w:ascii="Arial" w:cs="Arial" w:eastAsia="Arial" w:hAnsi="Arial"/>
          <w:sz w:val="18"/>
          <w:szCs w:val="18"/>
          <w:color w:val="auto"/>
        </w:rPr>
        <w:t>of the Stock on any given date means the fair market value of the Stock determined in good faith by the Administrator;</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however, that if the Stock is admitted to quotation on the National Association of Securities Dealers Automated Quotation System, Nasdaq Global Market, The New York Stock Exchange or another national securities exchange, the determination shall be made by reference to the Stock’s closing price on such exchange. If there is no closing price for such date, the determination shall be made by reference to the last date preceding such date for which there is a closing price.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“Non-Employee Director” </w:t>
      </w:r>
      <w:r>
        <w:rPr>
          <w:rFonts w:ascii="Arial" w:cs="Arial" w:eastAsia="Arial" w:hAnsi="Arial"/>
          <w:sz w:val="18"/>
          <w:szCs w:val="18"/>
          <w:color w:val="auto"/>
        </w:rPr>
        <w:t>means a member of the Board who is not also an employee of the Company or any Subsidiary.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“Option” </w:t>
      </w:r>
      <w:r>
        <w:rPr>
          <w:rFonts w:ascii="Arial" w:cs="Arial" w:eastAsia="Arial" w:hAnsi="Arial"/>
          <w:sz w:val="18"/>
          <w:szCs w:val="18"/>
          <w:color w:val="auto"/>
        </w:rPr>
        <w:t>or</w:t>
      </w:r>
      <w:r>
        <w:rPr>
          <w:rFonts w:ascii="Arial" w:cs="Arial" w:eastAsia="Arial" w:hAnsi="Arial"/>
          <w:sz w:val="18"/>
          <w:szCs w:val="18"/>
          <w:i w:val="1"/>
          <w:iCs w:val="1"/>
          <w:color w:val="auto"/>
        </w:rPr>
        <w:t xml:space="preserve"> “Stock Option” </w:t>
      </w:r>
      <w:r>
        <w:rPr>
          <w:rFonts w:ascii="Arial" w:cs="Arial" w:eastAsia="Arial" w:hAnsi="Arial"/>
          <w:sz w:val="18"/>
          <w:szCs w:val="18"/>
          <w:color w:val="auto"/>
        </w:rPr>
        <w:t>means any option to purchase shares of Stock granted pursuant to Section 5.</w:t>
      </w:r>
    </w:p>
    <w:p>
      <w:pPr>
        <w:spacing w:after="0" w:line="225"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i w:val="1"/>
          <w:iCs w:val="1"/>
          <w:color w:val="auto"/>
        </w:rPr>
        <w:t xml:space="preserve">“Restricted Shares” </w:t>
      </w:r>
      <w:r>
        <w:rPr>
          <w:rFonts w:ascii="Arial" w:cs="Arial" w:eastAsia="Arial" w:hAnsi="Arial"/>
          <w:sz w:val="18"/>
          <w:szCs w:val="18"/>
          <w:color w:val="auto"/>
        </w:rPr>
        <w:t>means the shares of Stock underlying a Restricted Stock Award that remain subject to a risk of forfeiture or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right of repurchase.</w:t>
      </w:r>
    </w:p>
    <w:p>
      <w:pPr>
        <w:spacing w:after="0" w:line="170"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i w:val="1"/>
          <w:iCs w:val="1"/>
          <w:color w:val="auto"/>
        </w:rPr>
        <w:t xml:space="preserve">“Restricted Stock Award” </w:t>
      </w:r>
      <w:r>
        <w:rPr>
          <w:rFonts w:ascii="Arial" w:cs="Arial" w:eastAsia="Arial" w:hAnsi="Arial"/>
          <w:sz w:val="18"/>
          <w:szCs w:val="18"/>
          <w:color w:val="auto"/>
        </w:rPr>
        <w:t>means an Award of Restricted Shares subject to such restrictions and conditions as the Administrator may determine at</w:t>
      </w:r>
      <w:r>
        <w:rPr>
          <w:rFonts w:ascii="Arial" w:cs="Arial" w:eastAsia="Arial" w:hAnsi="Arial"/>
          <w:sz w:val="18"/>
          <w:szCs w:val="18"/>
          <w:i w:val="1"/>
          <w:iCs w:val="1"/>
          <w:color w:val="auto"/>
        </w:rPr>
        <w:t xml:space="preserve"> </w:t>
      </w:r>
      <w:r>
        <w:rPr>
          <w:rFonts w:ascii="Arial" w:cs="Arial" w:eastAsia="Arial" w:hAnsi="Arial"/>
          <w:sz w:val="18"/>
          <w:szCs w:val="18"/>
          <w:color w:val="auto"/>
        </w:rPr>
        <w:t>the time of grant.</w:t>
      </w:r>
    </w:p>
    <w:p>
      <w:pPr>
        <w:spacing w:after="0" w:line="170"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means an Award of stock units subject to such restrictions and conditions as the Administrator may determine at the time</w:t>
      </w:r>
      <w:r>
        <w:rPr>
          <w:rFonts w:ascii="Arial" w:cs="Arial" w:eastAsia="Arial" w:hAnsi="Arial"/>
          <w:sz w:val="18"/>
          <w:szCs w:val="18"/>
          <w:i w:val="1"/>
          <w:iCs w:val="1"/>
          <w:color w:val="auto"/>
        </w:rPr>
        <w:t xml:space="preserve"> </w:t>
      </w:r>
      <w:r>
        <w:rPr>
          <w:rFonts w:ascii="Arial" w:cs="Arial" w:eastAsia="Arial" w:hAnsi="Arial"/>
          <w:sz w:val="18"/>
          <w:szCs w:val="18"/>
          <w:color w:val="auto"/>
        </w:rPr>
        <w:t>of grant.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 xml:space="preserve">“Sale Event” </w:t>
      </w:r>
      <w:r>
        <w:rPr>
          <w:rFonts w:ascii="Arial" w:cs="Arial" w:eastAsia="Arial" w:hAnsi="Arial"/>
          <w:sz w:val="16"/>
          <w:szCs w:val="16"/>
          <w:color w:val="auto"/>
        </w:rPr>
        <w:t>shall mean (i) the sale of all or substantially all of the assets of the Company on a consolidated basis to an unrelated person or entity,</w:t>
      </w:r>
    </w:p>
    <w:p>
      <w:pPr>
        <w:spacing w:after="0" w:line="46" w:lineRule="exact"/>
        <w:rPr>
          <w:sz w:val="20"/>
          <w:szCs w:val="20"/>
          <w:color w:val="auto"/>
        </w:rPr>
      </w:pPr>
    </w:p>
    <w:p>
      <w:pPr>
        <w:ind w:left="260" w:hanging="256"/>
        <w:spacing w:after="0"/>
        <w:tabs>
          <w:tab w:leader="none" w:pos="2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merger, reorganization or consolidation pursuant to which the holders of the Company’s outstanding voting power and outstanding stock</w:t>
      </w:r>
    </w:p>
    <w:p>
      <w:pPr>
        <w:spacing w:after="0" w:line="20" w:lineRule="exact"/>
        <w:rPr>
          <w:rFonts w:ascii="Arial" w:cs="Arial" w:eastAsia="Arial" w:hAnsi="Arial"/>
          <w:sz w:val="17"/>
          <w:szCs w:val="17"/>
          <w:color w:val="auto"/>
        </w:rPr>
      </w:pPr>
    </w:p>
    <w:p>
      <w:pPr>
        <w:spacing w:after="0" w:line="292" w:lineRule="auto"/>
        <w:rPr>
          <w:rFonts w:ascii="Arial" w:cs="Arial" w:eastAsia="Arial" w:hAnsi="Arial"/>
          <w:sz w:val="17"/>
          <w:szCs w:val="17"/>
          <w:color w:val="auto"/>
        </w:rPr>
      </w:pPr>
      <w:r>
        <w:rPr>
          <w:rFonts w:ascii="Arial" w:cs="Arial" w:eastAsia="Arial" w:hAnsi="Arial"/>
          <w:sz w:val="16"/>
          <w:szCs w:val="16"/>
          <w:color w:val="auto"/>
        </w:rPr>
        <w:t>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11" w:name="page12"/>
    <w:bookmarkEnd w:id="11"/>
    <w:p>
      <w:pPr>
        <w:ind w:right="22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Sale Price</w:t>
      </w:r>
      <w:r>
        <w:rPr>
          <w:rFonts w:ascii="Arial" w:cs="Arial" w:eastAsia="Arial" w:hAnsi="Arial"/>
          <w:sz w:val="18"/>
          <w:szCs w:val="18"/>
          <w:color w:val="auto"/>
        </w:rPr>
        <w:t>” means the value as determined by the Administrator of the consideration payable, or otherwise to be received by stockholders, per share of Stock pursuant to a Sale Event.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“Section 409A” </w:t>
      </w:r>
      <w:r>
        <w:rPr>
          <w:rFonts w:ascii="Arial" w:cs="Arial" w:eastAsia="Arial" w:hAnsi="Arial"/>
          <w:sz w:val="18"/>
          <w:szCs w:val="18"/>
          <w:color w:val="auto"/>
        </w:rPr>
        <w:t>means Section 409A of the Code and the regulations and other guidance promulgated thereunder.</w:t>
      </w:r>
    </w:p>
    <w:p>
      <w:pPr>
        <w:spacing w:after="0" w:line="225"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i w:val="1"/>
          <w:iCs w:val="1"/>
          <w:color w:val="auto"/>
        </w:rPr>
        <w:t xml:space="preserve">“Service Relationship” </w:t>
      </w:r>
      <w:r>
        <w:rPr>
          <w:rFonts w:ascii="Arial" w:cs="Arial" w:eastAsia="Arial" w:hAnsi="Arial"/>
          <w:sz w:val="18"/>
          <w:szCs w:val="18"/>
          <w:color w:val="auto"/>
        </w:rPr>
        <w:t>means any relationship as a full-time employee, part-time employee, director or other advisor (including Consultants)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or any Subsidiary or any successor entity (e.g., a Service Relationship shall be deemed to continue without interruption in the event an individual’s status changes from full-time employee to part-time employee or Consultant).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“Stock” </w:t>
      </w:r>
      <w:r>
        <w:rPr>
          <w:rFonts w:ascii="Arial" w:cs="Arial" w:eastAsia="Arial" w:hAnsi="Arial"/>
          <w:sz w:val="18"/>
          <w:szCs w:val="18"/>
          <w:color w:val="auto"/>
        </w:rPr>
        <w:t>means the Common Stock, par value $0.0001 per share, of the Company, subject to adjustments pursuant to Section 3.</w:t>
      </w:r>
    </w:p>
    <w:p>
      <w:pPr>
        <w:spacing w:after="0" w:line="225" w:lineRule="exact"/>
        <w:rPr>
          <w:sz w:val="20"/>
          <w:szCs w:val="20"/>
          <w:color w:val="auto"/>
        </w:rPr>
      </w:pPr>
    </w:p>
    <w:p>
      <w:pPr>
        <w:ind w:firstLine="441"/>
        <w:spacing w:after="0" w:line="312" w:lineRule="auto"/>
        <w:rPr>
          <w:sz w:val="20"/>
          <w:szCs w:val="20"/>
          <w:color w:val="auto"/>
        </w:rPr>
      </w:pPr>
      <w:r>
        <w:rPr>
          <w:rFonts w:ascii="Arial" w:cs="Arial" w:eastAsia="Arial" w:hAnsi="Arial"/>
          <w:sz w:val="16"/>
          <w:szCs w:val="16"/>
          <w:i w:val="1"/>
          <w:iCs w:val="1"/>
          <w:color w:val="auto"/>
        </w:rPr>
        <w:t xml:space="preserve">“Stock Appreciation Right” </w:t>
      </w:r>
      <w:r>
        <w:rPr>
          <w:rFonts w:ascii="Arial" w:cs="Arial" w:eastAsia="Arial" w:hAnsi="Arial"/>
          <w:sz w:val="16"/>
          <w:szCs w:val="16"/>
          <w:color w:val="auto"/>
        </w:rPr>
        <w:t>means an Award entitling the recipient to receive shares of Stock (or cash, to the extent explicitly provided for in the</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Award Certificate)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spacing w:after="0" w:line="147"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any corporation or other entity (other than the Company) in which the Company has at least a 50 percent interest, either</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or indirectly.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“Unrestricted Stock Award” </w:t>
      </w:r>
      <w:r>
        <w:rPr>
          <w:rFonts w:ascii="Arial" w:cs="Arial" w:eastAsia="Arial" w:hAnsi="Arial"/>
          <w:sz w:val="18"/>
          <w:szCs w:val="18"/>
          <w:color w:val="auto"/>
        </w:rPr>
        <w:t>means an Award of shares of Stock free of any restrictions.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ADMINISTRATION OF PLAN; ADMINISTRATOR AUTHORITY TO SELECT GRANTEES AND DETERMINE AWARDS</w:t>
      </w:r>
    </w:p>
    <w:p>
      <w:pPr>
        <w:spacing w:after="0" w:line="117" w:lineRule="exact"/>
        <w:rPr>
          <w:sz w:val="20"/>
          <w:szCs w:val="20"/>
          <w:color w:val="auto"/>
        </w:rPr>
      </w:pPr>
    </w:p>
    <w:p>
      <w:pPr>
        <w:ind w:left="680" w:hanging="236"/>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Administration of Plan</w:t>
      </w:r>
      <w:r>
        <w:rPr>
          <w:rFonts w:ascii="Arial" w:cs="Arial" w:eastAsia="Arial" w:hAnsi="Arial"/>
          <w:sz w:val="18"/>
          <w:szCs w:val="18"/>
          <w:color w:val="auto"/>
        </w:rPr>
        <w:t>. The Plan shall be administered by the Administrator.</w:t>
      </w:r>
    </w:p>
    <w:p>
      <w:pPr>
        <w:spacing w:after="0" w:line="117" w:lineRule="exact"/>
        <w:rPr>
          <w:rFonts w:ascii="Arial" w:cs="Arial" w:eastAsia="Arial" w:hAnsi="Arial"/>
          <w:sz w:val="18"/>
          <w:szCs w:val="18"/>
          <w:color w:val="auto"/>
        </w:rPr>
      </w:pPr>
    </w:p>
    <w:p>
      <w:pPr>
        <w:ind w:right="640" w:firstLine="444"/>
        <w:spacing w:after="0" w:line="277" w:lineRule="auto"/>
        <w:tabs>
          <w:tab w:leader="none" w:pos="69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Powers of Administrator</w:t>
      </w:r>
      <w:r>
        <w:rPr>
          <w:rFonts w:ascii="Arial" w:cs="Arial" w:eastAsia="Arial" w:hAnsi="Arial"/>
          <w:sz w:val="18"/>
          <w:szCs w:val="18"/>
          <w:color w:val="auto"/>
        </w:rPr>
        <w:t>. The Administrator shall have the power and authority to grant Awards consistent with the terms of the Plan, including the power and authority:</w:t>
      </w:r>
    </w:p>
    <w:p>
      <w:pPr>
        <w:spacing w:after="0" w:line="62" w:lineRule="exact"/>
        <w:rPr>
          <w:rFonts w:ascii="Arial" w:cs="Arial" w:eastAsia="Arial" w:hAnsi="Arial"/>
          <w:sz w:val="18"/>
          <w:szCs w:val="18"/>
          <w:color w:val="auto"/>
        </w:rPr>
      </w:pPr>
    </w:p>
    <w:p>
      <w:pPr>
        <w:ind w:left="1220" w:hanging="224"/>
        <w:spacing w:after="0"/>
        <w:tabs>
          <w:tab w:leader="none" w:pos="1220" w:val="left"/>
        </w:tabs>
        <w:numPr>
          <w:ilvl w:val="1"/>
          <w:numId w:val="11"/>
        </w:numPr>
        <w:rPr>
          <w:rFonts w:ascii="Arial" w:cs="Arial" w:eastAsia="Arial" w:hAnsi="Arial"/>
          <w:sz w:val="17"/>
          <w:szCs w:val="17"/>
          <w:color w:val="auto"/>
        </w:rPr>
      </w:pPr>
      <w:r>
        <w:rPr>
          <w:rFonts w:ascii="Arial" w:cs="Arial" w:eastAsia="Arial" w:hAnsi="Arial"/>
          <w:sz w:val="17"/>
          <w:szCs w:val="17"/>
          <w:color w:val="auto"/>
        </w:rPr>
        <w:t xml:space="preserve">to select the individuals to whom Awards may from time to time be granted; </w:t>
      </w:r>
      <w:r>
        <w:rPr>
          <w:rFonts w:ascii="Arial" w:cs="Arial" w:eastAsia="Arial" w:hAnsi="Arial"/>
          <w:sz w:val="17"/>
          <w:szCs w:val="17"/>
          <w:i w:val="1"/>
          <w:iCs w:val="1"/>
          <w:color w:val="auto"/>
        </w:rPr>
        <w:t>provided</w:t>
      </w:r>
      <w:r>
        <w:rPr>
          <w:rFonts w:ascii="Arial" w:cs="Arial" w:eastAsia="Arial" w:hAnsi="Arial"/>
          <w:sz w:val="17"/>
          <w:szCs w:val="17"/>
          <w:color w:val="auto"/>
        </w:rPr>
        <w:t>, such individuals are Eligible Employees;</w:t>
      </w:r>
    </w:p>
    <w:p>
      <w:pPr>
        <w:spacing w:after="0" w:line="128" w:lineRule="exact"/>
        <w:rPr>
          <w:rFonts w:ascii="Arial" w:cs="Arial" w:eastAsia="Arial" w:hAnsi="Arial"/>
          <w:sz w:val="17"/>
          <w:szCs w:val="17"/>
          <w:color w:val="auto"/>
        </w:rPr>
      </w:pPr>
    </w:p>
    <w:p>
      <w:pPr>
        <w:jc w:val="both"/>
        <w:ind w:right="140" w:firstLine="996"/>
        <w:spacing w:after="0" w:line="264" w:lineRule="auto"/>
        <w:tabs>
          <w:tab w:leader="none" w:pos="1257" w:val="left"/>
        </w:tabs>
        <w:numPr>
          <w:ilvl w:val="1"/>
          <w:numId w:val="11"/>
        </w:numPr>
        <w:rPr>
          <w:rFonts w:ascii="Arial" w:cs="Arial" w:eastAsia="Arial" w:hAnsi="Arial"/>
          <w:sz w:val="18"/>
          <w:szCs w:val="18"/>
          <w:color w:val="auto"/>
        </w:rPr>
      </w:pPr>
      <w:r>
        <w:rPr>
          <w:rFonts w:ascii="Arial" w:cs="Arial" w:eastAsia="Arial" w:hAnsi="Arial"/>
          <w:sz w:val="18"/>
          <w:szCs w:val="18"/>
          <w:color w:val="auto"/>
        </w:rPr>
        <w:t>to determine the time or times of grant, and the extent, if any, of Stock Options, Stock Appreciation Rights, Restricted Stock Awards, Restricted Stock Units, Unrestricted Stock Awards, and Dividend Equivalent Rights, or any combination of the foregoing, granted to any one or more grantees;</w:t>
      </w:r>
    </w:p>
    <w:p>
      <w:pPr>
        <w:spacing w:after="0" w:line="73" w:lineRule="exact"/>
        <w:rPr>
          <w:rFonts w:ascii="Arial" w:cs="Arial" w:eastAsia="Arial" w:hAnsi="Arial"/>
          <w:sz w:val="18"/>
          <w:szCs w:val="18"/>
          <w:color w:val="auto"/>
        </w:rPr>
      </w:pPr>
    </w:p>
    <w:p>
      <w:pPr>
        <w:ind w:left="1320" w:hanging="324"/>
        <w:spacing w:after="0"/>
        <w:tabs>
          <w:tab w:leader="none" w:pos="13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to determine the number of shares of Stock to be covered by any Award;</w:t>
      </w:r>
    </w:p>
    <w:p>
      <w:pPr>
        <w:spacing w:after="0" w:line="117" w:lineRule="exact"/>
        <w:rPr>
          <w:rFonts w:ascii="Arial" w:cs="Arial" w:eastAsia="Arial" w:hAnsi="Arial"/>
          <w:sz w:val="18"/>
          <w:szCs w:val="18"/>
          <w:color w:val="auto"/>
        </w:rPr>
      </w:pPr>
    </w:p>
    <w:p>
      <w:pPr>
        <w:ind w:firstLine="996"/>
        <w:spacing w:after="0" w:line="342" w:lineRule="auto"/>
        <w:tabs>
          <w:tab w:leader="none" w:pos="1297" w:val="left"/>
        </w:tabs>
        <w:numPr>
          <w:ilvl w:val="1"/>
          <w:numId w:val="11"/>
        </w:numPr>
        <w:rPr>
          <w:rFonts w:ascii="Arial" w:cs="Arial" w:eastAsia="Arial" w:hAnsi="Arial"/>
          <w:sz w:val="16"/>
          <w:szCs w:val="16"/>
          <w:color w:val="auto"/>
        </w:rPr>
      </w:pPr>
      <w:r>
        <w:rPr>
          <w:rFonts w:ascii="Arial" w:cs="Arial" w:eastAsia="Arial" w:hAnsi="Arial"/>
          <w:sz w:val="16"/>
          <w:szCs w:val="16"/>
          <w:color w:val="auto"/>
        </w:rPr>
        <w:t>to 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12" w:name="page13"/>
    <w:bookmarkEnd w:id="12"/>
    <w:p>
      <w:pPr>
        <w:ind w:left="1220" w:hanging="264"/>
        <w:spacing w:after="0"/>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accelerate at any time the exercisability or vesting of all or any portion of any Award;</w:t>
      </w:r>
    </w:p>
    <w:p>
      <w:pPr>
        <w:spacing w:after="0" w:line="117" w:lineRule="exact"/>
        <w:rPr>
          <w:rFonts w:ascii="Arial" w:cs="Arial" w:eastAsia="Arial" w:hAnsi="Arial"/>
          <w:sz w:val="18"/>
          <w:szCs w:val="18"/>
          <w:color w:val="auto"/>
        </w:rPr>
      </w:pPr>
    </w:p>
    <w:p>
      <w:pPr>
        <w:ind w:left="1260" w:hanging="304"/>
        <w:spacing w:after="0"/>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subject to the provisions of Section 5(c), to extend at any time the period in which Stock Options may be exercised; and</w:t>
      </w:r>
    </w:p>
    <w:p>
      <w:pPr>
        <w:spacing w:after="0" w:line="117" w:lineRule="exact"/>
        <w:rPr>
          <w:rFonts w:ascii="Arial" w:cs="Arial" w:eastAsia="Arial" w:hAnsi="Arial"/>
          <w:sz w:val="18"/>
          <w:szCs w:val="18"/>
          <w:color w:val="auto"/>
        </w:rPr>
      </w:pPr>
    </w:p>
    <w:p>
      <w:pPr>
        <w:ind w:left="-40" w:right="80" w:firstLine="996"/>
        <w:spacing w:after="0" w:line="259" w:lineRule="auto"/>
        <w:tabs>
          <w:tab w:leader="none" w:pos="1307"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All decisions and interpretations of the Administrator shall be binding on all persons, including the Company and Plan grantees.</w:t>
      </w:r>
    </w:p>
    <w:p>
      <w:pPr>
        <w:spacing w:after="0" w:line="117" w:lineRule="exact"/>
        <w:rPr>
          <w:sz w:val="20"/>
          <w:szCs w:val="20"/>
          <w:color w:val="auto"/>
        </w:rPr>
      </w:pPr>
    </w:p>
    <w:p>
      <w:pPr>
        <w:ind w:left="-40" w:right="40" w:firstLine="444"/>
        <w:spacing w:after="0" w:line="264" w:lineRule="auto"/>
        <w:tabs>
          <w:tab w:leader="none" w:pos="645"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Award Certificate</w:t>
      </w:r>
      <w:r>
        <w:rPr>
          <w:rFonts w:ascii="Arial" w:cs="Arial" w:eastAsia="Arial" w:hAnsi="Arial"/>
          <w:sz w:val="18"/>
          <w:szCs w:val="18"/>
          <w:color w:val="auto"/>
        </w:rPr>
        <w:t>. Awards under the Plan shall be evidenced by Award Certificates that set forth the terms, conditions and limitations for each Award which may include, without limitation, the term of an Award and the provisions applicable in the event employment or service of the grantee terminates.</w:t>
      </w:r>
    </w:p>
    <w:p>
      <w:pPr>
        <w:spacing w:after="0" w:line="73" w:lineRule="exact"/>
        <w:rPr>
          <w:rFonts w:ascii="Arial" w:cs="Arial" w:eastAsia="Arial" w:hAnsi="Arial"/>
          <w:sz w:val="18"/>
          <w:szCs w:val="18"/>
          <w:color w:val="auto"/>
        </w:rPr>
      </w:pPr>
    </w:p>
    <w:p>
      <w:pPr>
        <w:ind w:left="-40" w:right="180" w:firstLine="444"/>
        <w:spacing w:after="0" w:line="273"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spacing w:after="0" w:line="70" w:lineRule="exact"/>
        <w:rPr>
          <w:rFonts w:ascii="Arial" w:cs="Arial" w:eastAsia="Arial" w:hAnsi="Arial"/>
          <w:sz w:val="17"/>
          <w:szCs w:val="17"/>
          <w:color w:val="auto"/>
        </w:rPr>
      </w:pPr>
    </w:p>
    <w:p>
      <w:pPr>
        <w:ind w:left="-40" w:firstLine="444"/>
        <w:spacing w:after="0" w:line="287" w:lineRule="auto"/>
        <w:tabs>
          <w:tab w:leader="none" w:pos="645"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Foreign Award Recipients</w:t>
      </w:r>
      <w:r>
        <w:rPr>
          <w:rFonts w:ascii="Arial" w:cs="Arial" w:eastAsia="Arial" w:hAnsi="Arial"/>
          <w:sz w:val="16"/>
          <w:szCs w:val="16"/>
          <w:color w:val="auto"/>
        </w:rPr>
        <w:t>. Notwithstanding any provision of the Plan to the contrary, in order to comply with the laws in other countries in which the Company and its Subsidiaries operate or have employees eligible for Awards, the Administrator, in its sole discretion, shall have the power and authority to: (i) determine which Subsidiaries shall be covered by the Plan; (ii) determine which Eligible Employees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Administrator determines such actions to be necessary or advisable (and such subplans and/or modifications shall be attached to this Plan as appendices) and subject to the Nasdaq Listing Rule 5635(c)(4) and related guidelines and interpretations; provided, however, that no such subplans and/or modifications shall increase the share limitation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 or NASDAQ Listing Rule 5635(c).</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480" w:top="274" w:right="47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 </w:t>
      </w:r>
      <w:r>
        <w:rPr>
          <w:rFonts w:ascii="Arial" w:cs="Arial" w:eastAsia="Arial" w:hAnsi="Arial"/>
          <w:sz w:val="18"/>
          <w:szCs w:val="18"/>
          <w:u w:val="single" w:color="auto"/>
          <w:color w:val="auto"/>
        </w:rPr>
        <w:t>STOCK ISSUABLE UNDER THE PLAN; MERGERS; SUBSTITUTION</w:t>
      </w:r>
    </w:p>
    <w:p>
      <w:pPr>
        <w:spacing w:after="0" w:line="117" w:lineRule="exact"/>
        <w:rPr>
          <w:sz w:val="20"/>
          <w:szCs w:val="20"/>
          <w:color w:val="auto"/>
        </w:rPr>
      </w:pPr>
    </w:p>
    <w:p>
      <w:pPr>
        <w:ind w:right="20" w:firstLine="444"/>
        <w:spacing w:after="0" w:line="271" w:lineRule="auto"/>
        <w:tabs>
          <w:tab w:leader="none" w:pos="685" w:val="left"/>
        </w:tabs>
        <w:numPr>
          <w:ilvl w:val="1"/>
          <w:numId w:val="14"/>
        </w:numPr>
        <w:rPr>
          <w:rFonts w:ascii="Arial" w:cs="Arial" w:eastAsia="Arial" w:hAnsi="Arial"/>
          <w:sz w:val="17"/>
          <w:szCs w:val="17"/>
          <w:color w:val="auto"/>
        </w:rPr>
      </w:pPr>
      <w:r>
        <w:rPr>
          <w:rFonts w:ascii="Arial" w:cs="Arial" w:eastAsia="Arial" w:hAnsi="Arial"/>
          <w:sz w:val="17"/>
          <w:szCs w:val="17"/>
          <w:u w:val="single" w:color="auto"/>
          <w:color w:val="auto"/>
        </w:rPr>
        <w:t>Stock Issuable</w:t>
      </w:r>
      <w:r>
        <w:rPr>
          <w:rFonts w:ascii="Arial" w:cs="Arial" w:eastAsia="Arial" w:hAnsi="Arial"/>
          <w:sz w:val="17"/>
          <w:szCs w:val="17"/>
          <w:color w:val="auto"/>
        </w:rPr>
        <w:t>. The maximum number of shares of Stock reserved and available for issuance under the Plan shall be 1,800,000 shares, subject to adjustment as provided in Section 3(b). For purposes of this limitation, the shares of Stock underlying any Awards under the Plan that are forfeited, canceled, held back upon exercise of an Option or settlement of an Award to cover the exercise price or tax withholding, reacquired by the Company prior to vesting, satisfied without the issuance of Stock or otherwise terminated (other than by exercise or settlement) shall be added back to the shares of Stock available for issuance under the Plan. In the event the Company repurchases shares of Stock on the open market, such shares shall not be added to the shares of Stock available for issuance under the Plan. Subject to such overall limitation, shares of Stock may be issued up to such maximum number pursuant to any type or types of Award. The shares available for issuance under the Plan may be authorized but unissued shares of Stock or shares of Stock reacquired by the Company.</w:t>
      </w:r>
    </w:p>
    <w:p>
      <w:pPr>
        <w:spacing w:after="0" w:line="70" w:lineRule="exact"/>
        <w:rPr>
          <w:rFonts w:ascii="Arial" w:cs="Arial" w:eastAsia="Arial" w:hAnsi="Arial"/>
          <w:sz w:val="17"/>
          <w:szCs w:val="17"/>
          <w:color w:val="auto"/>
        </w:rPr>
      </w:pPr>
    </w:p>
    <w:p>
      <w:pPr>
        <w:ind w:right="80" w:firstLine="444"/>
        <w:spacing w:after="0" w:line="284" w:lineRule="auto"/>
        <w:tabs>
          <w:tab w:leader="none" w:pos="695"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Changes in Stock</w:t>
      </w:r>
      <w:r>
        <w:rPr>
          <w:rFonts w:ascii="Arial" w:cs="Arial" w:eastAsia="Arial" w:hAnsi="Arial"/>
          <w:sz w:val="16"/>
          <w:szCs w:val="16"/>
          <w:color w:val="auto"/>
        </w:rPr>
        <w:t>. Subject to Section 3(c) hereof, if, as a result of any reorganization, recapitalization, reclassification, stock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w:t>
      </w:r>
    </w:p>
    <w:p>
      <w:pPr>
        <w:spacing w:after="0" w:line="4" w:lineRule="exact"/>
        <w:rPr>
          <w:rFonts w:ascii="Arial" w:cs="Arial" w:eastAsia="Arial" w:hAnsi="Arial"/>
          <w:sz w:val="16"/>
          <w:szCs w:val="16"/>
          <w:color w:val="auto"/>
        </w:rPr>
      </w:pPr>
    </w:p>
    <w:p>
      <w:pPr>
        <w:ind w:firstLine="4"/>
        <w:spacing w:after="0" w:line="268" w:lineRule="auto"/>
        <w:tabs>
          <w:tab w:leader="none" w:pos="21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maximum number of shares reserved for issuance under the Plan,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73" w:lineRule="exact"/>
        <w:rPr>
          <w:rFonts w:ascii="Arial" w:cs="Arial" w:eastAsia="Arial" w:hAnsi="Arial"/>
          <w:sz w:val="17"/>
          <w:szCs w:val="17"/>
          <w:color w:val="auto"/>
        </w:rPr>
      </w:pPr>
    </w:p>
    <w:p>
      <w:pPr>
        <w:ind w:right="80" w:firstLine="444"/>
        <w:spacing w:after="0" w:line="259" w:lineRule="auto"/>
        <w:tabs>
          <w:tab w:leader="none" w:pos="685"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Mergers and Other Transactions</w:t>
      </w:r>
      <w:r>
        <w:rPr>
          <w:rFonts w:ascii="Arial" w:cs="Arial" w:eastAsia="Arial" w:hAnsi="Arial"/>
          <w:sz w:val="18"/>
          <w:szCs w:val="18"/>
          <w:color w:val="auto"/>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4" w:name="page15"/>
    <w:bookmarkEnd w:id="14"/>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Certificate, all Options and Stock Appreciation Rights that are not exercisable immediately prior to the effective time of the Sale Event shall become fully exercisable as of the effective time of the Sale Event, all other Awards with time-based vesting, conditions or restrictions shall become fully vested and nonforfeitable as of the effective time of the Sale Event, and all Awards with conditions and restrictions relating to the attainment of performance goals may become vested and nonforfeitable in connection with a Sale Event in the Administrator’s discretion or to the extent specified in the relevant Award Certificate.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after taking into account any acceleration thereunder at prices not in excess of the Sale Price) and (B) the aggregate exercise price of all such outstanding Options and Stock Appreciation Rights (provided that, in the case of an Option or Stock Appreciation Right with an exercise price equal to or less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of Stock under such Awards.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ELIGIBILITY</w:t>
      </w:r>
    </w:p>
    <w:p>
      <w:pPr>
        <w:spacing w:after="0" w:line="117"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Grantees under the Plan will be such Eligible Employees to whom the Company may issue securities without stockholder approval in accordance with Rules 5635(c)(4) of the Marketplace Rules of the Nasdaq Stock Market, Inc., as are selected from time to time by the Administrator in its sole discretion.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STOCK OPTIONS</w:t>
      </w:r>
    </w:p>
    <w:p>
      <w:pPr>
        <w:spacing w:after="0" w:line="117" w:lineRule="exact"/>
        <w:rPr>
          <w:sz w:val="20"/>
          <w:szCs w:val="20"/>
          <w:color w:val="auto"/>
        </w:rPr>
      </w:pPr>
    </w:p>
    <w:p>
      <w:pPr>
        <w:ind w:right="20" w:firstLine="444"/>
        <w:spacing w:after="0" w:line="308" w:lineRule="auto"/>
        <w:tabs>
          <w:tab w:leader="none" w:pos="685"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Award of Stock Options</w:t>
      </w:r>
      <w:r>
        <w:rPr>
          <w:rFonts w:ascii="Arial" w:cs="Arial" w:eastAsia="Arial" w:hAnsi="Arial"/>
          <w:sz w:val="17"/>
          <w:szCs w:val="17"/>
          <w:color w:val="auto"/>
        </w:rPr>
        <w:t>. The Administrator may grant Stock Options under the Plan. Any Stock Option granted under the Plan shall be in such form as the Administrator may from time to time approve. All Stock Options granted under the Plan shall be non-qualified stock options.</w:t>
      </w:r>
    </w:p>
    <w:p>
      <w:pPr>
        <w:spacing w:after="0" w:line="147"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Stock Options granted pursuant to this Section 5 shall be subject to the following terms and conditions and shall contain such additional terms and conditions, not inconsistent with the terms of the Plan, as the Administrator shall deem desirable.</w:t>
      </w:r>
    </w:p>
    <w:p>
      <w:pPr>
        <w:spacing w:after="0" w:line="62" w:lineRule="exact"/>
        <w:rPr>
          <w:sz w:val="20"/>
          <w:szCs w:val="20"/>
          <w:color w:val="auto"/>
        </w:rPr>
      </w:pPr>
    </w:p>
    <w:p>
      <w:pPr>
        <w:ind w:right="100" w:firstLine="444"/>
        <w:spacing w:after="0" w:line="277" w:lineRule="auto"/>
        <w:tabs>
          <w:tab w:leader="none" w:pos="695"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per share for the Stock covered by a Stock Option granted pursuant to this Section 5 shall be determined by the Administrator at the time of grant but shall not be less than 100 percent of the Fair Market Value on the date of grant.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15" w:name="page16"/>
    <w:bookmarkEnd w:id="15"/>
    <w:p>
      <w:pPr>
        <w:ind w:right="80" w:firstLine="444"/>
        <w:spacing w:after="0" w:line="277" w:lineRule="auto"/>
        <w:tabs>
          <w:tab w:leader="none" w:pos="685"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Option Term</w:t>
      </w:r>
      <w:r>
        <w:rPr>
          <w:rFonts w:ascii="Arial" w:cs="Arial" w:eastAsia="Arial" w:hAnsi="Arial"/>
          <w:sz w:val="18"/>
          <w:szCs w:val="18"/>
          <w:color w:val="auto"/>
        </w:rPr>
        <w:t>. The term of each Stock Option shall be fixed by the Administrator, but no Stock Option shall be exercisable more than ten years after the date the Stock Option is granted.</w:t>
      </w:r>
    </w:p>
    <w:p>
      <w:pPr>
        <w:spacing w:after="0" w:line="62" w:lineRule="exact"/>
        <w:rPr>
          <w:rFonts w:ascii="Arial" w:cs="Arial" w:eastAsia="Arial" w:hAnsi="Arial"/>
          <w:sz w:val="18"/>
          <w:szCs w:val="18"/>
          <w:color w:val="auto"/>
        </w:rPr>
      </w:pPr>
    </w:p>
    <w:p>
      <w:pPr>
        <w:ind w:firstLine="444"/>
        <w:spacing w:after="0" w:line="259" w:lineRule="auto"/>
        <w:tabs>
          <w:tab w:leader="none" w:pos="695"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Exercisability; Rights of a Stockholder</w:t>
      </w:r>
      <w:r>
        <w:rPr>
          <w:rFonts w:ascii="Arial" w:cs="Arial" w:eastAsia="Arial" w:hAnsi="Arial"/>
          <w:sz w:val="18"/>
          <w:szCs w:val="18"/>
          <w:color w:val="auto"/>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78" w:lineRule="exact"/>
        <w:rPr>
          <w:rFonts w:ascii="Arial" w:cs="Arial" w:eastAsia="Arial" w:hAnsi="Arial"/>
          <w:sz w:val="18"/>
          <w:szCs w:val="18"/>
          <w:color w:val="auto"/>
        </w:rPr>
      </w:pPr>
    </w:p>
    <w:p>
      <w:pPr>
        <w:jc w:val="both"/>
        <w:ind w:right="300" w:firstLine="444"/>
        <w:spacing w:after="0" w:line="264" w:lineRule="auto"/>
        <w:tabs>
          <w:tab w:leader="none" w:pos="685"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Option Award Certificate:</w:t>
      </w:r>
    </w:p>
    <w:p>
      <w:pPr>
        <w:spacing w:after="0" w:line="73" w:lineRule="exact"/>
        <w:rPr>
          <w:rFonts w:ascii="Arial" w:cs="Arial" w:eastAsia="Arial" w:hAnsi="Arial"/>
          <w:sz w:val="18"/>
          <w:szCs w:val="18"/>
          <w:color w:val="auto"/>
        </w:rPr>
      </w:pPr>
    </w:p>
    <w:p>
      <w:pPr>
        <w:ind w:left="1220" w:hanging="224"/>
        <w:spacing w:after="0"/>
        <w:tabs>
          <w:tab w:leader="none" w:pos="12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 cash, by certified or bank check or other instrument acceptable to the Administrator;</w:t>
      </w:r>
    </w:p>
    <w:p>
      <w:pPr>
        <w:spacing w:after="0" w:line="117" w:lineRule="exact"/>
        <w:rPr>
          <w:rFonts w:ascii="Arial" w:cs="Arial" w:eastAsia="Arial" w:hAnsi="Arial"/>
          <w:sz w:val="18"/>
          <w:szCs w:val="18"/>
          <w:color w:val="auto"/>
        </w:rPr>
      </w:pPr>
    </w:p>
    <w:p>
      <w:pPr>
        <w:ind w:right="20" w:firstLine="996"/>
        <w:spacing w:after="0" w:line="342" w:lineRule="auto"/>
        <w:tabs>
          <w:tab w:leader="none" w:pos="1257"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Through the delivery (or attestation to the ownership following such procedures as the Company may prescribe) of shares of Stock that are not then subject to restrictions under any Company plan. Such surrendered shares shall be valued at Fair Market Value on the exercise date;</w:t>
      </w:r>
    </w:p>
    <w:p>
      <w:pPr>
        <w:spacing w:after="0" w:line="15" w:lineRule="exact"/>
        <w:rPr>
          <w:rFonts w:ascii="Arial" w:cs="Arial" w:eastAsia="Arial" w:hAnsi="Arial"/>
          <w:sz w:val="16"/>
          <w:szCs w:val="16"/>
          <w:color w:val="auto"/>
        </w:rPr>
      </w:pPr>
    </w:p>
    <w:p>
      <w:pPr>
        <w:ind w:right="80" w:firstLine="996"/>
        <w:spacing w:after="0" w:line="279" w:lineRule="auto"/>
        <w:tabs>
          <w:tab w:leader="none" w:pos="1307" w:val="left"/>
        </w:tabs>
        <w:numPr>
          <w:ilvl w:val="1"/>
          <w:numId w:val="18"/>
        </w:numPr>
        <w:rPr>
          <w:rFonts w:ascii="Arial" w:cs="Arial" w:eastAsia="Arial" w:hAnsi="Arial"/>
          <w:sz w:val="17"/>
          <w:szCs w:val="17"/>
          <w:color w:val="auto"/>
        </w:rPr>
      </w:pPr>
      <w:r>
        <w:rPr>
          <w:rFonts w:ascii="Arial" w:cs="Arial" w:eastAsia="Arial" w:hAnsi="Arial"/>
          <w:sz w:val="17"/>
          <w:szCs w:val="17"/>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Administrator shall prescribe as a condition of such payment procedure; or</w:t>
      </w:r>
    </w:p>
    <w:p>
      <w:pPr>
        <w:spacing w:after="0" w:line="63" w:lineRule="exact"/>
        <w:rPr>
          <w:rFonts w:ascii="Arial" w:cs="Arial" w:eastAsia="Arial" w:hAnsi="Arial"/>
          <w:sz w:val="17"/>
          <w:szCs w:val="17"/>
          <w:color w:val="auto"/>
        </w:rPr>
      </w:pPr>
    </w:p>
    <w:p>
      <w:pPr>
        <w:ind w:right="100" w:firstLine="996"/>
        <w:spacing w:after="0" w:line="277" w:lineRule="auto"/>
        <w:tabs>
          <w:tab w:leader="none" w:pos="1297" w:val="left"/>
        </w:tabs>
        <w:numPr>
          <w:ilvl w:val="1"/>
          <w:numId w:val="18"/>
        </w:numPr>
        <w:rPr>
          <w:rFonts w:ascii="Arial" w:cs="Arial" w:eastAsia="Arial" w:hAnsi="Arial"/>
          <w:sz w:val="18"/>
          <w:szCs w:val="18"/>
          <w:color w:val="auto"/>
        </w:rPr>
      </w:pPr>
      <w:r>
        <w:rPr>
          <w:rFonts w:ascii="Arial" w:cs="Arial" w:eastAsia="Arial" w:hAnsi="Arial"/>
          <w:sz w:val="18"/>
          <w:szCs w:val="18"/>
          <w:color w:val="auto"/>
        </w:rPr>
        <w:t>By a “net exercise” arrangement pursuant to which the Company will reduce the number of shares of Stock issuable upon exercise by the largest whole number of shares with a Fair Market Value that does not exceed the aggregate exercise price.</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the optionee’s stead in accordance with the provisions of the Stock Option) by the Company of the full purchase price for such shares and the fulfillment of any other requirements contained in the Option Award Certificate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 </w:t>
      </w:r>
      <w:r>
        <w:rPr>
          <w:rFonts w:ascii="Arial" w:cs="Arial" w:eastAsia="Arial" w:hAnsi="Arial"/>
          <w:sz w:val="18"/>
          <w:szCs w:val="18"/>
          <w:u w:val="single" w:color="auto"/>
          <w:color w:val="auto"/>
        </w:rPr>
        <w:t>STOCK APPRECIATION RIGHTS</w:t>
      </w:r>
    </w:p>
    <w:p>
      <w:pPr>
        <w:spacing w:after="0" w:line="117" w:lineRule="exact"/>
        <w:rPr>
          <w:sz w:val="20"/>
          <w:szCs w:val="20"/>
          <w:color w:val="auto"/>
        </w:rPr>
      </w:pPr>
    </w:p>
    <w:p>
      <w:pPr>
        <w:ind w:right="160" w:firstLine="444"/>
        <w:spacing w:after="0" w:line="302" w:lineRule="auto"/>
        <w:tabs>
          <w:tab w:leader="none" w:pos="685"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Award of Stock Appreciation Rights</w:t>
      </w:r>
      <w:r>
        <w:rPr>
          <w:rFonts w:ascii="Arial" w:cs="Arial" w:eastAsia="Arial" w:hAnsi="Arial"/>
          <w:sz w:val="16"/>
          <w:szCs w:val="16"/>
          <w:color w:val="auto"/>
        </w:rPr>
        <w:t>. The Administrator may grant Stock Appreciation Rights under the Plan. A Stock Appreciation Right is an Award entitling the recipient to receive shares of Stock (or cash, to the extent explicitly provided for in the applicable Award Certificate)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spacing w:after="0" w:line="46" w:lineRule="exact"/>
        <w:rPr>
          <w:rFonts w:ascii="Arial" w:cs="Arial" w:eastAsia="Arial" w:hAnsi="Arial"/>
          <w:sz w:val="16"/>
          <w:szCs w:val="16"/>
          <w:color w:val="auto"/>
        </w:rPr>
      </w:pPr>
    </w:p>
    <w:p>
      <w:pPr>
        <w:ind w:right="260" w:firstLine="444"/>
        <w:spacing w:after="0" w:line="277" w:lineRule="auto"/>
        <w:tabs>
          <w:tab w:leader="none" w:pos="695"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Exercise Price of Stock Appreciation Rights</w:t>
      </w:r>
      <w:r>
        <w:rPr>
          <w:rFonts w:ascii="Arial" w:cs="Arial" w:eastAsia="Arial" w:hAnsi="Arial"/>
          <w:sz w:val="18"/>
          <w:szCs w:val="18"/>
          <w:color w:val="auto"/>
        </w:rPr>
        <w:t>. The exercise price of a Stock Appreciation Right shall not be less than 100 percent of the Fair Market Value of the Stock on the date of grant.</w:t>
      </w:r>
    </w:p>
    <w:p>
      <w:pPr>
        <w:spacing w:after="0" w:line="62" w:lineRule="exact"/>
        <w:rPr>
          <w:rFonts w:ascii="Arial" w:cs="Arial" w:eastAsia="Arial" w:hAnsi="Arial"/>
          <w:sz w:val="18"/>
          <w:szCs w:val="18"/>
          <w:color w:val="auto"/>
        </w:rPr>
      </w:pPr>
    </w:p>
    <w:p>
      <w:pPr>
        <w:ind w:right="40" w:firstLine="444"/>
        <w:spacing w:after="0" w:line="277" w:lineRule="auto"/>
        <w:tabs>
          <w:tab w:leader="none" w:pos="685"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Grant and Exercise of Stock Appreciation Rights</w:t>
      </w:r>
      <w:r>
        <w:rPr>
          <w:rFonts w:ascii="Arial" w:cs="Arial" w:eastAsia="Arial" w:hAnsi="Arial"/>
          <w:sz w:val="18"/>
          <w:szCs w:val="18"/>
          <w:color w:val="auto"/>
        </w:rPr>
        <w:t>. Stock Appreciation Rights may be granted by the Administrator independently of any Stock Option granted pursuant to Section 5 of the Plan.</w:t>
      </w:r>
    </w:p>
    <w:p>
      <w:pPr>
        <w:spacing w:after="0" w:line="62" w:lineRule="exact"/>
        <w:rPr>
          <w:rFonts w:ascii="Arial" w:cs="Arial" w:eastAsia="Arial" w:hAnsi="Arial"/>
          <w:sz w:val="18"/>
          <w:szCs w:val="18"/>
          <w:color w:val="auto"/>
        </w:rPr>
      </w:pPr>
    </w:p>
    <w:p>
      <w:pPr>
        <w:ind w:right="260" w:firstLine="444"/>
        <w:spacing w:after="0" w:line="312" w:lineRule="auto"/>
        <w:tabs>
          <w:tab w:leader="none" w:pos="695"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Terms and Conditions of Stock Appreciation Rights</w:t>
      </w:r>
      <w:r>
        <w:rPr>
          <w:rFonts w:ascii="Arial" w:cs="Arial" w:eastAsia="Arial" w:hAnsi="Arial"/>
          <w:sz w:val="16"/>
          <w:szCs w:val="16"/>
          <w:color w:val="auto"/>
        </w:rPr>
        <w:t>.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RESTRICTED STOCK AWARDS</w:t>
      </w:r>
    </w:p>
    <w:p>
      <w:pPr>
        <w:spacing w:after="0" w:line="117" w:lineRule="exact"/>
        <w:rPr>
          <w:sz w:val="20"/>
          <w:szCs w:val="20"/>
          <w:color w:val="auto"/>
        </w:rPr>
      </w:pPr>
    </w:p>
    <w:p>
      <w:pPr>
        <w:ind w:firstLine="444"/>
        <w:spacing w:after="0" w:line="257" w:lineRule="auto"/>
        <w:tabs>
          <w:tab w:leader="none" w:pos="685"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Nature of Restricted Stock Awards</w:t>
      </w:r>
      <w:r>
        <w:rPr>
          <w:rFonts w:ascii="Arial" w:cs="Arial" w:eastAsia="Arial" w:hAnsi="Arial"/>
          <w:sz w:val="18"/>
          <w:szCs w:val="18"/>
          <w:color w:val="auto"/>
        </w:rPr>
        <w:t>.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 The terms and conditions of each such Award Certificate shall be determined by the Administrator, and such terms and conditions may differ among individual Awards and grantees.</w:t>
      </w:r>
    </w:p>
    <w:p>
      <w:pPr>
        <w:spacing w:after="0" w:line="80" w:lineRule="exact"/>
        <w:rPr>
          <w:rFonts w:ascii="Arial" w:cs="Arial" w:eastAsia="Arial" w:hAnsi="Arial"/>
          <w:sz w:val="18"/>
          <w:szCs w:val="18"/>
          <w:color w:val="auto"/>
        </w:rPr>
      </w:pPr>
    </w:p>
    <w:p>
      <w:pPr>
        <w:jc w:val="both"/>
        <w:ind w:right="80" w:firstLine="444"/>
        <w:spacing w:after="0" w:line="284" w:lineRule="auto"/>
        <w:tabs>
          <w:tab w:leader="none" w:pos="695" w:val="left"/>
        </w:tabs>
        <w:numPr>
          <w:ilvl w:val="1"/>
          <w:numId w:val="20"/>
        </w:numPr>
        <w:rPr>
          <w:rFonts w:ascii="Arial" w:cs="Arial" w:eastAsia="Arial" w:hAnsi="Arial"/>
          <w:sz w:val="16"/>
          <w:szCs w:val="16"/>
          <w:color w:val="auto"/>
        </w:rPr>
      </w:pPr>
      <w:r>
        <w:rPr>
          <w:rFonts w:ascii="Arial" w:cs="Arial" w:eastAsia="Arial" w:hAnsi="Arial"/>
          <w:sz w:val="16"/>
          <w:szCs w:val="16"/>
          <w:u w:val="single" w:color="auto"/>
          <w:color w:val="auto"/>
        </w:rPr>
        <w:t>Rights as a Stockholder</w:t>
      </w:r>
      <w:r>
        <w:rPr>
          <w:rFonts w:ascii="Arial" w:cs="Arial" w:eastAsia="Arial" w:hAnsi="Arial"/>
          <w:sz w:val="16"/>
          <w:szCs w:val="16"/>
          <w:color w:val="auto"/>
        </w:rPr>
        <w:t>. Upon the grant of the Restricted Stock Award and payment of any applicable purchase price, a grantee shall have the rights of a stockholder with respect to the voting of the Restricted Shares and receipt of dividends; provided that if the lapse of restrictions with respect to the Restricted Stock Award is tied to the attainment of performance goals, any dividends paid by the Company during the performance period shall accrue and shall not be paid to the grantee until and to the extent the performance goals are met with respect to the Restricted Stock Award. Unless the Administrator shall otherwise determine, (i) uncertificated Restricted Shares shall be accompanied by a notation on the records of the Company or the transfer agent to the effect that they are subject to forfeiture until such Restricted Shares are vested as provided in Section 7(d) below, and</w:t>
      </w:r>
    </w:p>
    <w:p>
      <w:pPr>
        <w:spacing w:after="0" w:line="4" w:lineRule="exact"/>
        <w:rPr>
          <w:rFonts w:ascii="Arial" w:cs="Arial" w:eastAsia="Arial" w:hAnsi="Arial"/>
          <w:sz w:val="16"/>
          <w:szCs w:val="16"/>
          <w:color w:val="auto"/>
        </w:rPr>
      </w:pPr>
    </w:p>
    <w:p>
      <w:pPr>
        <w:ind w:right="260" w:firstLine="4"/>
        <w:spacing w:after="0" w:line="255" w:lineRule="auto"/>
        <w:tabs>
          <w:tab w:leader="none" w:pos="26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17" w:name="page18"/>
    <w:bookmarkEnd w:id="17"/>
    <w:p>
      <w:pPr>
        <w:ind w:right="60" w:firstLine="444"/>
        <w:spacing w:after="0" w:line="270" w:lineRule="auto"/>
        <w:tabs>
          <w:tab w:leader="none" w:pos="685"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Restrictions</w:t>
      </w:r>
      <w:r>
        <w:rPr>
          <w:rFonts w:ascii="Arial" w:cs="Arial" w:eastAsia="Arial" w:hAnsi="Arial"/>
          <w:sz w:val="17"/>
          <w:szCs w:val="17"/>
          <w:color w:val="auto"/>
        </w:rPr>
        <w:t>.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Section 14 below, in writing after the Award is issued, if a 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its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spacing w:after="0" w:line="73" w:lineRule="exact"/>
        <w:rPr>
          <w:rFonts w:ascii="Arial" w:cs="Arial" w:eastAsia="Arial" w:hAnsi="Arial"/>
          <w:sz w:val="17"/>
          <w:szCs w:val="17"/>
          <w:color w:val="auto"/>
        </w:rPr>
      </w:pPr>
    </w:p>
    <w:p>
      <w:pPr>
        <w:ind w:right="60" w:firstLine="444"/>
        <w:spacing w:after="0" w:line="302" w:lineRule="auto"/>
        <w:tabs>
          <w:tab w:leader="none" w:pos="695"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Vesting of Restricted Shares</w:t>
      </w:r>
      <w:r>
        <w:rPr>
          <w:rFonts w:ascii="Arial" w:cs="Arial" w:eastAsia="Arial" w:hAnsi="Arial"/>
          <w:sz w:val="16"/>
          <w:szCs w:val="16"/>
          <w:color w:val="auto"/>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RESTRICTED STOCK UNITS</w:t>
      </w:r>
    </w:p>
    <w:p>
      <w:pPr>
        <w:spacing w:after="0" w:line="117" w:lineRule="exact"/>
        <w:rPr>
          <w:sz w:val="20"/>
          <w:szCs w:val="20"/>
          <w:color w:val="auto"/>
        </w:rPr>
      </w:pPr>
    </w:p>
    <w:p>
      <w:pPr>
        <w:ind w:right="40" w:firstLine="444"/>
        <w:spacing w:after="0" w:line="290" w:lineRule="auto"/>
        <w:tabs>
          <w:tab w:leader="none" w:pos="685"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Nature of Restricted Stock Units</w:t>
      </w:r>
      <w:r>
        <w:rPr>
          <w:rFonts w:ascii="Arial" w:cs="Arial" w:eastAsia="Arial" w:hAnsi="Arial"/>
          <w:sz w:val="16"/>
          <w:szCs w:val="16"/>
          <w:color w:val="auto"/>
        </w:rPr>
        <w:t>. The Administrator may grant Restricted Stock Units under the Plan. A Restricted Stock Unit is an Award of stock units that may be settled in shares of Stock (or cash, to the extent explicitly provided for in the Award Certificate) upon the satisfaction of such restrictions and conditions at 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shares of Stock. Restricted Stock Units with deferred settlement dates are subject to Section 409A and shall contain such additional terms and conditions as the Administrator shall determine in its sole discretion in order to comply with the requirements of Section 409A.</w:t>
      </w:r>
    </w:p>
    <w:p>
      <w:pPr>
        <w:spacing w:after="0" w:line="58" w:lineRule="exact"/>
        <w:rPr>
          <w:rFonts w:ascii="Arial" w:cs="Arial" w:eastAsia="Arial" w:hAnsi="Arial"/>
          <w:sz w:val="16"/>
          <w:szCs w:val="16"/>
          <w:color w:val="auto"/>
        </w:rPr>
      </w:pPr>
    </w:p>
    <w:p>
      <w:pPr>
        <w:ind w:firstLine="444"/>
        <w:spacing w:after="0" w:line="279" w:lineRule="auto"/>
        <w:tabs>
          <w:tab w:leader="none" w:pos="695"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Election to Receive Restricted Stock Units in Lieu of Compensation</w:t>
      </w:r>
      <w:r>
        <w:rPr>
          <w:rFonts w:ascii="Arial" w:cs="Arial" w:eastAsia="Arial" w:hAnsi="Arial"/>
          <w:sz w:val="17"/>
          <w:szCs w:val="17"/>
          <w:color w:val="auto"/>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18" w:name="page19"/>
    <w:bookmarkEnd w:id="18"/>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Certificate.</w:t>
      </w:r>
    </w:p>
    <w:p>
      <w:pPr>
        <w:spacing w:after="0" w:line="80" w:lineRule="exact"/>
        <w:rPr>
          <w:sz w:val="20"/>
          <w:szCs w:val="20"/>
          <w:color w:val="auto"/>
        </w:rPr>
      </w:pPr>
    </w:p>
    <w:p>
      <w:pPr>
        <w:jc w:val="both"/>
        <w:ind w:right="140" w:firstLine="444"/>
        <w:spacing w:after="0" w:line="312" w:lineRule="auto"/>
        <w:tabs>
          <w:tab w:leader="none" w:pos="685"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Rights as a Stockholder</w:t>
      </w:r>
      <w:r>
        <w:rPr>
          <w:rFonts w:ascii="Arial" w:cs="Arial" w:eastAsia="Arial" w:hAnsi="Arial"/>
          <w:sz w:val="16"/>
          <w:szCs w:val="16"/>
          <w:color w:val="auto"/>
        </w:rPr>
        <w:t>. A grantee shall have the rights as a stockholder only as to shares of Stock acquired by the grantee upon settlement of Restricted Stock Units; provided, however, that the grantee may be credited with Dividend Equivalent Rights with respect to the stock units underlying the grantee’s Restricted Stock Units, subject to the provisions of Section 10 and such terms and conditions as the Administrator may determine.</w:t>
      </w:r>
    </w:p>
    <w:p>
      <w:pPr>
        <w:spacing w:after="0" w:line="38" w:lineRule="exact"/>
        <w:rPr>
          <w:rFonts w:ascii="Arial" w:cs="Arial" w:eastAsia="Arial" w:hAnsi="Arial"/>
          <w:sz w:val="16"/>
          <w:szCs w:val="16"/>
          <w:color w:val="auto"/>
        </w:rPr>
      </w:pPr>
    </w:p>
    <w:p>
      <w:pPr>
        <w:jc w:val="both"/>
        <w:ind w:right="380" w:firstLine="444"/>
        <w:spacing w:after="0" w:line="286" w:lineRule="auto"/>
        <w:tabs>
          <w:tab w:leader="none" w:pos="695"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Except as may otherwise be provided by the Administrator either in the Award Certificate or, subject to Section 14 below, in writing after the Award is issued, a grantee’s right in all Restricted Stock Units that have not vested shall automatically terminate upon the grantee’s termination of employment (or cessation of Service Relationship) with the Company and its Subsidiaries for any reason.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UNRESTRICTED STOCK AWARDS</w:t>
      </w:r>
    </w:p>
    <w:p>
      <w:pPr>
        <w:spacing w:after="0" w:line="117"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u w:val="single" w:color="auto"/>
          <w:color w:val="auto"/>
        </w:rPr>
        <w:t>Grant or Sale of Unrestricted Stock</w:t>
      </w:r>
      <w:r>
        <w:rPr>
          <w:rFonts w:ascii="Arial" w:cs="Arial" w:eastAsia="Arial" w:hAnsi="Arial"/>
          <w:sz w:val="18"/>
          <w:szCs w:val="18"/>
          <w:color w:val="auto"/>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DIVIDEND EQUIVALENT RIGHTS</w:t>
      </w:r>
    </w:p>
    <w:p>
      <w:pPr>
        <w:spacing w:after="0" w:line="117" w:lineRule="exact"/>
        <w:rPr>
          <w:sz w:val="20"/>
          <w:szCs w:val="20"/>
          <w:color w:val="auto"/>
        </w:rPr>
      </w:pPr>
    </w:p>
    <w:p>
      <w:pPr>
        <w:ind w:firstLine="444"/>
        <w:spacing w:after="0" w:line="269" w:lineRule="auto"/>
        <w:tabs>
          <w:tab w:leader="none" w:pos="685"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Dividend Equivalent Rights</w:t>
      </w:r>
      <w:r>
        <w:rPr>
          <w:rFonts w:ascii="Arial" w:cs="Arial" w:eastAsia="Arial" w:hAnsi="Arial"/>
          <w:sz w:val="17"/>
          <w:szCs w:val="17"/>
          <w:color w:val="auto"/>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 component of an award of Restricted Stock Units or as a freestanding award under the Plan. The terms and conditions of Dividend Equivalent Rights shall be specified in the Award Certificate.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19" w:name="page20"/>
    <w:bookmarkEnd w:id="19"/>
    <w:p>
      <w:pPr>
        <w:ind w:right="300" w:firstLine="444"/>
        <w:spacing w:after="0" w:line="264" w:lineRule="auto"/>
        <w:tabs>
          <w:tab w:leader="none" w:pos="695"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w:t>
      </w:r>
      <w:r>
        <w:rPr>
          <w:rFonts w:ascii="Arial" w:cs="Arial" w:eastAsia="Arial" w:hAnsi="Arial"/>
          <w:sz w:val="18"/>
          <w:szCs w:val="18"/>
          <w:color w:val="auto"/>
        </w:rPr>
        <w:t>. Except as may otherwise be provided by the Administrator either in the Award Certificate or, subject to Section 14 below, in writing after the Award is issued, a grantee’s rights in all Dividend Equivalent Rights shall automatically terminate upon the grantee’s termination of employment (or cessation of Service Relationship) with the Company and its Subsidiaries for any reason.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TRANSFERABILITY OF AWARDS</w:t>
      </w:r>
    </w:p>
    <w:p>
      <w:pPr>
        <w:spacing w:after="0" w:line="117" w:lineRule="exact"/>
        <w:rPr>
          <w:sz w:val="20"/>
          <w:szCs w:val="20"/>
          <w:color w:val="auto"/>
        </w:rPr>
      </w:pPr>
    </w:p>
    <w:p>
      <w:pPr>
        <w:ind w:firstLine="444"/>
        <w:spacing w:after="0" w:line="257" w:lineRule="auto"/>
        <w:tabs>
          <w:tab w:leader="none" w:pos="685"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Except as provided in Section 11(b)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80" w:lineRule="exact"/>
        <w:rPr>
          <w:rFonts w:ascii="Arial" w:cs="Arial" w:eastAsia="Arial" w:hAnsi="Arial"/>
          <w:sz w:val="18"/>
          <w:szCs w:val="18"/>
          <w:color w:val="auto"/>
        </w:rPr>
      </w:pPr>
    </w:p>
    <w:p>
      <w:pPr>
        <w:ind w:right="60" w:firstLine="444"/>
        <w:spacing w:after="0" w:line="257" w:lineRule="auto"/>
        <w:tabs>
          <w:tab w:leader="none" w:pos="695"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Administrator Action</w:t>
      </w:r>
      <w:r>
        <w:rPr>
          <w:rFonts w:ascii="Arial" w:cs="Arial" w:eastAsia="Arial" w:hAnsi="Arial"/>
          <w:sz w:val="18"/>
          <w:szCs w:val="18"/>
          <w:color w:val="auto"/>
        </w:rPr>
        <w:t>. Notwithstanding Section 11(a), the Administrator, in its discretion, may provide either in the Award Certificate regarding a given Award or by subsequent written approval that the grantee (who is an employee) may transfer his or her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spacing w:after="0" w:line="80" w:lineRule="exact"/>
        <w:rPr>
          <w:rFonts w:ascii="Arial" w:cs="Arial" w:eastAsia="Arial" w:hAnsi="Arial"/>
          <w:sz w:val="18"/>
          <w:szCs w:val="18"/>
          <w:color w:val="auto"/>
        </w:rPr>
      </w:pPr>
    </w:p>
    <w:p>
      <w:pPr>
        <w:ind w:right="40" w:firstLine="444"/>
        <w:spacing w:after="0" w:line="276" w:lineRule="auto"/>
        <w:tabs>
          <w:tab w:leader="none" w:pos="685"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Family Member</w:t>
      </w:r>
      <w:r>
        <w:rPr>
          <w:rFonts w:ascii="Arial" w:cs="Arial" w:eastAsia="Arial" w:hAnsi="Arial"/>
          <w:sz w:val="17"/>
          <w:szCs w:val="17"/>
          <w:color w:val="auto"/>
        </w:rPr>
        <w:t>. For purposes of Section 11(b),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64" w:lineRule="exact"/>
        <w:rPr>
          <w:rFonts w:ascii="Arial" w:cs="Arial" w:eastAsia="Arial" w:hAnsi="Arial"/>
          <w:sz w:val="17"/>
          <w:szCs w:val="17"/>
          <w:color w:val="auto"/>
        </w:rPr>
      </w:pPr>
    </w:p>
    <w:p>
      <w:pPr>
        <w:ind w:right="100" w:firstLine="444"/>
        <w:spacing w:after="0" w:line="257" w:lineRule="auto"/>
        <w:tabs>
          <w:tab w:leader="none" w:pos="695"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Designation of Beneficiary</w:t>
      </w:r>
      <w:r>
        <w:rPr>
          <w:rFonts w:ascii="Arial" w:cs="Arial" w:eastAsia="Arial" w:hAnsi="Arial"/>
          <w:sz w:val="18"/>
          <w:szCs w:val="18"/>
          <w:color w:val="auto"/>
        </w:rPr>
        <w:t>. To the extent permitted by the Administrator,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12. </w:t>
      </w:r>
      <w:r>
        <w:rPr>
          <w:rFonts w:ascii="Arial" w:cs="Arial" w:eastAsia="Arial" w:hAnsi="Arial"/>
          <w:sz w:val="18"/>
          <w:szCs w:val="18"/>
          <w:u w:val="single" w:color="auto"/>
          <w:color w:val="auto"/>
        </w:rPr>
        <w:t>TAX WITHHOLDING</w:t>
      </w:r>
    </w:p>
    <w:p>
      <w:pPr>
        <w:spacing w:after="0" w:line="117" w:lineRule="exact"/>
        <w:rPr>
          <w:sz w:val="20"/>
          <w:szCs w:val="20"/>
          <w:color w:val="auto"/>
        </w:rPr>
      </w:pPr>
    </w:p>
    <w:p>
      <w:pPr>
        <w:ind w:right="220" w:firstLine="444"/>
        <w:spacing w:after="0" w:line="273" w:lineRule="auto"/>
        <w:tabs>
          <w:tab w:leader="none" w:pos="685"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Payment by Grantee</w:t>
      </w:r>
      <w:r>
        <w:rPr>
          <w:rFonts w:ascii="Arial" w:cs="Arial" w:eastAsia="Arial" w:hAnsi="Arial"/>
          <w:sz w:val="17"/>
          <w:szCs w:val="17"/>
          <w:color w:val="auto"/>
        </w:rPr>
        <w:t>. Each grantee shall, no later than the date as of which the value of an Award or of any Stock or other amounts received thereunder first becomes includable in the gross income of the grantee for Federal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70" w:lineRule="exact"/>
        <w:rPr>
          <w:rFonts w:ascii="Arial" w:cs="Arial" w:eastAsia="Arial" w:hAnsi="Arial"/>
          <w:sz w:val="17"/>
          <w:szCs w:val="17"/>
          <w:color w:val="auto"/>
        </w:rPr>
      </w:pPr>
    </w:p>
    <w:p>
      <w:pPr>
        <w:ind w:firstLine="444"/>
        <w:spacing w:after="0" w:line="253" w:lineRule="auto"/>
        <w:tabs>
          <w:tab w:leader="none" w:pos="695"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Payment in Stock</w:t>
      </w:r>
      <w:r>
        <w:rPr>
          <w:rFonts w:ascii="Arial" w:cs="Arial" w:eastAsia="Arial" w:hAnsi="Arial"/>
          <w:sz w:val="18"/>
          <w:szCs w:val="18"/>
          <w:color w:val="auto"/>
        </w:rPr>
        <w:t>. Subject to approval by the Administrator, a grantee may elect to have the Company’s required tax withholding obligation satisfied, in whole or in part, by authorizing the Company to withhold from shares of Stock to be issued pursuant to any 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The Administrator may also require Awards to be subject to mandatory share withholding up to the required withholding amount. For purposes of share withholding, the Fair Market Value of withheld shares shall be determined in the same manner as the value of Stock includible in income of the participants. The required tax withholding obligation may also be satisfied, in whole or in part, by an arrangement whereby a certain number of shares of Stock issued pursuant to any Award are immediately sold and proceeds from such sale are remitted to the Company in an amount that would satisfy the withholding amount due.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SECTION 409A AWARDS</w:t>
      </w:r>
    </w:p>
    <w:p>
      <w:pPr>
        <w:spacing w:after="0" w:line="117" w:lineRule="exact"/>
        <w:rPr>
          <w:sz w:val="20"/>
          <w:szCs w:val="20"/>
          <w:color w:val="auto"/>
        </w:rPr>
      </w:pPr>
    </w:p>
    <w:p>
      <w:pPr>
        <w:ind w:right="20" w:firstLine="441"/>
        <w:spacing w:after="0" w:line="272" w:lineRule="auto"/>
        <w:rPr>
          <w:sz w:val="20"/>
          <w:szCs w:val="20"/>
          <w:color w:val="auto"/>
        </w:rPr>
      </w:pPr>
      <w:r>
        <w:rPr>
          <w:rFonts w:ascii="Arial" w:cs="Arial" w:eastAsia="Arial" w:hAnsi="Arial"/>
          <w:sz w:val="17"/>
          <w:szCs w:val="17"/>
          <w:color w:val="auto"/>
        </w:rPr>
        <w:t>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14. </w:t>
      </w:r>
      <w:r>
        <w:rPr>
          <w:rFonts w:ascii="Arial" w:cs="Arial" w:eastAsia="Arial" w:hAnsi="Arial"/>
          <w:sz w:val="18"/>
          <w:szCs w:val="18"/>
          <w:u w:val="single" w:color="auto"/>
          <w:color w:val="auto"/>
        </w:rPr>
        <w:t>TERMINATION OF EMPLOYMENT, TRANSFER, LEAVE OF ABSENCE, ETC.</w:t>
      </w:r>
    </w:p>
    <w:p>
      <w:pPr>
        <w:spacing w:after="0" w:line="117" w:lineRule="exact"/>
        <w:rPr>
          <w:sz w:val="20"/>
          <w:szCs w:val="20"/>
          <w:color w:val="auto"/>
        </w:rPr>
      </w:pPr>
    </w:p>
    <w:p>
      <w:pPr>
        <w:ind w:right="440" w:firstLine="444"/>
        <w:spacing w:after="0" w:line="277" w:lineRule="auto"/>
        <w:tabs>
          <w:tab w:leader="none" w:pos="685"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If the grantee’s Service Relationship is with a Subsidiary and such Subsidiary ceases to be a Subsidiary, the grantee shall be deemed to have terminated his or her Service Relationship for purposes of the Plan.</w:t>
      </w:r>
    </w:p>
    <w:p>
      <w:pPr>
        <w:spacing w:after="0" w:line="62" w:lineRule="exact"/>
        <w:rPr>
          <w:rFonts w:ascii="Arial" w:cs="Arial" w:eastAsia="Arial" w:hAnsi="Arial"/>
          <w:sz w:val="18"/>
          <w:szCs w:val="18"/>
          <w:color w:val="auto"/>
        </w:rPr>
      </w:pPr>
    </w:p>
    <w:p>
      <w:pPr>
        <w:ind w:left="700" w:hanging="2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purposes of the Plan, the following events shall not be deemed a termination of employment:</w:t>
      </w:r>
    </w:p>
    <w:p>
      <w:pPr>
        <w:spacing w:after="0" w:line="117" w:lineRule="exact"/>
        <w:rPr>
          <w:rFonts w:ascii="Arial" w:cs="Arial" w:eastAsia="Arial" w:hAnsi="Arial"/>
          <w:sz w:val="18"/>
          <w:szCs w:val="18"/>
          <w:color w:val="auto"/>
        </w:rPr>
      </w:pPr>
    </w:p>
    <w:p>
      <w:pPr>
        <w:ind w:left="1220" w:hanging="224"/>
        <w:spacing w:after="0"/>
        <w:tabs>
          <w:tab w:leader="none" w:pos="1220" w:val="left"/>
        </w:tabs>
        <w:numPr>
          <w:ilvl w:val="1"/>
          <w:numId w:val="29"/>
        </w:numPr>
        <w:rPr>
          <w:rFonts w:ascii="Arial" w:cs="Arial" w:eastAsia="Arial" w:hAnsi="Arial"/>
          <w:sz w:val="17"/>
          <w:szCs w:val="17"/>
          <w:color w:val="auto"/>
        </w:rPr>
      </w:pPr>
      <w:r>
        <w:rPr>
          <w:rFonts w:ascii="Arial" w:cs="Arial" w:eastAsia="Arial" w:hAnsi="Arial"/>
          <w:sz w:val="17"/>
          <w:szCs w:val="17"/>
          <w:color w:val="auto"/>
        </w:rPr>
        <w:t>a transfer to the employment of the Company from a Subsidiary or from the Company to a Subsidiary, or from one Subsidiary to</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another; or</w:t>
      </w:r>
    </w:p>
    <w:p>
      <w:pPr>
        <w:spacing w:after="0" w:line="102" w:lineRule="exact"/>
        <w:rPr>
          <w:rFonts w:ascii="Arial" w:cs="Arial" w:eastAsia="Arial" w:hAnsi="Arial"/>
          <w:sz w:val="17"/>
          <w:szCs w:val="17"/>
          <w:color w:val="auto"/>
        </w:rPr>
      </w:pPr>
    </w:p>
    <w:p>
      <w:pPr>
        <w:ind w:right="200" w:firstLine="996"/>
        <w:spacing w:after="0" w:line="264" w:lineRule="auto"/>
        <w:tabs>
          <w:tab w:leader="none" w:pos="1257"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AMENDMENTS AND TERMINATION</w:t>
      </w:r>
    </w:p>
    <w:p>
      <w:pPr>
        <w:spacing w:after="0" w:line="117" w:lineRule="exact"/>
        <w:rPr>
          <w:sz w:val="20"/>
          <w:szCs w:val="20"/>
          <w:color w:val="auto"/>
        </w:rPr>
      </w:pPr>
    </w:p>
    <w:p>
      <w:pPr>
        <w:ind w:right="40" w:firstLine="441"/>
        <w:spacing w:after="0" w:line="273" w:lineRule="auto"/>
        <w:rPr>
          <w:sz w:val="20"/>
          <w:szCs w:val="20"/>
          <w:color w:val="auto"/>
        </w:rPr>
      </w:pPr>
      <w:r>
        <w:rPr>
          <w:rFonts w:ascii="Arial" w:cs="Arial" w:eastAsia="Arial" w:hAnsi="Arial"/>
          <w:sz w:val="17"/>
          <w:szCs w:val="17"/>
          <w:color w:val="auto"/>
        </w:rPr>
        <w:t>The Board may, at any time, amend or discontinue the Plan and the Administrator may, at any time, amend or cancel any outstanding Award for the purpose of satisfying changes in law or for any other lawful purpose, but no such action shall adversely affect rights under any outstanding Award without the holder’s consent. Except as provided in Section 3(b) or 3(c), without prior stockholder approval, in no event may the Administrator exercise its discretion to reduce the exercise price of outstanding Stock Options or Stock Appreciation Rights or effect repricing through cancellation and re-grants or cancellation of Stock Options or Stock Appreciation Rights in exchange for cash or other Awards. Nothing in this Section 15 shall limit the Administrator’s authority to take any action permitted pursuant to Section 3(b) or 3(c).</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STATUS OF PLAN</w:t>
      </w:r>
    </w:p>
    <w:p>
      <w:pPr>
        <w:spacing w:after="0" w:line="117" w:lineRule="exact"/>
        <w:rPr>
          <w:sz w:val="20"/>
          <w:szCs w:val="20"/>
          <w:color w:val="auto"/>
        </w:rPr>
      </w:pPr>
    </w:p>
    <w:p>
      <w:pPr>
        <w:ind w:right="260" w:firstLine="441"/>
        <w:spacing w:after="0" w:line="276" w:lineRule="auto"/>
        <w:rPr>
          <w:sz w:val="20"/>
          <w:szCs w:val="20"/>
          <w:color w:val="auto"/>
        </w:rPr>
      </w:pPr>
      <w:r>
        <w:rPr>
          <w:rFonts w:ascii="Arial" w:cs="Arial" w:eastAsia="Arial" w:hAnsi="Arial"/>
          <w:sz w:val="17"/>
          <w:szCs w:val="17"/>
          <w:color w:val="auto"/>
        </w:rPr>
        <w:t>With respect to the portion of any Award that has not been settled or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GENERAL PROVISIONS</w:t>
      </w:r>
    </w:p>
    <w:p>
      <w:pPr>
        <w:spacing w:after="0" w:line="117" w:lineRule="exact"/>
        <w:rPr>
          <w:sz w:val="20"/>
          <w:szCs w:val="20"/>
          <w:color w:val="auto"/>
        </w:rPr>
      </w:pPr>
    </w:p>
    <w:p>
      <w:pPr>
        <w:ind w:firstLine="444"/>
        <w:spacing w:after="0" w:line="277" w:lineRule="auto"/>
        <w:tabs>
          <w:tab w:leader="none" w:pos="685"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No Distribution</w:t>
      </w:r>
      <w:r>
        <w:rPr>
          <w:rFonts w:ascii="Arial" w:cs="Arial" w:eastAsia="Arial" w:hAnsi="Arial"/>
          <w:sz w:val="18"/>
          <w:szCs w:val="18"/>
          <w:color w:val="auto"/>
        </w:rPr>
        <w:t>. The Administrator may require each person acquiring Stock pursuant to an Award to represent to and agree with the Company in writing that such person is acquiring the shares without a view to distribution thereof.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2" w:name="page23"/>
    <w:bookmarkEnd w:id="22"/>
    <w:p>
      <w:pPr>
        <w:ind w:left="-40" w:firstLine="444"/>
        <w:spacing w:after="0" w:line="285" w:lineRule="auto"/>
        <w:tabs>
          <w:tab w:leader="none" w:pos="655"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Issuance of Stock</w:t>
      </w:r>
      <w:r>
        <w:rPr>
          <w:rFonts w:ascii="Arial" w:cs="Arial" w:eastAsia="Arial" w:hAnsi="Arial"/>
          <w:sz w:val="16"/>
          <w:szCs w:val="16"/>
          <w:color w:val="auto"/>
        </w:rPr>
        <w:t>. To the extent certificated,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69" w:lineRule="exact"/>
        <w:rPr>
          <w:rFonts w:ascii="Arial" w:cs="Arial" w:eastAsia="Arial" w:hAnsi="Arial"/>
          <w:sz w:val="16"/>
          <w:szCs w:val="16"/>
          <w:color w:val="auto"/>
        </w:rPr>
      </w:pPr>
    </w:p>
    <w:p>
      <w:pPr>
        <w:ind w:left="-40" w:right="20" w:firstLine="444"/>
        <w:spacing w:after="0" w:line="264" w:lineRule="auto"/>
        <w:tabs>
          <w:tab w:leader="none" w:pos="645"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Stockholder Rights</w:t>
      </w:r>
      <w:r>
        <w:rPr>
          <w:rFonts w:ascii="Arial" w:cs="Arial" w:eastAsia="Arial" w:hAnsi="Arial"/>
          <w:sz w:val="18"/>
          <w:szCs w:val="18"/>
          <w:color w:val="auto"/>
        </w:rPr>
        <w:t>. Until Stock is deemed delivered in accordance with Section 18(b),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spacing w:after="0" w:line="73" w:lineRule="exact"/>
        <w:rPr>
          <w:rFonts w:ascii="Arial" w:cs="Arial" w:eastAsia="Arial" w:hAnsi="Arial"/>
          <w:sz w:val="18"/>
          <w:szCs w:val="18"/>
          <w:color w:val="auto"/>
        </w:rPr>
      </w:pPr>
    </w:p>
    <w:p>
      <w:pPr>
        <w:ind w:left="-40" w:right="120" w:firstLine="444"/>
        <w:spacing w:after="0" w:line="259"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Other Compensation Arrangements; No Employment Rights</w:t>
      </w:r>
      <w:r>
        <w:rPr>
          <w:rFonts w:ascii="Arial" w:cs="Arial" w:eastAsia="Arial" w:hAnsi="Arial"/>
          <w:sz w:val="18"/>
          <w:szCs w:val="18"/>
          <w:color w:val="auto"/>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spacing w:after="0" w:line="78" w:lineRule="exact"/>
        <w:rPr>
          <w:rFonts w:ascii="Arial" w:cs="Arial" w:eastAsia="Arial" w:hAnsi="Arial"/>
          <w:sz w:val="18"/>
          <w:szCs w:val="18"/>
          <w:color w:val="auto"/>
        </w:rPr>
      </w:pPr>
    </w:p>
    <w:p>
      <w:pPr>
        <w:ind w:left="-40" w:right="160" w:firstLine="444"/>
        <w:spacing w:after="0" w:line="277" w:lineRule="auto"/>
        <w:tabs>
          <w:tab w:leader="none" w:pos="645"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Trading Policy Restrictions</w:t>
      </w:r>
      <w:r>
        <w:rPr>
          <w:rFonts w:ascii="Arial" w:cs="Arial" w:eastAsia="Arial" w:hAnsi="Arial"/>
          <w:sz w:val="18"/>
          <w:szCs w:val="18"/>
          <w:color w:val="auto"/>
        </w:rPr>
        <w:t>. Option exercises and other Awards under the Plan shall be subject to the Company’s insider trading policies and procedures, as in effect from time to time.</w:t>
      </w:r>
    </w:p>
    <w:p>
      <w:pPr>
        <w:spacing w:after="0" w:line="62" w:lineRule="exact"/>
        <w:rPr>
          <w:rFonts w:ascii="Arial" w:cs="Arial" w:eastAsia="Arial" w:hAnsi="Arial"/>
          <w:sz w:val="18"/>
          <w:szCs w:val="18"/>
          <w:color w:val="auto"/>
        </w:rPr>
      </w:pPr>
    </w:p>
    <w:p>
      <w:pPr>
        <w:ind w:left="620" w:hanging="216"/>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Clawback Policy</w:t>
      </w:r>
      <w:r>
        <w:rPr>
          <w:rFonts w:ascii="Arial" w:cs="Arial" w:eastAsia="Arial" w:hAnsi="Arial"/>
          <w:sz w:val="18"/>
          <w:szCs w:val="18"/>
          <w:color w:val="auto"/>
        </w:rPr>
        <w:t>. Awards under the Plan shall be subject to the Company’s clawback policy, as in effect from time to time.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480" w:top="274" w:right="47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18. </w:t>
      </w:r>
      <w:r>
        <w:rPr>
          <w:rFonts w:ascii="Arial" w:cs="Arial" w:eastAsia="Arial" w:hAnsi="Arial"/>
          <w:sz w:val="18"/>
          <w:szCs w:val="18"/>
          <w:u w:val="single" w:color="auto"/>
          <w:color w:val="auto"/>
        </w:rPr>
        <w:t>EFFECTIVE DATE OF PLAN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Plan shall become effective immediately upon approval by the Board.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GOVERNING LAW</w:t>
      </w:r>
    </w:p>
    <w:p>
      <w:pPr>
        <w:spacing w:after="0" w:line="117"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State of Delaware, applied without regard to conflict of law principles.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APPROVED BY BOARD OF DIRECTORS: __________________</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NON-QUALIFIED STOCK OPTION AGREEMENT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COMPANY EMPLOYEES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AVROBIO,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2019 INDUCEMENT PLAN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Name of 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1614805</wp:posOffset>
            </wp:positionH>
            <wp:positionV relativeFrom="paragraph">
              <wp:posOffset>-10160</wp:posOffset>
            </wp:positionV>
            <wp:extent cx="28003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6">
                      <a:extLst>
                        <a:ext uri="{28A0092B-C50C-407E-A947-70E740481C1C}"/>
                      </a:extLst>
                    </a:blip>
                    <a:srcRect/>
                    <a:stretch>
                      <a:fillRect/>
                    </a:stretch>
                  </pic:blipFill>
                  <pic:spPr bwMode="auto">
                    <a:xfrm>
                      <a:off x="0" y="0"/>
                      <a:ext cx="28003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No. of Option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1614805</wp:posOffset>
            </wp:positionH>
            <wp:positionV relativeFrom="paragraph">
              <wp:posOffset>-10160</wp:posOffset>
            </wp:positionV>
            <wp:extent cx="17430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7">
                      <a:extLst>
                        <a:ext uri="{28A0092B-C50C-407E-A947-70E740481C1C}"/>
                      </a:extLst>
                    </a:blip>
                    <a:srcRect/>
                    <a:stretch>
                      <a:fillRect/>
                    </a:stretch>
                  </pic:blipFill>
                  <pic:spPr bwMode="auto">
                    <a:xfrm>
                      <a:off x="0" y="0"/>
                      <a:ext cx="1743075" cy="8890"/>
                    </a:xfrm>
                    <a:prstGeom prst="rect">
                      <a:avLst/>
                    </a:prstGeom>
                    <a:noFill/>
                  </pic:spPr>
                </pic:pic>
              </a:graphicData>
            </a:graphic>
          </wp:anchor>
        </w:drawing>
      </w:r>
    </w:p>
    <w:p>
      <w:pPr>
        <w:spacing w:after="0" w:line="205" w:lineRule="exact"/>
        <w:rPr>
          <w:sz w:val="20"/>
          <w:szCs w:val="20"/>
          <w:color w:val="auto"/>
        </w:rPr>
      </w:pPr>
    </w:p>
    <w:p>
      <w:pPr>
        <w:spacing w:after="0"/>
        <w:tabs>
          <w:tab w:leader="none" w:pos="2520" w:val="left"/>
        </w:tabs>
        <w:rPr>
          <w:sz w:val="20"/>
          <w:szCs w:val="20"/>
          <w:color w:val="auto"/>
        </w:rPr>
      </w:pPr>
      <w:r>
        <w:rPr>
          <w:rFonts w:ascii="Arial" w:cs="Arial" w:eastAsia="Arial" w:hAnsi="Arial"/>
          <w:sz w:val="18"/>
          <w:szCs w:val="18"/>
          <w:color w:val="auto"/>
        </w:rPr>
        <w:t>Option Exercise Price per Share:</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1671955</wp:posOffset>
            </wp:positionH>
            <wp:positionV relativeFrom="paragraph">
              <wp:posOffset>-10160</wp:posOffset>
            </wp:positionV>
            <wp:extent cx="16859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8">
                      <a:extLst>
                        <a:ext uri="{28A0092B-C50C-407E-A947-70E740481C1C}"/>
                      </a:extLst>
                    </a:blip>
                    <a:srcRect/>
                    <a:stretch>
                      <a:fillRect/>
                    </a:stretch>
                  </pic:blipFill>
                  <pic:spPr bwMode="auto">
                    <a:xfrm>
                      <a:off x="0" y="0"/>
                      <a:ext cx="168592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1614805</wp:posOffset>
            </wp:positionH>
            <wp:positionV relativeFrom="paragraph">
              <wp:posOffset>-10160</wp:posOffset>
            </wp:positionV>
            <wp:extent cx="17430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9">
                      <a:extLst>
                        <a:ext uri="{28A0092B-C50C-407E-A947-70E740481C1C}"/>
                      </a:extLst>
                    </a:blip>
                    <a:srcRect/>
                    <a:stretch>
                      <a:fillRect/>
                    </a:stretch>
                  </pic:blipFill>
                  <pic:spPr bwMode="auto">
                    <a:xfrm>
                      <a:off x="0" y="0"/>
                      <a:ext cx="17430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1614805</wp:posOffset>
            </wp:positionH>
            <wp:positionV relativeFrom="paragraph">
              <wp:posOffset>-10160</wp:posOffset>
            </wp:positionV>
            <wp:extent cx="17430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0">
                      <a:extLst>
                        <a:ext uri="{28A0092B-C50C-407E-A947-70E740481C1C}"/>
                      </a:extLst>
                    </a:blip>
                    <a:srcRect/>
                    <a:stretch>
                      <a:fillRect/>
                    </a:stretch>
                  </pic:blipFill>
                  <pic:spPr bwMode="auto">
                    <a:xfrm>
                      <a:off x="0" y="0"/>
                      <a:ext cx="1743075" cy="8890"/>
                    </a:xfrm>
                    <a:prstGeom prst="rect">
                      <a:avLst/>
                    </a:prstGeom>
                    <a:noFill/>
                  </pic:spPr>
                </pic:pic>
              </a:graphicData>
            </a:graphic>
          </wp:anchor>
        </w:drawing>
      </w:r>
    </w:p>
    <w:p>
      <w:pPr>
        <w:spacing w:after="0" w:line="205" w:lineRule="exact"/>
        <w:rPr>
          <w:sz w:val="20"/>
          <w:szCs w:val="20"/>
          <w:color w:val="auto"/>
        </w:rPr>
      </w:pPr>
    </w:p>
    <w:p>
      <w:pPr>
        <w:ind w:right="20" w:firstLine="441"/>
        <w:spacing w:after="0" w:line="291" w:lineRule="auto"/>
        <w:rPr>
          <w:sz w:val="20"/>
          <w:szCs w:val="20"/>
          <w:color w:val="auto"/>
        </w:rPr>
      </w:pPr>
      <w:r>
        <w:rPr>
          <w:rFonts w:ascii="Arial" w:cs="Arial" w:eastAsia="Arial" w:hAnsi="Arial"/>
          <w:sz w:val="16"/>
          <w:szCs w:val="16"/>
          <w:color w:val="auto"/>
        </w:rPr>
        <w:t>Pursuant to the AVROBIO, Inc. 2019 Inducement Plan as amended through the date hereof (the “Plan”), AVROBIO, Inc. (the “Company”) hereby grants to the Optionee named above an option (the “Stock Option”) to purchase on or prior to the Expiration Date specified above all or part of the number of shares of Common Stock, par value $0.0001 per share (the “Stock”) of the Company specified above at the Option Exercise Price per Share specified above subject to the terms and conditions set forth herein and in the Plan. For the avoidance of doubt, this Stock Option is not issued under the Company’s 2019 Stock Option and Incentive Plan, as amended from time to time, and does not reduce the share reserve under such equity plan. This Stock Option has been granted as an inducement pursuant to Rule 5635(c)(4) of the Marketplace Rules of the Nasdaq Stock Market, Inc. This Stock Option is not intended to be an “incentive stock option” under Section 422 of the Internal Revenue Code of 1986, as amended.</w:t>
      </w:r>
    </w:p>
    <w:p>
      <w:pPr>
        <w:spacing w:after="0" w:line="59" w:lineRule="exact"/>
        <w:rPr>
          <w:sz w:val="20"/>
          <w:szCs w:val="20"/>
          <w:color w:val="auto"/>
        </w:rPr>
      </w:pPr>
    </w:p>
    <w:p>
      <w:pPr>
        <w:ind w:firstLine="444"/>
        <w:spacing w:after="0" w:line="259" w:lineRule="auto"/>
        <w:tabs>
          <w:tab w:leader="none" w:pos="621"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Exercisability Schedule</w:t>
      </w:r>
      <w:r>
        <w:rPr>
          <w:rFonts w:ascii="Arial" w:cs="Arial" w:eastAsia="Arial" w:hAnsi="Arial"/>
          <w:sz w:val="18"/>
          <w:szCs w:val="18"/>
          <w:color w:val="auto"/>
        </w:rPr>
        <w:t>. No portion of this Stock Option may be exercised until such portion shall have become exercisable. Except as set forth below, and subject to the discretion of the Administrator to accelerate the exercisability schedule hereunder, this Stock Option shall be exercisable with respect to the following number of Option Shares on the dates indicated so long as Optionee continues to have a Service Relationship with the Company or a Subsidiary on such dates:</w:t>
      </w:r>
    </w:p>
    <w:p>
      <w:pPr>
        <w:sectPr>
          <w:pgSz w:w="11900" w:h="16838" w:orient="portrait"/>
          <w:cols w:equalWidth="0" w:num="1">
            <w:col w:w="11000"/>
          </w:cols>
          <w:pgMar w:left="440" w:top="270" w:right="459" w:bottom="1440" w:gutter="0" w:footer="0" w:header="0"/>
        </w:sectPr>
      </w:pPr>
    </w:p>
    <w:bookmarkStart w:id="25" w:name="page26"/>
    <w:bookmarkEnd w:id="25"/>
    <w:tbl>
      <w:tblPr>
        <w:tblLayout w:type="fixed"/>
        <w:tblInd w:w="29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95"/>
              </w:rPr>
              <w:t>Incremental Number of</w:t>
            </w:r>
          </w:p>
        </w:tc>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1540" w:type="dxa"/>
            <w:vAlign w:val="bottom"/>
            <w:gridSpan w:val="2"/>
          </w:tcPr>
          <w:p>
            <w:pPr>
              <w:jc w:val="center"/>
              <w:spacing w:after="0"/>
              <w:rPr>
                <w:sz w:val="20"/>
                <w:szCs w:val="20"/>
                <w:color w:val="auto"/>
              </w:rPr>
            </w:pPr>
            <w:r>
              <w:rPr>
                <w:rFonts w:ascii="Arial" w:cs="Arial" w:eastAsia="Arial" w:hAnsi="Arial"/>
                <w:sz w:val="14"/>
                <w:szCs w:val="14"/>
                <w:color w:val="auto"/>
                <w:w w:val="91"/>
              </w:rPr>
              <w:t>Option Shares Exercisable</w:t>
            </w:r>
          </w:p>
        </w:tc>
        <w:tc>
          <w:tcPr>
            <w:tcW w:w="244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color w:val="auto"/>
                <w:w w:val="95"/>
              </w:rPr>
              <w:t>Exercisability Date</w:t>
            </w:r>
          </w:p>
        </w:tc>
      </w:tr>
      <w:tr>
        <w:trPr>
          <w:trHeight w:val="169"/>
        </w:trPr>
        <w:tc>
          <w:tcPr>
            <w:tcW w:w="20" w:type="dxa"/>
            <w:vAlign w:val="bottom"/>
          </w:tcPr>
          <w:p>
            <w:pPr>
              <w:spacing w:after="0"/>
              <w:rPr>
                <w:sz w:val="14"/>
                <w:szCs w:val="14"/>
                <w:color w:val="auto"/>
              </w:rPr>
            </w:pPr>
          </w:p>
        </w:tc>
        <w:tc>
          <w:tcPr>
            <w:tcW w:w="152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0"/>
              </w:rPr>
              <w:t>__________ (___%)</w:t>
            </w:r>
          </w:p>
        </w:tc>
        <w:tc>
          <w:tcPr>
            <w:tcW w:w="24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r>
      <w:tr>
        <w:trPr>
          <w:trHeight w:val="196"/>
        </w:trPr>
        <w:tc>
          <w:tcPr>
            <w:tcW w:w="154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0"/>
              </w:rPr>
              <w:t>__________ (___%)</w:t>
            </w:r>
          </w:p>
        </w:tc>
        <w:tc>
          <w:tcPr>
            <w:tcW w:w="2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154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0"/>
              </w:rPr>
              <w:t>__________ (___%)</w:t>
            </w:r>
          </w:p>
        </w:tc>
        <w:tc>
          <w:tcPr>
            <w:tcW w:w="2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154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0"/>
              </w:rPr>
              <w:t>__________ (___%)</w:t>
            </w:r>
          </w:p>
        </w:tc>
        <w:tc>
          <w:tcPr>
            <w:tcW w:w="2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154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0"/>
              </w:rPr>
              <w:t>__________ (___%)</w:t>
            </w:r>
          </w:p>
        </w:tc>
        <w:tc>
          <w:tcPr>
            <w:tcW w:w="2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380" w:firstLine="441"/>
        <w:spacing w:after="0" w:line="277" w:lineRule="auto"/>
        <w:rPr>
          <w:sz w:val="20"/>
          <w:szCs w:val="20"/>
          <w:color w:val="auto"/>
        </w:rPr>
      </w:pPr>
      <w:r>
        <w:rPr>
          <w:rFonts w:ascii="Arial" w:cs="Arial" w:eastAsia="Arial" w:hAnsi="Arial"/>
          <w:sz w:val="18"/>
          <w:szCs w:val="18"/>
          <w:color w:val="auto"/>
        </w:rPr>
        <w:t>Once exercisable, this Stock Option shall continue to be exercisable at any time or times prior to the close of business on the Expiration Date, subject to the provisions hereof and of the Plan.</w:t>
      </w:r>
    </w:p>
    <w:p>
      <w:pPr>
        <w:spacing w:after="0" w:line="62" w:lineRule="exact"/>
        <w:rPr>
          <w:sz w:val="20"/>
          <w:szCs w:val="20"/>
          <w:color w:val="auto"/>
        </w:rPr>
      </w:pPr>
    </w:p>
    <w:p>
      <w:pPr>
        <w:ind w:left="620" w:hanging="176"/>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Manner of Exercise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0" w:firstLine="996"/>
        <w:spacing w:after="0" w:line="264" w:lineRule="auto"/>
        <w:tabs>
          <w:tab w:leader="none" w:pos="1237"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81"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169" w:lineRule="exact"/>
        <w:rPr>
          <w:sz w:val="20"/>
          <w:szCs w:val="20"/>
          <w:color w:val="auto"/>
        </w:rPr>
      </w:pPr>
    </w:p>
    <w:p>
      <w:pPr>
        <w:ind w:right="40" w:firstLine="441"/>
        <w:spacing w:after="0" w:line="272" w:lineRule="auto"/>
        <w:rPr>
          <w:sz w:val="20"/>
          <w:szCs w:val="20"/>
          <w:color w:val="auto"/>
        </w:rPr>
      </w:pPr>
      <w:r>
        <w:rPr>
          <w:rFonts w:ascii="Arial" w:cs="Arial" w:eastAsia="Arial" w:hAnsi="Arial"/>
          <w:sz w:val="17"/>
          <w:szCs w:val="17"/>
          <w:color w:val="auto"/>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57" w:right="439" w:bottom="1440" w:gutter="0" w:footer="0" w:header="0"/>
        </w:sectPr>
      </w:pPr>
    </w:p>
    <w:bookmarkStart w:id="26" w:name="page27"/>
    <w:bookmarkEnd w:id="26"/>
    <w:p>
      <w:pPr>
        <w:ind w:right="20" w:firstLine="996"/>
        <w:spacing w:after="0" w:line="291" w:lineRule="auto"/>
        <w:tabs>
          <w:tab w:leader="none" w:pos="1247" w:val="left"/>
        </w:tabs>
        <w:numPr>
          <w:ilvl w:val="1"/>
          <w:numId w:val="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59" w:lineRule="exact"/>
        <w:rPr>
          <w:rFonts w:ascii="Arial" w:cs="Arial" w:eastAsia="Arial" w:hAnsi="Arial"/>
          <w:sz w:val="16"/>
          <w:szCs w:val="16"/>
          <w:color w:val="auto"/>
        </w:rPr>
      </w:pPr>
    </w:p>
    <w:p>
      <w:pPr>
        <w:ind w:right="60" w:firstLine="996"/>
        <w:spacing w:after="0" w:line="264" w:lineRule="auto"/>
        <w:tabs>
          <w:tab w:leader="none" w:pos="1237"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73" w:lineRule="exact"/>
        <w:rPr>
          <w:rFonts w:ascii="Arial" w:cs="Arial" w:eastAsia="Arial" w:hAnsi="Arial"/>
          <w:sz w:val="18"/>
          <w:szCs w:val="18"/>
          <w:color w:val="auto"/>
        </w:rPr>
      </w:pPr>
    </w:p>
    <w:p>
      <w:pPr>
        <w:ind w:left="1260" w:hanging="264"/>
        <w:spacing w:after="0"/>
        <w:tabs>
          <w:tab w:leader="none" w:pos="1260" w:val="left"/>
        </w:tabs>
        <w:numPr>
          <w:ilvl w:val="1"/>
          <w:numId w:val="34"/>
        </w:numPr>
        <w:rPr>
          <w:rFonts w:ascii="Arial" w:cs="Arial" w:eastAsia="Arial" w:hAnsi="Arial"/>
          <w:sz w:val="17"/>
          <w:szCs w:val="17"/>
          <w:color w:val="auto"/>
        </w:rPr>
      </w:pPr>
      <w:r>
        <w:rPr>
          <w:rFonts w:ascii="Arial" w:cs="Arial" w:eastAsia="Arial" w:hAnsi="Arial"/>
          <w:sz w:val="17"/>
          <w:szCs w:val="17"/>
          <w:color w:val="auto"/>
        </w:rPr>
        <w:t>Notwithstanding any other provision hereof or of the Plan, no portion of this Stock Option shall be exercisable after the Expiration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Date hereof.</w:t>
      </w:r>
    </w:p>
    <w:p>
      <w:pPr>
        <w:spacing w:after="0" w:line="102" w:lineRule="exact"/>
        <w:rPr>
          <w:rFonts w:ascii="Arial" w:cs="Arial" w:eastAsia="Arial" w:hAnsi="Arial"/>
          <w:sz w:val="17"/>
          <w:szCs w:val="17"/>
          <w:color w:val="auto"/>
        </w:rPr>
      </w:pPr>
    </w:p>
    <w:p>
      <w:pPr>
        <w:ind w:right="700" w:firstLine="444"/>
        <w:spacing w:after="0" w:line="308" w:lineRule="auto"/>
        <w:tabs>
          <w:tab w:leader="none" w:pos="621"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Termination of Service Relationship</w:t>
      </w:r>
      <w:r>
        <w:rPr>
          <w:rFonts w:ascii="Arial" w:cs="Arial" w:eastAsia="Arial" w:hAnsi="Arial"/>
          <w:sz w:val="17"/>
          <w:szCs w:val="17"/>
          <w:color w:val="auto"/>
        </w:rPr>
        <w:t>. If the Optionee’s Service Relationship by the Company or a Subsidiary (as defined in the Plan) is terminated, the period within which to exercise the Stock Option may be subject to earlier termination as set forth below.</w:t>
      </w:r>
    </w:p>
    <w:p>
      <w:pPr>
        <w:spacing w:after="0" w:line="38" w:lineRule="exact"/>
        <w:rPr>
          <w:rFonts w:ascii="Arial" w:cs="Arial" w:eastAsia="Arial" w:hAnsi="Arial"/>
          <w:sz w:val="17"/>
          <w:szCs w:val="17"/>
          <w:color w:val="auto"/>
        </w:rPr>
      </w:pPr>
    </w:p>
    <w:p>
      <w:pPr>
        <w:ind w:firstLine="996"/>
        <w:spacing w:after="0" w:line="259" w:lineRule="auto"/>
        <w:tabs>
          <w:tab w:leader="none" w:pos="1236"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Termination Due to Death</w:t>
      </w:r>
      <w:r>
        <w:rPr>
          <w:rFonts w:ascii="Arial" w:cs="Arial" w:eastAsia="Arial" w:hAnsi="Arial"/>
          <w:sz w:val="18"/>
          <w:szCs w:val="18"/>
          <w:color w:val="auto"/>
        </w:rPr>
        <w:t>. If the Optionee’s Service Relationship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p>
    <w:p>
      <w:pPr>
        <w:spacing w:after="0" w:line="78" w:lineRule="exact"/>
        <w:rPr>
          <w:rFonts w:ascii="Arial" w:cs="Arial" w:eastAsia="Arial" w:hAnsi="Arial"/>
          <w:sz w:val="18"/>
          <w:szCs w:val="18"/>
          <w:color w:val="auto"/>
        </w:rPr>
      </w:pPr>
    </w:p>
    <w:p>
      <w:pPr>
        <w:ind w:right="120" w:firstLine="996"/>
        <w:spacing w:after="0" w:line="302" w:lineRule="auto"/>
        <w:tabs>
          <w:tab w:leader="none" w:pos="1247" w:val="left"/>
        </w:tabs>
        <w:numPr>
          <w:ilvl w:val="1"/>
          <w:numId w:val="35"/>
        </w:numPr>
        <w:rPr>
          <w:rFonts w:ascii="Arial" w:cs="Arial" w:eastAsia="Arial" w:hAnsi="Arial"/>
          <w:sz w:val="16"/>
          <w:szCs w:val="16"/>
          <w:color w:val="auto"/>
        </w:rPr>
      </w:pPr>
      <w:r>
        <w:rPr>
          <w:rFonts w:ascii="Arial" w:cs="Arial" w:eastAsia="Arial" w:hAnsi="Arial"/>
          <w:sz w:val="16"/>
          <w:szCs w:val="16"/>
          <w:u w:val="single" w:color="auto"/>
          <w:color w:val="auto"/>
        </w:rPr>
        <w:t>Termination Due to Disability</w:t>
      </w:r>
      <w:r>
        <w:rPr>
          <w:rFonts w:ascii="Arial" w:cs="Arial" w:eastAsia="Arial" w:hAnsi="Arial"/>
          <w:sz w:val="16"/>
          <w:szCs w:val="16"/>
          <w:color w:val="auto"/>
        </w:rPr>
        <w:t>. If the Optionee’s Service Relationship terminates by reason of the Optionee’s disability (as determined by the Administrator), any portion of this Stock Option outstanding on such date, to the extent exercisable on the date of such termination of Service Relationship, may thereafter be exercised by the Optionee for a period of 12 months from the date of disability or until the Expiration Date, if earlier. Any portion of this Stock Option that is not exercisable on the date of disability shall terminate immediately and be of no further force or effect.</w:t>
      </w:r>
    </w:p>
    <w:p>
      <w:pPr>
        <w:spacing w:after="0" w:line="46" w:lineRule="exact"/>
        <w:rPr>
          <w:rFonts w:ascii="Arial" w:cs="Arial" w:eastAsia="Arial" w:hAnsi="Arial"/>
          <w:sz w:val="16"/>
          <w:szCs w:val="16"/>
          <w:color w:val="auto"/>
        </w:rPr>
      </w:pPr>
    </w:p>
    <w:p>
      <w:pPr>
        <w:jc w:val="both"/>
        <w:ind w:right="240" w:firstLine="996"/>
        <w:spacing w:after="0" w:line="264" w:lineRule="auto"/>
        <w:tabs>
          <w:tab w:leader="none" w:pos="1236"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Termination for Cause</w:t>
      </w:r>
      <w:r>
        <w:rPr>
          <w:rFonts w:ascii="Arial" w:cs="Arial" w:eastAsia="Arial" w:hAnsi="Arial"/>
          <w:sz w:val="18"/>
          <w:szCs w:val="18"/>
          <w:color w:val="auto"/>
        </w:rPr>
        <w:t>. If the Optionee’s Service Relationship terminates for Cause, any portion of this Stock Option outstanding on such date shall terminate immediately and be of no further force and effect. For purposes hereof, “Cause” shall mean, unless otherwise provided in an employment agreement (or similar services agreements) between the Company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27" w:name="page28"/>
    <w:bookmarkEnd w:id="27"/>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the Optionee, a determination by the Administrator that the Optionee shall be dismissed as a result of (i) any material breach by the Optionee of any agreement between the Optionee and the Company; (ii) the conviction of, indictment for or plea of nolo contendere by the Optionee to a felony or a crime involving moral turpitude; or (iii) any material misconduct or willful and deliberate non-performance (other than by reason of disability) by the Optionee of the Optionee’s duties to the Company.</w:t>
      </w:r>
    </w:p>
    <w:p>
      <w:pPr>
        <w:spacing w:after="0" w:line="79" w:lineRule="exact"/>
        <w:rPr>
          <w:sz w:val="20"/>
          <w:szCs w:val="20"/>
          <w:color w:val="auto"/>
        </w:rPr>
      </w:pPr>
    </w:p>
    <w:p>
      <w:pPr>
        <w:ind w:right="40" w:firstLine="996"/>
        <w:spacing w:after="0" w:line="302" w:lineRule="auto"/>
        <w:tabs>
          <w:tab w:leader="none" w:pos="1247"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Other Termination</w:t>
      </w:r>
      <w:r>
        <w:rPr>
          <w:rFonts w:ascii="Arial" w:cs="Arial" w:eastAsia="Arial" w:hAnsi="Arial"/>
          <w:sz w:val="16"/>
          <w:szCs w:val="16"/>
          <w:color w:val="auto"/>
        </w:rPr>
        <w:t>. If the Optionee’s Service Relationship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months from the date of termination or until the Expiration Date, if earlier. Any portion of this Stock Option that is not exercisable on the date of termination shall terminate immediately and be of no further force or effect.</w:t>
      </w:r>
    </w:p>
    <w:p>
      <w:pPr>
        <w:spacing w:after="0" w:line="154"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The Administrator’s determination of the reason for termination of the Optionee’s Service Relationship shall be conclusive and binding on the Optionee and his or her representatives or legatees.</w:t>
      </w:r>
    </w:p>
    <w:p>
      <w:pPr>
        <w:spacing w:after="0" w:line="62" w:lineRule="exact"/>
        <w:rPr>
          <w:sz w:val="20"/>
          <w:szCs w:val="20"/>
          <w:color w:val="auto"/>
        </w:rPr>
      </w:pPr>
    </w:p>
    <w:p>
      <w:pPr>
        <w:ind w:firstLine="444"/>
        <w:spacing w:after="0" w:line="264" w:lineRule="auto"/>
        <w:tabs>
          <w:tab w:leader="none" w:pos="621"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73" w:lineRule="exact"/>
        <w:rPr>
          <w:rFonts w:ascii="Arial" w:cs="Arial" w:eastAsia="Arial" w:hAnsi="Arial"/>
          <w:sz w:val="18"/>
          <w:szCs w:val="18"/>
          <w:color w:val="auto"/>
        </w:rPr>
      </w:pPr>
    </w:p>
    <w:p>
      <w:pPr>
        <w:ind w:right="360" w:firstLine="444"/>
        <w:spacing w:after="0" w:line="264" w:lineRule="auto"/>
        <w:tabs>
          <w:tab w:leader="none" w:pos="621"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73" w:lineRule="exact"/>
        <w:rPr>
          <w:rFonts w:ascii="Arial" w:cs="Arial" w:eastAsia="Arial" w:hAnsi="Arial"/>
          <w:sz w:val="18"/>
          <w:szCs w:val="18"/>
          <w:color w:val="auto"/>
        </w:rPr>
      </w:pPr>
    </w:p>
    <w:p>
      <w:pPr>
        <w:ind w:right="60" w:firstLine="444"/>
        <w:spacing w:after="0" w:line="293" w:lineRule="auto"/>
        <w:tabs>
          <w:tab w:leader="none" w:pos="621"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The Optionee shall, not later than the date as of which the exercise of this Stock Option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withholding from shares of Stock to be issued to the Optionee a number of shares of Stock with an aggregate Fair Market Value that would satisfy the withholding amount due; provided, however, that the amount withheld does not exceed the maximum statutory tax rate or such lesser amount as is necessary to avoid adverse accounting treatment or as determined by the Administrator.</w:t>
      </w:r>
    </w:p>
    <w:p>
      <w:pPr>
        <w:spacing w:after="0" w:line="56" w:lineRule="exact"/>
        <w:rPr>
          <w:rFonts w:ascii="Arial" w:cs="Arial" w:eastAsia="Arial" w:hAnsi="Arial"/>
          <w:sz w:val="16"/>
          <w:szCs w:val="16"/>
          <w:color w:val="auto"/>
        </w:rPr>
      </w:pPr>
    </w:p>
    <w:p>
      <w:pPr>
        <w:jc w:val="both"/>
        <w:ind w:right="460" w:firstLine="444"/>
        <w:spacing w:after="0" w:line="264" w:lineRule="auto"/>
        <w:tabs>
          <w:tab w:leader="none" w:pos="621"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No Obligation to Continue Service Relationship</w:t>
      </w:r>
      <w:r>
        <w:rPr>
          <w:rFonts w:ascii="Arial" w:cs="Arial" w:eastAsia="Arial" w:hAnsi="Arial"/>
          <w:sz w:val="18"/>
          <w:szCs w:val="18"/>
          <w:color w:val="auto"/>
        </w:rPr>
        <w:t>. Neither the Company nor any Subsidiary is obligated by or as a result of the Plan or this Agreement to continue the Optionee’s Service Relationship and neither the Plan nor this Agreement shall interfere in any way with the right of the Company or any Subsidiary to terminate the Service Relationship of the Optionee at any time.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28" w:name="page29"/>
    <w:bookmarkEnd w:id="28"/>
    <w:p>
      <w:pPr>
        <w:ind w:left="-100" w:right="320" w:firstLine="444"/>
        <w:spacing w:after="0" w:line="277" w:lineRule="auto"/>
        <w:tabs>
          <w:tab w:leader="none" w:pos="521"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Integration</w:t>
      </w:r>
      <w:r>
        <w:rPr>
          <w:rFonts w:ascii="Arial" w:cs="Arial" w:eastAsia="Arial" w:hAnsi="Arial"/>
          <w:sz w:val="18"/>
          <w:szCs w:val="18"/>
          <w:color w:val="auto"/>
        </w:rPr>
        <w:t>. This Agreement constitutes the entire agreement between the parties with respect to this Stock Option and supersedes all prior agreements and discussions between the parties concerning such subject matter.</w:t>
      </w:r>
    </w:p>
    <w:p>
      <w:pPr>
        <w:spacing w:after="0" w:line="62" w:lineRule="exact"/>
        <w:rPr>
          <w:rFonts w:ascii="Arial" w:cs="Arial" w:eastAsia="Arial" w:hAnsi="Arial"/>
          <w:sz w:val="18"/>
          <w:szCs w:val="18"/>
          <w:color w:val="auto"/>
        </w:rPr>
      </w:pPr>
    </w:p>
    <w:p>
      <w:pPr>
        <w:ind w:left="-100" w:firstLine="444"/>
        <w:spacing w:after="0" w:line="270" w:lineRule="auto"/>
        <w:tabs>
          <w:tab w:leader="none" w:pos="521"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Data Privacy Consent</w:t>
      </w:r>
      <w:r>
        <w:rPr>
          <w:rFonts w:ascii="Arial" w:cs="Arial" w:eastAsia="Arial" w:hAnsi="Arial"/>
          <w:sz w:val="17"/>
          <w:szCs w:val="17"/>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20"/>
          </w:cols>
          <w:pgMar w:left="540" w:top="274" w:right="539" w:bottom="1440" w:gutter="0" w:footer="0" w:header="0"/>
        </w:sectPr>
      </w:pPr>
    </w:p>
    <w:bookmarkStart w:id="29" w:name="page30"/>
    <w:bookmarkEnd w:id="29"/>
    <w:p>
      <w:pPr>
        <w:ind w:firstLine="444"/>
        <w:spacing w:after="0" w:line="264" w:lineRule="auto"/>
        <w:tabs>
          <w:tab w:leader="none" w:pos="711"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Notices</w:t>
      </w:r>
      <w:r>
        <w:rPr>
          <w:rFonts w:ascii="Arial" w:cs="Arial" w:eastAsia="Arial" w:hAnsi="Arial"/>
          <w:sz w:val="18"/>
          <w:szCs w:val="18"/>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20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AVROBIO,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14605</wp:posOffset>
            </wp:positionV>
            <wp:extent cx="65690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7">
                      <a:extLst>
                        <a:ext uri="{28A0092B-C50C-407E-A947-70E740481C1C}"/>
                      </a:extLst>
                    </a:blip>
                    <a:srcRect/>
                    <a:stretch>
                      <a:fillRect/>
                    </a:stretch>
                  </pic:blipFill>
                  <pic:spPr bwMode="auto">
                    <a:xfrm>
                      <a:off x="0" y="0"/>
                      <a:ext cx="6569075" cy="8890"/>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Optionee’s Signature</w:t>
      </w:r>
    </w:p>
    <w:p>
      <w:pPr>
        <w:spacing w:after="0" w:line="225"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4003040</wp:posOffset>
            </wp:positionH>
            <wp:positionV relativeFrom="paragraph">
              <wp:posOffset>289560</wp:posOffset>
            </wp:positionV>
            <wp:extent cx="30016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8">
                      <a:extLst>
                        <a:ext uri="{28A0092B-C50C-407E-A947-70E740481C1C}"/>
                      </a:extLst>
                    </a:blip>
                    <a:srcRect/>
                    <a:stretch>
                      <a:fillRect/>
                    </a:stretch>
                  </pic:blipFill>
                  <pic:spPr bwMode="auto">
                    <a:xfrm>
                      <a:off x="0" y="0"/>
                      <a:ext cx="3001645" cy="8890"/>
                    </a:xfrm>
                    <a:prstGeom prst="rect">
                      <a:avLst/>
                    </a:prstGeom>
                    <a:noFill/>
                  </pic:spPr>
                </pic:pic>
              </a:graphicData>
            </a:graphic>
          </wp:anchor>
        </w:drawing>
        <w:drawing>
          <wp:anchor simplePos="0" relativeHeight="251657728" behindDoc="1" locked="0" layoutInCell="0" allowOverlap="1">
            <wp:simplePos x="0" y="0"/>
            <wp:positionH relativeFrom="column">
              <wp:posOffset>4003040</wp:posOffset>
            </wp:positionH>
            <wp:positionV relativeFrom="paragraph">
              <wp:posOffset>581025</wp:posOffset>
            </wp:positionV>
            <wp:extent cx="30016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9">
                      <a:extLst>
                        <a:ext uri="{28A0092B-C50C-407E-A947-70E740481C1C}"/>
                      </a:extLst>
                    </a:blip>
                    <a:srcRect/>
                    <a:stretch>
                      <a:fillRect/>
                    </a:stretch>
                  </pic:blipFill>
                  <pic:spPr bwMode="auto">
                    <a:xfrm>
                      <a:off x="0" y="0"/>
                      <a:ext cx="3001645" cy="8890"/>
                    </a:xfrm>
                    <a:prstGeom prst="rect">
                      <a:avLst/>
                    </a:prstGeom>
                    <a:noFill/>
                  </pic:spPr>
                </pic:pic>
              </a:graphicData>
            </a:graphic>
          </wp:anchor>
        </w:drawing>
        <w:drawing>
          <wp:anchor simplePos="0" relativeHeight="251657728" behindDoc="1" locked="0" layoutInCell="0" allowOverlap="1">
            <wp:simplePos x="0" y="0"/>
            <wp:positionH relativeFrom="column">
              <wp:posOffset>4003040</wp:posOffset>
            </wp:positionH>
            <wp:positionV relativeFrom="paragraph">
              <wp:posOffset>872490</wp:posOffset>
            </wp:positionV>
            <wp:extent cx="30016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0">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sectPr>
      <w:pgSz w:w="11900" w:h="16838" w:orient="portrait"/>
      <w:cols w:equalWidth="0" w:num="1">
        <w:col w:w="10940"/>
      </w:cols>
      <w:pgMar w:left="440" w:top="27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decimal"/>
      <w:start w:val="1"/>
    </w:lvl>
  </w:abstractNum>
  <w:abstractNum w:abstractNumId="1">
    <w:nsid w:val="436C6125"/>
    <w:multiLevelType w:val="hybridMultilevel"/>
    <w:lvl w:ilvl="0">
      <w:lvlJc w:val="left"/>
      <w:lvlText w:val="(%1)"/>
      <w:numFmt w:val="lowerLetter"/>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1)"/>
      <w:numFmt w:val="lowerRoman"/>
      <w:start w:val="2"/>
    </w:lvl>
  </w:abstractNum>
  <w:abstractNum w:abstractNumId="6">
    <w:nsid w:val="2D1D5AE9"/>
    <w:multiLevelType w:val="hybridMultilevel"/>
    <w:lvl w:ilvl="0">
      <w:lvlJc w:val="left"/>
      <w:lvlText w:val="(%1)"/>
      <w:numFmt w:val="decimal"/>
      <w:start w:val="2"/>
    </w:lvl>
  </w:abstractNum>
  <w:abstractNum w:abstractNumId="7">
    <w:nsid w:val="6763845E"/>
    <w:multiLevelType w:val="hybridMultilevel"/>
    <w:lvl w:ilvl="0">
      <w:lvlJc w:val="left"/>
      <w:lvlText w:val="(%1)"/>
      <w:numFmt w:val="lowerLetter"/>
      <w:start w:val="2"/>
    </w:lvl>
  </w:abstractNum>
  <w:abstractNum w:abstractNumId="8">
    <w:nsid w:val="75A2A8D4"/>
    <w:multiLevelType w:val="hybridMultilevel"/>
    <w:lvl w:ilvl="0">
      <w:lvlJc w:val="left"/>
      <w:lvlText w:val="(%1)"/>
      <w:numFmt w:val="lowerLetter"/>
      <w:start w:val="8"/>
    </w:lvl>
  </w:abstractNum>
  <w:abstractNum w:abstractNumId="9">
    <w:nsid w:val="8EDBDAB"/>
    <w:multiLevelType w:val="hybridMultilevel"/>
    <w:lvl w:ilvl="0">
      <w:lvlJc w:val="left"/>
      <w:lvlText w:val="(%1)"/>
      <w:numFmt w:val="lowerRoman"/>
      <w:start w:val="2"/>
    </w:lvl>
  </w:abstractNum>
  <w:abstractNum w:abstractNumId="10">
    <w:nsid w:val="79838CB2"/>
    <w:multiLevelType w:val="hybridMultilevel"/>
    <w:lvl w:ilvl="0">
      <w:lvlJc w:val="left"/>
      <w:lvlText w:val="(%1)"/>
      <w:numFmt w:val="lowerLetter"/>
      <w:start w:val="1"/>
    </w:lvl>
    <w:lvl w:ilvl="1">
      <w:lvlJc w:val="left"/>
      <w:lvlText w:val="(%2)"/>
      <w:numFmt w:val="lowerRoman"/>
      <w:start w:val="1"/>
    </w:lvl>
  </w:abstractNum>
  <w:abstractNum w:abstractNumId="11">
    <w:nsid w:val="4353D0CD"/>
    <w:multiLevelType w:val="hybridMultilevel"/>
    <w:lvl w:ilvl="0">
      <w:lvlJc w:val="left"/>
      <w:lvlText w:val="(%1)"/>
      <w:numFmt w:val="lowerRoman"/>
      <w:start w:val="5"/>
    </w:lvl>
  </w:abstractNum>
  <w:abstractNum w:abstractNumId="12">
    <w:nsid w:val="B03E0C6"/>
    <w:multiLevelType w:val="hybridMultilevel"/>
    <w:lvl w:ilvl="0">
      <w:lvlJc w:val="left"/>
      <w:lvlText w:val="(%1)"/>
      <w:numFmt w:val="lowerLetter"/>
      <w:start w:val="3"/>
    </w:lvl>
  </w:abstractNum>
  <w:abstractNum w:abstractNumId="13">
    <w:nsid w:val="189A769B"/>
    <w:multiLevelType w:val="hybridMultilevel"/>
    <w:lvl w:ilvl="0">
      <w:lvlJc w:val="left"/>
      <w:lvlText w:val="%1"/>
      <w:numFmt w:val="lowerLetter"/>
      <w:start w:val="1"/>
    </w:lvl>
    <w:lvl w:ilvl="1">
      <w:lvlJc w:val="left"/>
      <w:lvlText w:val="(%2)"/>
      <w:numFmt w:val="lowerLetter"/>
      <w:start w:val="1"/>
    </w:lvl>
  </w:abstractNum>
  <w:abstractNum w:abstractNumId="14">
    <w:nsid w:val="54E49EB4"/>
    <w:multiLevelType w:val="hybridMultilevel"/>
    <w:lvl w:ilvl="0">
      <w:lvlJc w:val="left"/>
      <w:lvlText w:val="(%1)"/>
      <w:numFmt w:val="lowerLetter"/>
      <w:start w:val="9"/>
    </w:lvl>
    <w:lvl w:ilvl="1">
      <w:lvlJc w:val="left"/>
      <w:lvlText w:val="(%2)"/>
      <w:numFmt w:val="lowerLetter"/>
      <w:start w:val="3"/>
    </w:lvl>
  </w:abstractNum>
  <w:abstractNum w:abstractNumId="15">
    <w:nsid w:val="71F32454"/>
    <w:multiLevelType w:val="hybridMultilevel"/>
    <w:lvl w:ilvl="0">
      <w:lvlJc w:val="left"/>
      <w:lvlText w:val="(%1)"/>
      <w:numFmt w:val="lowerLetter"/>
      <w:start w:val="1"/>
    </w:lvl>
  </w:abstractNum>
  <w:abstractNum w:abstractNumId="16">
    <w:nsid w:val="2CA88611"/>
    <w:multiLevelType w:val="hybridMultilevel"/>
    <w:lvl w:ilvl="0">
      <w:lvlJc w:val="left"/>
      <w:lvlText w:val="(%1)"/>
      <w:numFmt w:val="lowerLetter"/>
      <w:start w:val="2"/>
    </w:lvl>
  </w:abstractNum>
  <w:abstractNum w:abstractNumId="17">
    <w:nsid w:val="836C40E"/>
    <w:multiLevelType w:val="hybridMultilevel"/>
    <w:lvl w:ilvl="0">
      <w:lvlJc w:val="left"/>
      <w:lvlText w:val="(%1)"/>
      <w:numFmt w:val="lowerLetter"/>
      <w:start w:val="3"/>
    </w:lvl>
    <w:lvl w:ilvl="1">
      <w:lvlJc w:val="left"/>
      <w:lvlText w:val="(%2)"/>
      <w:numFmt w:val="lowerRoman"/>
      <w:start w:val="1"/>
    </w:lvl>
  </w:abstractNum>
  <w:abstractNum w:abstractNumId="18">
    <w:nsid w:val="2901D82"/>
    <w:multiLevelType w:val="hybridMultilevel"/>
    <w:lvl w:ilvl="0">
      <w:lvlJc w:val="left"/>
      <w:lvlText w:val="(%1)"/>
      <w:numFmt w:val="lowerLetter"/>
      <w:start w:val="1"/>
    </w:lvl>
  </w:abstractNum>
  <w:abstractNum w:abstractNumId="19">
    <w:nsid w:val="3A95F874"/>
    <w:multiLevelType w:val="hybridMultilevel"/>
    <w:lvl w:ilvl="0">
      <w:lvlJc w:val="left"/>
      <w:lvlText w:val="%1"/>
      <w:numFmt w:val="lowerLetter"/>
      <w:start w:val="1"/>
    </w:lvl>
    <w:lvl w:ilvl="1">
      <w:lvlJc w:val="left"/>
      <w:lvlText w:val="(%2)"/>
      <w:numFmt w:val="lowerLetter"/>
      <w:start w:val="1"/>
    </w:lvl>
  </w:abstractNum>
  <w:abstractNum w:abstractNumId="20">
    <w:nsid w:val="8138641"/>
    <w:multiLevelType w:val="hybridMultilevel"/>
    <w:lvl w:ilvl="0">
      <w:lvlJc w:val="left"/>
      <w:lvlText w:val="(%1)"/>
      <w:numFmt w:val="lowerLetter"/>
      <w:start w:val="35"/>
    </w:lvl>
    <w:lvl w:ilvl="1">
      <w:lvlJc w:val="left"/>
      <w:lvlText w:val="%2"/>
      <w:numFmt w:val="lowerLetter"/>
      <w:start w:val="1"/>
    </w:lvl>
  </w:abstractNum>
  <w:abstractNum w:abstractNumId="21">
    <w:nsid w:val="1E7FF521"/>
    <w:multiLevelType w:val="hybridMultilevel"/>
    <w:lvl w:ilvl="0">
      <w:lvlJc w:val="left"/>
      <w:lvlText w:val="(%1)"/>
      <w:numFmt w:val="lowerLetter"/>
      <w:start w:val="3"/>
    </w:lvl>
  </w:abstractNum>
  <w:abstractNum w:abstractNumId="22">
    <w:nsid w:val="7C3DBD3D"/>
    <w:multiLevelType w:val="hybridMultilevel"/>
    <w:lvl w:ilvl="0">
      <w:lvlJc w:val="left"/>
      <w:lvlText w:val="(%1)"/>
      <w:numFmt w:val="lowerLetter"/>
      <w:start w:val="1"/>
    </w:lvl>
  </w:abstractNum>
  <w:abstractNum w:abstractNumId="23">
    <w:nsid w:val="737B8DDC"/>
    <w:multiLevelType w:val="hybridMultilevel"/>
    <w:lvl w:ilvl="0">
      <w:lvlJc w:val="left"/>
      <w:lvlText w:val="(%1)"/>
      <w:numFmt w:val="lowerLetter"/>
      <w:start w:val="3"/>
    </w:lvl>
  </w:abstractNum>
  <w:abstractNum w:abstractNumId="24">
    <w:nsid w:val="6CEAF087"/>
    <w:multiLevelType w:val="hybridMultilevel"/>
    <w:lvl w:ilvl="0">
      <w:lvlJc w:val="left"/>
      <w:lvlText w:val="(%1)"/>
      <w:numFmt w:val="lowerLetter"/>
      <w:start w:val="1"/>
    </w:lvl>
  </w:abstractNum>
  <w:abstractNum w:abstractNumId="25">
    <w:nsid w:val="22221A70"/>
    <w:multiLevelType w:val="hybridMultilevel"/>
    <w:lvl w:ilvl="0">
      <w:lvlJc w:val="left"/>
      <w:lvlText w:val="(%1)"/>
      <w:numFmt w:val="lowerLetter"/>
      <w:start w:val="2"/>
    </w:lvl>
  </w:abstractNum>
  <w:abstractNum w:abstractNumId="26">
    <w:nsid w:val="4516DDE9"/>
    <w:multiLevelType w:val="hybridMultilevel"/>
    <w:lvl w:ilvl="0">
      <w:lvlJc w:val="left"/>
      <w:lvlText w:val="(%1)"/>
      <w:numFmt w:val="lowerLetter"/>
      <w:start w:val="1"/>
    </w:lvl>
  </w:abstractNum>
  <w:abstractNum w:abstractNumId="27">
    <w:nsid w:val="3006C83E"/>
    <w:multiLevelType w:val="hybridMultilevel"/>
    <w:lvl w:ilvl="0">
      <w:lvlJc w:val="left"/>
      <w:lvlText w:val="(%1)"/>
      <w:numFmt w:val="lowerLetter"/>
      <w:start w:val="1"/>
    </w:lvl>
  </w:abstractNum>
  <w:abstractNum w:abstractNumId="28">
    <w:nsid w:val="614FD4A1"/>
    <w:multiLevelType w:val="hybridMultilevel"/>
    <w:lvl w:ilvl="0">
      <w:lvlJc w:val="left"/>
      <w:lvlText w:val="(%1)"/>
      <w:numFmt w:val="lowerLetter"/>
      <w:start w:val="1"/>
    </w:lvl>
    <w:lvl w:ilvl="1">
      <w:lvlJc w:val="left"/>
      <w:lvlText w:val="(%2)"/>
      <w:numFmt w:val="lowerRoman"/>
      <w:start w:val="1"/>
    </w:lvl>
  </w:abstractNum>
  <w:abstractNum w:abstractNumId="29">
    <w:nsid w:val="419AC241"/>
    <w:multiLevelType w:val="hybridMultilevel"/>
    <w:lvl w:ilvl="0">
      <w:lvlJc w:val="left"/>
      <w:lvlText w:val="(%1)"/>
      <w:numFmt w:val="lowerLetter"/>
      <w:start w:val="1"/>
    </w:lvl>
  </w:abstractNum>
  <w:abstractNum w:abstractNumId="30">
    <w:nsid w:val="5577F8E1"/>
    <w:multiLevelType w:val="hybridMultilevel"/>
    <w:lvl w:ilvl="0">
      <w:lvlJc w:val="left"/>
      <w:lvlText w:val="(%1)"/>
      <w:numFmt w:val="lowerLetter"/>
      <w:start w:val="2"/>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1."/>
      <w:numFmt w:val="decimal"/>
      <w:start w:val="2"/>
    </w:lvl>
    <w:lvl w:ilvl="1">
      <w:lvlJc w:val="left"/>
      <w:lvlText w:val="(%2)"/>
      <w:numFmt w:val="lowerLetter"/>
      <w:start w:val="1"/>
    </w:lvl>
  </w:abstractNum>
  <w:abstractNum w:abstractNumId="33">
    <w:nsid w:val="3804823E"/>
    <w:multiLevelType w:val="hybridMultilevel"/>
    <w:lvl w:ilvl="0">
      <w:lvlJc w:val="left"/>
      <w:lvlText w:val="%1"/>
      <w:numFmt w:val="decimal"/>
      <w:start w:val="1"/>
    </w:lvl>
    <w:lvl w:ilvl="1">
      <w:lvlJc w:val="left"/>
      <w:lvlText w:val="(%2)"/>
      <w:numFmt w:val="lowerLetter"/>
      <w:start w:val="2"/>
    </w:lvl>
  </w:abstractNum>
  <w:abstractNum w:abstractNumId="34">
    <w:nsid w:val="77465F01"/>
    <w:multiLevelType w:val="hybridMultilevel"/>
    <w:lvl w:ilvl="0">
      <w:lvlJc w:val="left"/>
      <w:lvlText w:val="%1."/>
      <w:numFmt w:val="decimal"/>
      <w:start w:val="3"/>
    </w:lvl>
    <w:lvl w:ilvl="1">
      <w:lvlJc w:val="left"/>
      <w:lvlText w:val="(%2)"/>
      <w:numFmt w:val="lowerLetter"/>
      <w:start w:val="1"/>
    </w:lvl>
  </w:abstractNum>
  <w:abstractNum w:abstractNumId="35">
    <w:nsid w:val="7724C67E"/>
    <w:multiLevelType w:val="hybridMultilevel"/>
    <w:lvl w:ilvl="0">
      <w:lvlJc w:val="left"/>
      <w:lvlText w:val="(%1)"/>
      <w:numFmt w:val="lowerLetter"/>
      <w:start w:val="4"/>
    </w:lvl>
  </w:abstractNum>
  <w:abstractNum w:abstractNumId="36">
    <w:nsid w:val="5C482A97"/>
    <w:multiLevelType w:val="hybridMultilevel"/>
    <w:lvl w:ilvl="0">
      <w:lvlJc w:val="left"/>
      <w:lvlText w:val="%1."/>
      <w:numFmt w:val="decimal"/>
      <w:start w:val="4"/>
    </w:lvl>
  </w:abstractNum>
  <w:abstractNum w:abstractNumId="37">
    <w:nsid w:val="2463B9EA"/>
    <w:multiLevelType w:val="hybridMultilevel"/>
    <w:lvl w:ilvl="0">
      <w:lvlJc w:val="left"/>
      <w:lvlText w:val="%1."/>
      <w:numFmt w:val="decimal"/>
      <w:start w:val="8"/>
    </w:lvl>
  </w:abstractNum>
  <w:abstractNum w:abstractNumId="38">
    <w:nsid w:val="5E884ADC"/>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32" Type="http://schemas.openxmlformats.org/officeDocument/2006/relationships/image" Target="media/image11.png"/><Relationship Id="rId33" Type="http://schemas.openxmlformats.org/officeDocument/2006/relationships/image" Target="media/image12.png"/><Relationship Id="rId38" Type="http://schemas.openxmlformats.org/officeDocument/2006/relationships/image" Target="media/image13.png"/><Relationship Id="rId39" Type="http://schemas.openxmlformats.org/officeDocument/2006/relationships/image" Target="media/image14.png"/><Relationship Id="rId40" Type="http://schemas.openxmlformats.org/officeDocument/2006/relationships/image" Target="media/image15.png"/><Relationship Id="rId41" Type="http://schemas.openxmlformats.org/officeDocument/2006/relationships/image" Target="media/image16.png"/><Relationship Id="rId42" Type="http://schemas.openxmlformats.org/officeDocument/2006/relationships/image" Target="media/image17.png"/><Relationship Id="rId43" Type="http://schemas.openxmlformats.org/officeDocument/2006/relationships/image" Target="media/image18.png"/><Relationship Id="rId44" Type="http://schemas.openxmlformats.org/officeDocument/2006/relationships/image" Target="media/image19.png"/><Relationship Id="rId45" Type="http://schemas.openxmlformats.org/officeDocument/2006/relationships/image" Target="media/image20.png"/><Relationship Id="rId46" Type="http://schemas.openxmlformats.org/officeDocument/2006/relationships/image" Target="media/image21.png"/><Relationship Id="rId47" Type="http://schemas.openxmlformats.org/officeDocument/2006/relationships/image" Target="media/image22.png"/><Relationship Id="rId48" Type="http://schemas.openxmlformats.org/officeDocument/2006/relationships/image" Target="media/image23.png"/><Relationship Id="rId49" Type="http://schemas.openxmlformats.org/officeDocument/2006/relationships/image" Target="media/image24.png"/><Relationship Id="rId50" Type="http://schemas.openxmlformats.org/officeDocument/2006/relationships/image" Target="media/image25.png"/><Relationship Id="rId51" Type="http://schemas.openxmlformats.org/officeDocument/2006/relationships/image" Target="media/image26.png"/><Relationship Id="rId52" Type="http://schemas.openxmlformats.org/officeDocument/2006/relationships/image" Target="media/image27.png"/><Relationship Id="rId53" Type="http://schemas.openxmlformats.org/officeDocument/2006/relationships/image" Target="media/image28.png"/><Relationship Id="rId54" Type="http://schemas.openxmlformats.org/officeDocument/2006/relationships/image" Target="media/image29.png"/><Relationship Id="rId55" Type="http://schemas.openxmlformats.org/officeDocument/2006/relationships/image" Target="media/image30.png"/><Relationship Id="rId56" Type="http://schemas.openxmlformats.org/officeDocument/2006/relationships/image" Target="media/image31.png"/><Relationship Id="rId57" Type="http://schemas.openxmlformats.org/officeDocument/2006/relationships/image" Target="media/image32.png"/><Relationship Id="rId58" Type="http://schemas.openxmlformats.org/officeDocument/2006/relationships/image" Target="media/image33.png"/><Relationship Id="rId59" Type="http://schemas.openxmlformats.org/officeDocument/2006/relationships/image" Target="media/image34.png"/><Relationship Id="rId60" Type="http://schemas.openxmlformats.org/officeDocument/2006/relationships/image" Target="media/image35.png"/><Relationship Id="rId61" Type="http://schemas.openxmlformats.org/officeDocument/2006/relationships/image" Target="media/image36.png"/><Relationship Id="rId62" Type="http://schemas.openxmlformats.org/officeDocument/2006/relationships/image" Target="media/image37.png"/><Relationship Id="rId63" Type="http://schemas.openxmlformats.org/officeDocument/2006/relationships/image" Target="media/image38.png"/><Relationship Id="rId64" Type="http://schemas.openxmlformats.org/officeDocument/2006/relationships/image" Target="media/image39.png"/><Relationship Id="rId65" Type="http://schemas.openxmlformats.org/officeDocument/2006/relationships/image" Target="media/image40.png"/><Relationship Id="rId66" Type="http://schemas.openxmlformats.org/officeDocument/2006/relationships/image" Target="media/image41.png"/><Relationship Id="rId67" Type="http://schemas.openxmlformats.org/officeDocument/2006/relationships/image" Target="media/image42.png"/><Relationship Id="rId68" Type="http://schemas.openxmlformats.org/officeDocument/2006/relationships/image" Target="media/image43.png"/><Relationship Id="rId69" Type="http://schemas.openxmlformats.org/officeDocument/2006/relationships/image" Target="media/image44.png"/><Relationship Id="rId70" Type="http://schemas.openxmlformats.org/officeDocument/2006/relationships/image" Target="media/image45.png"/><Relationship Id="rId18" Type="http://schemas.openxmlformats.org/officeDocument/2006/relationships/hyperlink" Target="http://www.sec.gov/Archives/edgar/data/1681087/000119312519085321/d677215d10k.htm" TargetMode="External"/><Relationship Id="rId19" Type="http://schemas.openxmlformats.org/officeDocument/2006/relationships/hyperlink" Target="http://www.sec.gov/Archives/edgar/data/1681087/000119312519120864/d677210ddef14a.htm" TargetMode="External"/><Relationship Id="rId20" Type="http://schemas.openxmlformats.org/officeDocument/2006/relationships/hyperlink" Target="http://www.sec.gov/Archives/edgar/data/1681087/000119312519145337/d704561d10q.htm" TargetMode="External"/><Relationship Id="rId21" Type="http://schemas.openxmlformats.org/officeDocument/2006/relationships/hyperlink" Target="http://www.sec.gov/Archives/edgar/data/1681087/000156459019030417/avro-10q_20190630.htm" TargetMode="External"/><Relationship Id="rId22" Type="http://schemas.openxmlformats.org/officeDocument/2006/relationships/hyperlink" Target="http://www.sec.gov/Archives/edgar/data/1681087/000156459019041704/avro-10q_20190930.htm" TargetMode="External"/><Relationship Id="rId23" Type="http://schemas.openxmlformats.org/officeDocument/2006/relationships/hyperlink" Target="http://www.sec.gov/Archives/edgar/data/1681087/000119312519003876/d667521d8k.htm" TargetMode="External"/><Relationship Id="rId24" Type="http://schemas.openxmlformats.org/officeDocument/2006/relationships/hyperlink" Target="http://www.sec.gov/Archives/edgar/data/1681087/000119312519007398/d666627d8ka.htm" TargetMode="External"/><Relationship Id="rId25" Type="http://schemas.openxmlformats.org/officeDocument/2006/relationships/hyperlink" Target="http://www.sec.gov/Archives/edgar/data/1681087/000119312519013423/d688889d8k.htm" TargetMode="External"/><Relationship Id="rId26" Type="http://schemas.openxmlformats.org/officeDocument/2006/relationships/hyperlink" Target="http://www.sec.gov/Archives/edgar/data/1681087/000119312519028978/d664592d8k.htm" TargetMode="External"/><Relationship Id="rId27" Type="http://schemas.openxmlformats.org/officeDocument/2006/relationships/hyperlink" Target="http://www.sec.gov/Archives/edgar/data/1681087/000119312519123672/d668056d8k.htm" TargetMode="External"/><Relationship Id="rId28" Type="http://schemas.openxmlformats.org/officeDocument/2006/relationships/hyperlink" Target="http://www.sec.gov/Archives/edgar/data/1681087/000119312519170745/d766114d8k.htm" TargetMode="External"/><Relationship Id="rId29" Type="http://schemas.openxmlformats.org/officeDocument/2006/relationships/hyperlink" Target="http://www.sec.gov/Archives/edgar/data/1681087/000119312519193574/d753129d8k.htm" TargetMode="External"/><Relationship Id="rId30" Type="http://schemas.openxmlformats.org/officeDocument/2006/relationships/hyperlink" Target="http://www.sec.gov/Archives/edgar/data/1681087/000119312519195748/d775231d8k.htm" TargetMode="External"/><Relationship Id="rId31" Type="http://schemas.openxmlformats.org/officeDocument/2006/relationships/hyperlink" Target="http://www.sec.gov/Archives/edgar/data/1681087/000119312518195637/d562006d8a12b.htm" TargetMode="External"/><Relationship Id="rId34" Type="http://schemas.openxmlformats.org/officeDocument/2006/relationships/hyperlink" Target="http://www.sec.gov/Archives/edgar/data/1681087/000119312518202460/d153924dex31.htm" TargetMode="External"/><Relationship Id="rId35" Type="http://schemas.openxmlformats.org/officeDocument/2006/relationships/hyperlink" Target="http://www.sec.gov/Archives/edgar/data/1681087/000119312518202460/d153924dex32.htm" TargetMode="External"/><Relationship Id="rId36" Type="http://schemas.openxmlformats.org/officeDocument/2006/relationships/hyperlink" Target="http://www.sec.gov/Archives/edgar/data/1681087/000119312518175024/d562006dex42.htm" TargetMode="External"/><Relationship Id="rId37" Type="http://schemas.openxmlformats.org/officeDocument/2006/relationships/hyperlink" Target="http://www.sec.gov/Archives/edgar/data/1681087/000119312519085335/d724212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2019-12-20T15:25:21Z</dcterms:created>
  <dcterms:modified xsi:type="dcterms:W3CDTF">2019-12-20T15:25:21Z</dcterms:modified>
</cp:coreProperties>
</file>