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14A</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(Rule 14a-101)</w:t>
      </w:r>
    </w:p>
    <w:p>
      <w:pPr>
        <w:spacing w:after="0" w:line="19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60" w:hanging="556"/>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60" w:hanging="556"/>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60" w:hanging="556"/>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60" w:hanging="556"/>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60" w:hanging="556"/>
        <w:spacing w:after="0"/>
        <w:tabs>
          <w:tab w:leader="none" w:pos="5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300"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AVROBIO, INC.</w:t>
      </w:r>
    </w:p>
    <w:p>
      <w:pPr>
        <w:spacing w:after="0" w:line="3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4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80" w:hanging="576"/>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80" w:hanging="576"/>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20" w:hanging="54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20" w:hanging="54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20" w:hanging="549"/>
        <w:spacing w:after="0" w:line="277" w:lineRule="auto"/>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20" w:hanging="54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20" w:hanging="54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80" w:hanging="576"/>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80" w:right="180" w:hanging="576"/>
        <w:spacing w:after="0" w:line="308" w:lineRule="auto"/>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709930</wp:posOffset>
            </wp:positionH>
            <wp:positionV relativeFrom="paragraph">
              <wp:posOffset>-2795905</wp:posOffset>
            </wp:positionV>
            <wp:extent cx="6294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-2350135</wp:posOffset>
            </wp:positionV>
            <wp:extent cx="6294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-1766570</wp:posOffset>
            </wp:positionV>
            <wp:extent cx="6294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-1320800</wp:posOffset>
            </wp:positionV>
            <wp:extent cx="6294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-875030</wp:posOffset>
            </wp:positionV>
            <wp:extent cx="6294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127635</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170815</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20"/>
          </w:cols>
          <w:pgMar w:left="440" w:top="517" w:right="539" w:bottom="1440" w:gutter="0" w:footer="0" w:header="0"/>
        </w:sectPr>
      </w:pPr>
    </w:p>
    <w:bookmarkStart w:id="1" w:name="page2"/>
    <w:bookmarkEnd w:id="1"/>
    <w:p>
      <w:pPr>
        <w:jc w:val="center"/>
        <w:ind w:right="90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Arial" w:cs="Arial" w:eastAsia="Arial" w:hAnsi="Arial"/>
          <w:sz w:val="31"/>
          <w:szCs w:val="31"/>
          <w:b w:val="1"/>
          <w:bCs w:val="1"/>
          <w:i w:val="1"/>
          <w:iCs w:val="1"/>
          <w:color w:val="auto"/>
        </w:rPr>
        <w:t>Right</w:t>
      </w:r>
      <w:r>
        <w:rPr>
          <w:rFonts w:ascii="Arial" w:cs="Arial" w:eastAsia="Arial" w:hAnsi="Arial"/>
          <w:sz w:val="31"/>
          <w:szCs w:val="31"/>
          <w:b w:val="1"/>
          <w:bCs w:val="1"/>
          <w:color w:val="auto"/>
        </w:rPr>
        <w:t xml:space="preserve"> to Vote ***</w:t>
      </w:r>
    </w:p>
    <w:p>
      <w:pPr>
        <w:spacing w:after="0" w:line="25" w:lineRule="exact"/>
        <w:rPr>
          <w:sz w:val="20"/>
          <w:szCs w:val="20"/>
          <w:color w:val="auto"/>
        </w:rPr>
      </w:pPr>
    </w:p>
    <w:p>
      <w:pPr>
        <w:jc w:val="center"/>
        <w:ind w:right="900"/>
        <w:spacing w:after="0"/>
        <w:rPr>
          <w:sz w:val="20"/>
          <w:szCs w:val="20"/>
          <w:color w:val="auto"/>
        </w:rPr>
      </w:pPr>
      <w:r>
        <w:rPr>
          <w:rFonts w:ascii="Arial" w:cs="Arial" w:eastAsia="Arial" w:hAnsi="Arial"/>
          <w:sz w:val="21"/>
          <w:szCs w:val="21"/>
          <w:b w:val="1"/>
          <w:bCs w:val="1"/>
          <w:color w:val="auto"/>
        </w:rPr>
        <w:t>Important Notice Regarding the Availability of Proxy Materials for the</w:t>
      </w:r>
    </w:p>
    <w:p>
      <w:pPr>
        <w:spacing w:after="0" w:line="2" w:lineRule="exact"/>
        <w:rPr>
          <w:sz w:val="20"/>
          <w:szCs w:val="20"/>
          <w:color w:val="auto"/>
        </w:rPr>
      </w:pPr>
    </w:p>
    <w:p>
      <w:pPr>
        <w:jc w:val="center"/>
        <w:ind w:right="900"/>
        <w:spacing w:after="0"/>
        <w:rPr>
          <w:sz w:val="20"/>
          <w:szCs w:val="20"/>
          <w:color w:val="auto"/>
        </w:rPr>
      </w:pPr>
      <w:r>
        <w:rPr>
          <w:rFonts w:ascii="Arial" w:cs="Arial" w:eastAsia="Arial" w:hAnsi="Arial"/>
          <w:sz w:val="22"/>
          <w:szCs w:val="22"/>
          <w:b w:val="1"/>
          <w:bCs w:val="1"/>
          <w:color w:val="auto"/>
        </w:rPr>
        <w:t>Stockholder Meeting to Be Held on June 11, 2019.</w:t>
      </w:r>
    </w:p>
    <w:p>
      <w:pPr>
        <w:spacing w:after="0" w:line="220" w:lineRule="exact"/>
        <w:rPr>
          <w:sz w:val="20"/>
          <w:szCs w:val="20"/>
          <w:color w:val="auto"/>
        </w:rPr>
      </w:pPr>
    </w:p>
    <w:tbl>
      <w:tblPr>
        <w:tblLayout w:type="fixed"/>
        <w:tblInd w:w="1800" w:type="dxa"/>
        <w:tblCellMar>
          <w:top w:w="0" w:type="dxa"/>
          <w:left w:w="0" w:type="dxa"/>
          <w:bottom w:w="0" w:type="dxa"/>
          <w:right w:w="0" w:type="dxa"/>
        </w:tblCellMar>
      </w:tblPr>
      <w:tr>
        <w:trPr>
          <w:trHeight w:val="284"/>
        </w:trPr>
        <w:tc>
          <w:tcPr>
            <w:tcW w:w="3480" w:type="dxa"/>
            <w:vAlign w:val="bottom"/>
            <w:tcBorders>
              <w:right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9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20"/>
                <w:szCs w:val="20"/>
                <w:b w:val="1"/>
                <w:bCs w:val="1"/>
                <w:color w:val="auto"/>
                <w:w w:val="98"/>
              </w:rPr>
              <w:t>Meeting Information</w:t>
            </w:r>
          </w:p>
        </w:tc>
        <w:tc>
          <w:tcPr>
            <w:tcW w:w="1560" w:type="dxa"/>
            <w:vAlign w:val="bottom"/>
            <w:tcBorders>
              <w:top w:val="single" w:sz="8" w:color="auto"/>
              <w:right w:val="single" w:sz="8" w:color="auto"/>
            </w:tcBorders>
          </w:tcPr>
          <w:p>
            <w:pPr>
              <w:spacing w:after="0"/>
              <w:rPr>
                <w:sz w:val="24"/>
                <w:szCs w:val="24"/>
                <w:color w:val="auto"/>
              </w:rPr>
            </w:pPr>
          </w:p>
        </w:tc>
      </w:tr>
      <w:tr>
        <w:trPr>
          <w:trHeight w:val="327"/>
        </w:trPr>
        <w:tc>
          <w:tcPr>
            <w:tcW w:w="3480" w:type="dxa"/>
            <w:vAlign w:val="bottom"/>
            <w:tcBorders>
              <w:right w:val="single" w:sz="8" w:color="auto"/>
            </w:tcBorders>
          </w:tcPr>
          <w:p>
            <w:pPr>
              <w:spacing w:after="0"/>
              <w:rPr>
                <w:sz w:val="20"/>
                <w:szCs w:val="20"/>
                <w:color w:val="auto"/>
              </w:rPr>
            </w:pPr>
            <w:r>
              <w:rPr>
                <w:rFonts w:ascii="Arial" w:cs="Arial" w:eastAsia="Arial" w:hAnsi="Arial"/>
                <w:sz w:val="22"/>
                <w:szCs w:val="22"/>
                <w:b w:val="1"/>
                <w:bCs w:val="1"/>
                <w:color w:val="auto"/>
              </w:rPr>
              <w:t>AVROBIO, INC.</w:t>
            </w:r>
          </w:p>
        </w:tc>
        <w:tc>
          <w:tcPr>
            <w:tcW w:w="1620" w:type="dxa"/>
            <w:vAlign w:val="bottom"/>
            <w:gridSpan w:val="2"/>
          </w:tcPr>
          <w:p>
            <w:pPr>
              <w:ind w:left="80"/>
              <w:spacing w:after="0"/>
              <w:rPr>
                <w:sz w:val="20"/>
                <w:szCs w:val="20"/>
                <w:color w:val="auto"/>
              </w:rPr>
            </w:pPr>
            <w:r>
              <w:rPr>
                <w:rFonts w:ascii="Arial" w:cs="Arial" w:eastAsia="Arial" w:hAnsi="Arial"/>
                <w:sz w:val="16"/>
                <w:szCs w:val="16"/>
                <w:b w:val="1"/>
                <w:bCs w:val="1"/>
                <w:color w:val="auto"/>
              </w:rPr>
              <w:t>Meeting Type:</w:t>
            </w:r>
          </w:p>
        </w:tc>
        <w:tc>
          <w:tcPr>
            <w:tcW w:w="32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Annual Meeting</w:t>
            </w:r>
          </w:p>
        </w:tc>
      </w:tr>
      <w:tr>
        <w:trPr>
          <w:trHeight w:val="215"/>
        </w:trPr>
        <w:tc>
          <w:tcPr>
            <w:tcW w:w="3480" w:type="dxa"/>
            <w:vAlign w:val="bottom"/>
            <w:tcBorders>
              <w:right w:val="single" w:sz="8" w:color="auto"/>
            </w:tcBorders>
          </w:tcPr>
          <w:p>
            <w:pPr>
              <w:spacing w:after="0"/>
              <w:rPr>
                <w:sz w:val="18"/>
                <w:szCs w:val="18"/>
                <w:color w:val="auto"/>
              </w:rPr>
            </w:pPr>
          </w:p>
        </w:tc>
        <w:tc>
          <w:tcPr>
            <w:tcW w:w="1620" w:type="dxa"/>
            <w:vAlign w:val="bottom"/>
            <w:gridSpan w:val="2"/>
          </w:tcPr>
          <w:p>
            <w:pPr>
              <w:ind w:left="80"/>
              <w:spacing w:after="0"/>
              <w:rPr>
                <w:sz w:val="20"/>
                <w:szCs w:val="20"/>
                <w:color w:val="auto"/>
              </w:rPr>
            </w:pPr>
            <w:r>
              <w:rPr>
                <w:rFonts w:ascii="Arial" w:cs="Arial" w:eastAsia="Arial" w:hAnsi="Arial"/>
                <w:sz w:val="16"/>
                <w:szCs w:val="16"/>
                <w:b w:val="1"/>
                <w:bCs w:val="1"/>
                <w:color w:val="auto"/>
              </w:rPr>
              <w:t>For holders as of:</w:t>
            </w:r>
          </w:p>
        </w:tc>
        <w:tc>
          <w:tcPr>
            <w:tcW w:w="326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April 15, 2019</w:t>
            </w:r>
          </w:p>
        </w:tc>
      </w:tr>
      <w:tr>
        <w:trPr>
          <w:trHeight w:val="257"/>
        </w:trPr>
        <w:tc>
          <w:tcPr>
            <w:tcW w:w="3480" w:type="dxa"/>
            <w:vAlign w:val="bottom"/>
            <w:tcBorders>
              <w:right w:val="single" w:sz="8" w:color="auto"/>
            </w:tcBorders>
          </w:tcPr>
          <w:p>
            <w:pPr>
              <w:spacing w:after="0"/>
              <w:rPr>
                <w:sz w:val="22"/>
                <w:szCs w:val="22"/>
                <w:color w:val="auto"/>
              </w:rPr>
            </w:pPr>
          </w:p>
        </w:tc>
        <w:tc>
          <w:tcPr>
            <w:tcW w:w="1620" w:type="dxa"/>
            <w:vAlign w:val="bottom"/>
            <w:gridSpan w:val="2"/>
          </w:tcPr>
          <w:p>
            <w:pPr>
              <w:ind w:left="80"/>
              <w:spacing w:after="0"/>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16"/>
                <w:szCs w:val="16"/>
                <w:color w:val="auto"/>
              </w:rPr>
              <w:t>June 11, 2019</w:t>
            </w:r>
          </w:p>
        </w:tc>
        <w:tc>
          <w:tcPr>
            <w:tcW w:w="3260" w:type="dxa"/>
            <w:vAlign w:val="bottom"/>
            <w:tcBorders>
              <w:right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xml:space="preserve">Time: </w:t>
            </w:r>
            <w:r>
              <w:rPr>
                <w:rFonts w:ascii="Arial" w:cs="Arial" w:eastAsia="Arial" w:hAnsi="Arial"/>
                <w:sz w:val="16"/>
                <w:szCs w:val="16"/>
                <w:color w:val="auto"/>
              </w:rPr>
              <w:t>8:30 AM EDT</w:t>
            </w:r>
          </w:p>
        </w:tc>
      </w:tr>
      <w:tr>
        <w:trPr>
          <w:trHeight w:val="251"/>
        </w:trPr>
        <w:tc>
          <w:tcPr>
            <w:tcW w:w="3480" w:type="dxa"/>
            <w:vAlign w:val="bottom"/>
            <w:tcBorders>
              <w:right w:val="single" w:sz="8" w:color="auto"/>
            </w:tcBorders>
          </w:tcPr>
          <w:p>
            <w:pPr>
              <w:spacing w:after="0"/>
              <w:rPr>
                <w:sz w:val="21"/>
                <w:szCs w:val="21"/>
                <w:color w:val="auto"/>
              </w:rPr>
            </w:pPr>
          </w:p>
        </w:tc>
        <w:tc>
          <w:tcPr>
            <w:tcW w:w="4880" w:type="dxa"/>
            <w:vAlign w:val="bottom"/>
            <w:tcBorders>
              <w:right w:val="single" w:sz="8" w:color="auto"/>
            </w:tcBorders>
            <w:gridSpan w:val="4"/>
          </w:tcPr>
          <w:p>
            <w:pPr>
              <w:ind w:left="80"/>
              <w:spacing w:after="0"/>
              <w:rPr>
                <w:sz w:val="20"/>
                <w:szCs w:val="20"/>
                <w:color w:val="auto"/>
              </w:rPr>
            </w:pPr>
            <w:r>
              <w:rPr>
                <w:rFonts w:ascii="Arial" w:cs="Arial" w:eastAsia="Arial" w:hAnsi="Arial"/>
                <w:sz w:val="16"/>
                <w:szCs w:val="16"/>
                <w:b w:val="1"/>
                <w:bCs w:val="1"/>
                <w:color w:val="auto"/>
              </w:rPr>
              <w:t xml:space="preserve">Location:  </w:t>
            </w:r>
            <w:r>
              <w:rPr>
                <w:rFonts w:ascii="Arial" w:cs="Arial" w:eastAsia="Arial" w:hAnsi="Arial"/>
                <w:sz w:val="16"/>
                <w:szCs w:val="16"/>
                <w:color w:val="auto"/>
              </w:rPr>
              <w:t>Goodwin Procter LLP</w:t>
            </w:r>
          </w:p>
        </w:tc>
      </w:tr>
      <w:tr>
        <w:trPr>
          <w:trHeight w:val="189"/>
        </w:trPr>
        <w:tc>
          <w:tcPr>
            <w:tcW w:w="3480" w:type="dxa"/>
            <w:vAlign w:val="bottom"/>
            <w:tcBorders>
              <w:right w:val="single" w:sz="8" w:color="auto"/>
            </w:tcBorders>
          </w:tcPr>
          <w:p>
            <w:pPr>
              <w:spacing w:after="0"/>
              <w:rPr>
                <w:sz w:val="16"/>
                <w:szCs w:val="16"/>
                <w:color w:val="auto"/>
              </w:rPr>
            </w:pPr>
          </w:p>
        </w:tc>
        <w:tc>
          <w:tcPr>
            <w:tcW w:w="4880" w:type="dxa"/>
            <w:vAlign w:val="bottom"/>
            <w:tcBorders>
              <w:right w:val="single" w:sz="8" w:color="auto"/>
            </w:tcBorders>
            <w:gridSpan w:val="4"/>
          </w:tcPr>
          <w:p>
            <w:pPr>
              <w:ind w:left="980"/>
              <w:spacing w:after="0"/>
              <w:rPr>
                <w:sz w:val="20"/>
                <w:szCs w:val="20"/>
                <w:color w:val="auto"/>
              </w:rPr>
            </w:pPr>
            <w:r>
              <w:rPr>
                <w:rFonts w:ascii="Arial" w:cs="Arial" w:eastAsia="Arial" w:hAnsi="Arial"/>
                <w:sz w:val="16"/>
                <w:szCs w:val="16"/>
                <w:color w:val="auto"/>
              </w:rPr>
              <w:t>100 Northern Avenue</w:t>
            </w:r>
          </w:p>
        </w:tc>
      </w:tr>
      <w:tr>
        <w:trPr>
          <w:trHeight w:val="195"/>
        </w:trPr>
        <w:tc>
          <w:tcPr>
            <w:tcW w:w="3480" w:type="dxa"/>
            <w:vAlign w:val="bottom"/>
            <w:tcBorders>
              <w:right w:val="single" w:sz="8" w:color="auto"/>
            </w:tcBorders>
          </w:tcPr>
          <w:p>
            <w:pPr>
              <w:spacing w:after="0"/>
              <w:rPr>
                <w:sz w:val="16"/>
                <w:szCs w:val="16"/>
                <w:color w:val="auto"/>
              </w:rPr>
            </w:pPr>
          </w:p>
        </w:tc>
        <w:tc>
          <w:tcPr>
            <w:tcW w:w="4880" w:type="dxa"/>
            <w:vAlign w:val="bottom"/>
            <w:tcBorders>
              <w:right w:val="single" w:sz="8" w:color="auto"/>
            </w:tcBorders>
            <w:gridSpan w:val="4"/>
          </w:tcPr>
          <w:p>
            <w:pPr>
              <w:ind w:left="980"/>
              <w:spacing w:after="0"/>
              <w:rPr>
                <w:sz w:val="20"/>
                <w:szCs w:val="20"/>
                <w:color w:val="auto"/>
              </w:rPr>
            </w:pPr>
            <w:r>
              <w:rPr>
                <w:rFonts w:ascii="Arial" w:cs="Arial" w:eastAsia="Arial" w:hAnsi="Arial"/>
                <w:sz w:val="16"/>
                <w:szCs w:val="16"/>
                <w:color w:val="auto"/>
              </w:rPr>
              <w:t>Boston, MA 02210</w:t>
            </w:r>
          </w:p>
        </w:tc>
      </w:tr>
      <w:tr>
        <w:trPr>
          <w:trHeight w:val="128"/>
        </w:trPr>
        <w:tc>
          <w:tcPr>
            <w:tcW w:w="3480" w:type="dxa"/>
            <w:vAlign w:val="bottom"/>
            <w:tcBorders>
              <w:right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1560" w:type="dxa"/>
            <w:vAlign w:val="bottom"/>
            <w:tcBorders>
              <w:bottom w:val="single" w:sz="8" w:color="auto"/>
              <w:right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-8255</wp:posOffset>
            </wp:positionV>
            <wp:extent cx="1157605"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57605" cy="377190"/>
                    </a:xfrm>
                    <a:prstGeom prst="rect">
                      <a:avLst/>
                    </a:prstGeom>
                    <a:noFill/>
                  </pic:spPr>
                </pic:pic>
              </a:graphicData>
            </a:graphic>
          </wp:anchor>
        </w:drawing>
      </w:r>
    </w:p>
    <w:p>
      <w:pPr>
        <w:sectPr>
          <w:pgSz w:w="11900" w:h="16838" w:orient="portrait"/>
          <w:cols w:equalWidth="0" w:num="1">
            <w:col w:w="10140"/>
          </w:cols>
          <w:pgMar w:left="1340" w:top="25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AVROBIO, INC.</w:t>
      </w:r>
    </w:p>
    <w:p>
      <w:pPr>
        <w:spacing w:after="0" w:line="219" w:lineRule="auto"/>
        <w:rPr>
          <w:sz w:val="20"/>
          <w:szCs w:val="20"/>
          <w:color w:val="auto"/>
        </w:rPr>
      </w:pPr>
      <w:r>
        <w:rPr>
          <w:rFonts w:ascii="Arial" w:cs="Arial" w:eastAsia="Arial" w:hAnsi="Arial"/>
          <w:sz w:val="9"/>
          <w:szCs w:val="9"/>
          <w:i w:val="1"/>
          <w:iCs w:val="1"/>
          <w:color w:val="auto"/>
        </w:rPr>
        <w:t>ONE KENDALL SQUARE</w:t>
      </w:r>
    </w:p>
    <w:p>
      <w:pPr>
        <w:spacing w:after="0" w:line="219" w:lineRule="auto"/>
        <w:rPr>
          <w:sz w:val="20"/>
          <w:szCs w:val="20"/>
          <w:color w:val="auto"/>
        </w:rPr>
      </w:pPr>
      <w:r>
        <w:rPr>
          <w:rFonts w:ascii="Arial" w:cs="Arial" w:eastAsia="Arial" w:hAnsi="Arial"/>
          <w:sz w:val="9"/>
          <w:szCs w:val="9"/>
          <w:i w:val="1"/>
          <w:iCs w:val="1"/>
          <w:color w:val="auto"/>
        </w:rPr>
        <w:t>BUILDING 300, SUITE 201</w:t>
      </w:r>
    </w:p>
    <w:p>
      <w:pPr>
        <w:spacing w:after="0"/>
        <w:rPr>
          <w:sz w:val="20"/>
          <w:szCs w:val="20"/>
          <w:color w:val="auto"/>
        </w:rPr>
      </w:pPr>
      <w:r>
        <w:rPr>
          <w:rFonts w:ascii="Arial" w:cs="Arial" w:eastAsia="Arial" w:hAnsi="Arial"/>
          <w:sz w:val="9"/>
          <w:szCs w:val="9"/>
          <w:i w:val="1"/>
          <w:iCs w:val="1"/>
          <w:color w:val="auto"/>
        </w:rPr>
        <w:t>CAMBRIDGE, MA 02139</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both"/>
        <w:ind w:right="200"/>
        <w:spacing w:after="0" w:line="260" w:lineRule="auto"/>
        <w:rPr>
          <w:sz w:val="20"/>
          <w:szCs w:val="20"/>
          <w:color w:val="auto"/>
        </w:rPr>
      </w:pPr>
      <w:r>
        <w:rPr>
          <w:rFonts w:ascii="Arial" w:cs="Arial" w:eastAsia="Arial" w:hAnsi="Arial"/>
          <w:sz w:val="16"/>
          <w:szCs w:val="16"/>
          <w:color w:val="auto"/>
        </w:rPr>
        <w:t>You are receiving this communication because you hold shares in the above named company.</w:t>
      </w:r>
    </w:p>
    <w:p>
      <w:pPr>
        <w:spacing w:after="0" w:line="155" w:lineRule="exact"/>
        <w:rPr>
          <w:sz w:val="20"/>
          <w:szCs w:val="20"/>
          <w:color w:val="auto"/>
        </w:rPr>
      </w:pPr>
    </w:p>
    <w:p>
      <w:pPr>
        <w:jc w:val="both"/>
        <w:ind w:right="200"/>
        <w:spacing w:after="0" w:line="249" w:lineRule="auto"/>
        <w:rPr>
          <w:sz w:val="20"/>
          <w:szCs w:val="20"/>
          <w:color w:val="auto"/>
        </w:rPr>
      </w:pPr>
      <w:r>
        <w:rPr>
          <w:rFonts w:ascii="Arial" w:cs="Arial" w:eastAsia="Arial" w:hAnsi="Arial"/>
          <w:sz w:val="16"/>
          <w:szCs w:val="16"/>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6"/>
          <w:szCs w:val="16"/>
          <w:i w:val="1"/>
          <w:iCs w:val="1"/>
          <w:color w:val="auto"/>
        </w:rPr>
        <w:t xml:space="preserve">www.proxyvote.com </w:t>
      </w:r>
      <w:r>
        <w:rPr>
          <w:rFonts w:ascii="Arial" w:cs="Arial" w:eastAsia="Arial" w:hAnsi="Arial"/>
          <w:sz w:val="16"/>
          <w:szCs w:val="16"/>
          <w:color w:val="auto"/>
        </w:rPr>
        <w:t>or easily request a paper copy (see reverse</w:t>
      </w:r>
      <w:r>
        <w:rPr>
          <w:rFonts w:ascii="Arial" w:cs="Arial" w:eastAsia="Arial" w:hAnsi="Arial"/>
          <w:sz w:val="16"/>
          <w:szCs w:val="16"/>
          <w:i w:val="1"/>
          <w:iCs w:val="1"/>
          <w:color w:val="auto"/>
        </w:rPr>
        <w:t xml:space="preserve"> </w:t>
      </w:r>
      <w:r>
        <w:rPr>
          <w:rFonts w:ascii="Arial" w:cs="Arial" w:eastAsia="Arial" w:hAnsi="Arial"/>
          <w:sz w:val="16"/>
          <w:szCs w:val="16"/>
          <w:color w:val="auto"/>
        </w:rPr>
        <w:t>side).</w:t>
      </w:r>
    </w:p>
    <w:p>
      <w:pPr>
        <w:spacing w:after="0" w:line="165" w:lineRule="exact"/>
        <w:rPr>
          <w:sz w:val="20"/>
          <w:szCs w:val="20"/>
          <w:color w:val="auto"/>
        </w:rPr>
      </w:pPr>
    </w:p>
    <w:p>
      <w:pPr>
        <w:jc w:val="both"/>
        <w:ind w:right="200"/>
        <w:spacing w:after="0" w:line="260" w:lineRule="auto"/>
        <w:rPr>
          <w:sz w:val="20"/>
          <w:szCs w:val="20"/>
          <w:color w:val="auto"/>
        </w:rPr>
      </w:pPr>
      <w:r>
        <w:rPr>
          <w:rFonts w:ascii="Arial" w:cs="Arial" w:eastAsia="Arial" w:hAnsi="Arial"/>
          <w:sz w:val="16"/>
          <w:szCs w:val="16"/>
          <w:color w:val="auto"/>
        </w:rPr>
        <w:t>We encourage you to access and review all of the important information contained in the proxy materials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2975610" cy="3346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75610" cy="334645"/>
                    </a:xfrm>
                    <a:prstGeom prst="rect">
                      <a:avLst/>
                    </a:prstGeom>
                    <a:noFill/>
                  </pic:spPr>
                </pic:pic>
              </a:graphicData>
            </a:graphic>
          </wp:anchor>
        </w:drawing>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FFFFFF"/>
        </w:rPr>
        <w:t>See the reverse side of this notice to obtain</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FFFFFF"/>
        </w:rPr>
        <w:t>proxy materials and voting instructions.</w:t>
      </w:r>
    </w:p>
    <w:p>
      <w:pPr>
        <w:sectPr>
          <w:pgSz w:w="11900" w:h="16838" w:orient="portrait"/>
          <w:cols w:equalWidth="0" w:num="2">
            <w:col w:w="4520" w:space="720"/>
            <w:col w:w="4900"/>
          </w:cols>
          <w:pgMar w:left="1340" w:top="251" w:right="419" w:bottom="1440" w:gutter="0" w:footer="0" w:header="0"/>
          <w:type w:val="continuous"/>
        </w:sectPr>
      </w:pPr>
    </w:p>
    <w:bookmarkStart w:id="2" w:name="page3"/>
    <w:bookmarkEnd w:id="2"/>
    <w:p>
      <w:pPr>
        <w:jc w:val="center"/>
        <w:ind w:right="-5"/>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w:t>
      </w:r>
      <w:r>
        <w:rPr>
          <w:rFonts w:ascii="Arial" w:cs="Arial" w:eastAsia="Arial" w:hAnsi="Arial"/>
          <w:sz w:val="32"/>
          <w:szCs w:val="32"/>
          <w:b w:val="1"/>
          <w:bCs w:val="1"/>
          <w:color w:val="auto"/>
        </w:rPr>
        <w:t>Before You Vote</w:t>
      </w:r>
      <w:r>
        <w:rPr>
          <w:rFonts w:ascii="Arial" w:cs="Arial" w:eastAsia="Arial" w:hAnsi="Arial"/>
          <w:sz w:val="32"/>
          <w:szCs w:val="32"/>
          <w:color w:val="auto"/>
        </w:rPr>
        <w:t xml:space="preserve"> —</w:t>
      </w:r>
    </w:p>
    <w:p>
      <w:pPr>
        <w:spacing w:after="0" w:line="31" w:lineRule="exact"/>
        <w:rPr>
          <w:sz w:val="20"/>
          <w:szCs w:val="20"/>
          <w:color w:val="auto"/>
        </w:rPr>
      </w:pPr>
    </w:p>
    <w:p>
      <w:pPr>
        <w:ind w:left="3326"/>
        <w:spacing w:after="0"/>
        <w:rPr>
          <w:sz w:val="20"/>
          <w:szCs w:val="20"/>
          <w:color w:val="auto"/>
        </w:rPr>
      </w:pPr>
      <w:r>
        <w:rPr>
          <w:rFonts w:ascii="Arial" w:cs="Arial" w:eastAsia="Arial" w:hAnsi="Arial"/>
          <w:sz w:val="22"/>
          <w:szCs w:val="22"/>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6350</wp:posOffset>
            </wp:positionV>
            <wp:extent cx="6569075" cy="22726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69075" cy="2272665"/>
                    </a:xfrm>
                    <a:prstGeom prst="rect">
                      <a:avLst/>
                    </a:prstGeom>
                    <a:noFill/>
                  </pic:spPr>
                </pic:pic>
              </a:graphicData>
            </a:graphic>
          </wp:anchor>
        </w:drawing>
      </w:r>
    </w:p>
    <w:p>
      <w:pPr>
        <w:spacing w:after="0" w:line="2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45" w:lineRule="exact"/>
        <w:rPr>
          <w:sz w:val="20"/>
          <w:szCs w:val="20"/>
          <w:color w:val="auto"/>
        </w:rPr>
      </w:pPr>
    </w:p>
    <w:p>
      <w:pPr>
        <w:ind w:left="6"/>
        <w:spacing w:after="0"/>
        <w:tabs>
          <w:tab w:leader="none" w:pos="3325" w:val="left"/>
        </w:tabs>
        <w:rPr>
          <w:sz w:val="20"/>
          <w:szCs w:val="20"/>
          <w:color w:val="auto"/>
        </w:rPr>
      </w:pPr>
      <w:r>
        <w:rPr>
          <w:rFonts w:ascii="Arial" w:cs="Arial" w:eastAsia="Arial" w:hAnsi="Arial"/>
          <w:sz w:val="18"/>
          <w:szCs w:val="18"/>
          <w:color w:val="auto"/>
        </w:rPr>
        <w:t>NOTICE AND PROXY STATEMENT</w:t>
      </w:r>
      <w:r>
        <w:rPr>
          <w:sz w:val="20"/>
          <w:szCs w:val="20"/>
          <w:color w:val="auto"/>
        </w:rPr>
        <w:tab/>
      </w:r>
      <w:r>
        <w:rPr>
          <w:rFonts w:ascii="Arial" w:cs="Arial" w:eastAsia="Arial" w:hAnsi="Arial"/>
          <w:sz w:val="17"/>
          <w:szCs w:val="17"/>
          <w:color w:val="auto"/>
        </w:rPr>
        <w:t>ANNUAL REPORT</w:t>
      </w:r>
    </w:p>
    <w:p>
      <w:pPr>
        <w:spacing w:after="0" w:line="4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How to View Online:</w:t>
      </w:r>
    </w:p>
    <w:p>
      <w:pPr>
        <w:spacing w:after="0" w:line="18" w:lineRule="exact"/>
        <w:rPr>
          <w:sz w:val="20"/>
          <w:szCs w:val="20"/>
          <w:color w:val="auto"/>
        </w:rPr>
      </w:pPr>
    </w:p>
    <w:p>
      <w:pPr>
        <w:ind w:left="6" w:right="20"/>
        <w:spacing w:after="0" w:line="254" w:lineRule="auto"/>
        <w:rPr>
          <w:sz w:val="20"/>
          <w:szCs w:val="20"/>
          <w:color w:val="auto"/>
        </w:rPr>
      </w:pPr>
      <w:r>
        <w:rPr>
          <w:rFonts w:ascii="Arial" w:cs="Arial" w:eastAsia="Arial" w:hAnsi="Arial"/>
          <w:sz w:val="18"/>
          <w:szCs w:val="18"/>
          <w:color w:val="auto"/>
        </w:rPr>
        <w:t xml:space="preserve">Have the information that is printed in the box marked by the arrow </w:t>
      </w:r>
      <w:r>
        <w:rPr>
          <w:sz w:val="1"/>
          <w:szCs w:val="1"/>
          <w:color w:val="auto"/>
        </w:rPr>
        <w:drawing>
          <wp:inline distT="0" distB="0" distL="0" distR="0">
            <wp:extent cx="1277620"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7620" cy="128905"/>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and visit: </w:t>
      </w:r>
      <w:r>
        <w:rPr>
          <w:rFonts w:ascii="Arial" w:cs="Arial" w:eastAsia="Arial" w:hAnsi="Arial"/>
          <w:sz w:val="18"/>
          <w:szCs w:val="18"/>
          <w:i w:val="1"/>
          <w:iCs w:val="1"/>
          <w:color w:val="auto"/>
        </w:rPr>
        <w:t>www.proxyvote.com.</w:t>
      </w:r>
    </w:p>
    <w:p>
      <w:pPr>
        <w:spacing w:after="0" w:line="18"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18" w:lineRule="exact"/>
        <w:rPr>
          <w:sz w:val="20"/>
          <w:szCs w:val="20"/>
          <w:color w:val="auto"/>
        </w:rPr>
      </w:pPr>
    </w:p>
    <w:p>
      <w:pPr>
        <w:ind w:left="6"/>
        <w:spacing w:after="0" w:line="246"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spacing w:after="0" w:line="3" w:lineRule="exact"/>
        <w:rPr>
          <w:sz w:val="20"/>
          <w:szCs w:val="20"/>
          <w:color w:val="auto"/>
        </w:rPr>
      </w:pPr>
    </w:p>
    <w:p>
      <w:pPr>
        <w:ind w:left="1286" w:hanging="205"/>
        <w:spacing w:after="0"/>
        <w:tabs>
          <w:tab w:leader="none" w:pos="1286"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w:t>
      </w:r>
      <w:r>
        <w:rPr>
          <w:rFonts w:ascii="Arial" w:cs="Arial" w:eastAsia="Arial" w:hAnsi="Arial"/>
          <w:sz w:val="17"/>
          <w:szCs w:val="17"/>
          <w:color w:val="auto"/>
        </w:rPr>
        <w:t>www.proxyvote.com</w:t>
      </w:r>
    </w:p>
    <w:p>
      <w:pPr>
        <w:spacing w:after="0" w:line="13" w:lineRule="exact"/>
        <w:rPr>
          <w:rFonts w:ascii="Arial" w:cs="Arial" w:eastAsia="Arial" w:hAnsi="Arial"/>
          <w:sz w:val="18"/>
          <w:szCs w:val="18"/>
          <w:color w:val="auto"/>
        </w:rPr>
      </w:pPr>
    </w:p>
    <w:p>
      <w:pPr>
        <w:ind w:left="1286" w:hanging="205"/>
        <w:spacing w:after="0" w:line="234" w:lineRule="auto"/>
        <w:tabs>
          <w:tab w:leader="none" w:pos="1286"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1-800-579-1639</w:t>
      </w:r>
    </w:p>
    <w:p>
      <w:pPr>
        <w:spacing w:after="0" w:line="1" w:lineRule="exact"/>
        <w:rPr>
          <w:sz w:val="20"/>
          <w:szCs w:val="20"/>
          <w:color w:val="auto"/>
        </w:rPr>
      </w:pPr>
    </w:p>
    <w:p>
      <w:pPr>
        <w:ind w:left="1086"/>
        <w:spacing w:after="0"/>
        <w:tabs>
          <w:tab w:leader="none" w:pos="2885" w:val="left"/>
        </w:tabs>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i w:val="1"/>
          <w:iCs w:val="1"/>
          <w:color w:val="auto"/>
        </w:rPr>
        <w:t>BY E-MAIL</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sendmaterial@proxyvote.com</w:t>
      </w:r>
    </w:p>
    <w:p>
      <w:pPr>
        <w:spacing w:after="0" w:line="63" w:lineRule="exact"/>
        <w:rPr>
          <w:sz w:val="20"/>
          <w:szCs w:val="20"/>
          <w:color w:val="auto"/>
        </w:rPr>
      </w:pPr>
    </w:p>
    <w:p>
      <w:pPr>
        <w:ind w:left="246" w:hanging="246"/>
        <w:spacing w:after="0"/>
        <w:tabs>
          <w:tab w:leader="none" w:pos="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requesting materials by e-mail, please send a blank e-mail with the information that is printed in the box marked by the</w:t>
      </w:r>
    </w:p>
    <w:p>
      <w:pPr>
        <w:ind w:left="6"/>
        <w:spacing w:after="0"/>
        <w:rPr>
          <w:rFonts w:ascii="Arial" w:cs="Arial" w:eastAsia="Arial" w:hAnsi="Arial"/>
          <w:sz w:val="18"/>
          <w:szCs w:val="18"/>
          <w:color w:val="auto"/>
        </w:rPr>
      </w:pPr>
      <w:r>
        <w:rPr>
          <w:rFonts w:ascii="Arial" w:cs="Arial" w:eastAsia="Arial" w:hAnsi="Arial"/>
          <w:sz w:val="18"/>
          <w:szCs w:val="18"/>
          <w:color w:val="auto"/>
        </w:rPr>
        <w:t xml:space="preserve">arrow </w:t>
      </w:r>
      <w:r>
        <w:rPr>
          <w:rFonts w:ascii="Arial" w:cs="Arial" w:eastAsia="Arial" w:hAnsi="Arial"/>
          <w:sz w:val="1"/>
          <w:szCs w:val="1"/>
          <w:color w:val="auto"/>
        </w:rPr>
        <w:drawing>
          <wp:inline distT="0" distB="0" distL="0" distR="0">
            <wp:extent cx="1277620"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7620" cy="128905"/>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65" w:lineRule="exact"/>
        <w:rPr>
          <w:sz w:val="20"/>
          <w:szCs w:val="20"/>
          <w:color w:val="auto"/>
        </w:rPr>
      </w:pPr>
    </w:p>
    <w:p>
      <w:pPr>
        <w:ind w:left="6"/>
        <w:spacing w:after="0"/>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w:t>
      </w:r>
    </w:p>
    <w:p>
      <w:pPr>
        <w:ind w:left="6"/>
        <w:spacing w:after="0"/>
        <w:rPr>
          <w:sz w:val="20"/>
          <w:szCs w:val="20"/>
          <w:color w:val="auto"/>
        </w:rPr>
      </w:pPr>
      <w:r>
        <w:rPr>
          <w:rFonts w:ascii="Arial" w:cs="Arial" w:eastAsia="Arial" w:hAnsi="Arial"/>
          <w:sz w:val="18"/>
          <w:szCs w:val="18"/>
          <w:color w:val="auto"/>
        </w:rPr>
        <w:t>Please make the request as instructed above on or before May 28, 2019 to facilitate timely delivery.</w:t>
      </w:r>
    </w:p>
    <w:p>
      <w:pPr>
        <w:spacing w:after="0" w:line="333" w:lineRule="exact"/>
        <w:rPr>
          <w:sz w:val="20"/>
          <w:szCs w:val="20"/>
          <w:color w:val="auto"/>
        </w:rPr>
      </w:pPr>
    </w:p>
    <w:p>
      <w:pPr>
        <w:jc w:val="center"/>
        <w:ind w:right="-5"/>
        <w:spacing w:after="0"/>
        <w:rPr>
          <w:sz w:val="20"/>
          <w:szCs w:val="20"/>
          <w:color w:val="auto"/>
        </w:rPr>
      </w:pPr>
      <w:r>
        <w:rPr>
          <w:rFonts w:ascii="Arial" w:cs="Arial" w:eastAsia="Arial" w:hAnsi="Arial"/>
          <w:sz w:val="32"/>
          <w:szCs w:val="32"/>
          <w:color w:val="auto"/>
        </w:rPr>
        <w:t xml:space="preserve">— </w:t>
      </w:r>
      <w:r>
        <w:rPr>
          <w:rFonts w:ascii="Arial" w:cs="Arial" w:eastAsia="Arial" w:hAnsi="Arial"/>
          <w:sz w:val="32"/>
          <w:szCs w:val="32"/>
          <w:b w:val="1"/>
          <w:bCs w:val="1"/>
          <w:color w:val="auto"/>
        </w:rPr>
        <w:t>How To Vote</w:t>
      </w:r>
      <w:r>
        <w:rPr>
          <w:rFonts w:ascii="Arial" w:cs="Arial" w:eastAsia="Arial" w:hAnsi="Arial"/>
          <w:sz w:val="32"/>
          <w:szCs w:val="32"/>
          <w:color w:val="auto"/>
        </w:rPr>
        <w:t xml:space="preserve"> —</w:t>
      </w:r>
    </w:p>
    <w:p>
      <w:pPr>
        <w:spacing w:after="0" w:line="31" w:lineRule="exact"/>
        <w:rPr>
          <w:sz w:val="20"/>
          <w:szCs w:val="20"/>
          <w:color w:val="auto"/>
        </w:rPr>
      </w:pPr>
    </w:p>
    <w:p>
      <w:pPr>
        <w:jc w:val="center"/>
        <w:ind w:right="-5"/>
        <w:spacing w:after="0"/>
        <w:rPr>
          <w:sz w:val="20"/>
          <w:szCs w:val="20"/>
          <w:color w:val="auto"/>
        </w:rPr>
      </w:pPr>
      <w:r>
        <w:rPr>
          <w:rFonts w:ascii="Arial" w:cs="Arial" w:eastAsia="Arial" w:hAnsi="Arial"/>
          <w:sz w:val="22"/>
          <w:szCs w:val="22"/>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57785</wp:posOffset>
            </wp:positionV>
            <wp:extent cx="6569075" cy="1054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69075" cy="1054735"/>
                    </a:xfrm>
                    <a:prstGeom prst="rect">
                      <a:avLst/>
                    </a:prstGeom>
                    <a:noFill/>
                  </pic:spPr>
                </pic:pic>
              </a:graphicData>
            </a:graphic>
          </wp:anchor>
        </w:drawing>
      </w:r>
    </w:p>
    <w:p>
      <w:pPr>
        <w:spacing w:after="0" w:line="224" w:lineRule="exact"/>
        <w:rPr>
          <w:sz w:val="20"/>
          <w:szCs w:val="20"/>
          <w:color w:val="auto"/>
        </w:rPr>
      </w:pPr>
    </w:p>
    <w:p>
      <w:pPr>
        <w:ind w:left="6" w:right="20"/>
        <w:spacing w:after="0" w:line="253"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stockholder meetings have attendance requirements including, but not limited to, the possession of an</w:t>
      </w:r>
      <w:r>
        <w:rPr>
          <w:rFonts w:ascii="Arial" w:cs="Arial" w:eastAsia="Arial" w:hAnsi="Arial"/>
          <w:sz w:val="18"/>
          <w:szCs w:val="18"/>
          <w:b w:val="1"/>
          <w:bCs w:val="1"/>
          <w:color w:val="auto"/>
        </w:rPr>
        <w:t xml:space="preserve"> </w:t>
      </w:r>
      <w:r>
        <w:rPr>
          <w:rFonts w:ascii="Arial" w:cs="Arial" w:eastAsia="Arial" w:hAnsi="Arial"/>
          <w:sz w:val="18"/>
          <w:szCs w:val="18"/>
          <w:color w:val="auto"/>
        </w:rPr>
        <w:t>attendance ticket issued by the entity holding the meeting. Please check the meeting materials for any special requirements for meeting attendance. At the meeting, you will need to request a ballot to vote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-366395</wp:posOffset>
            </wp:positionV>
            <wp:extent cx="205740" cy="685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5740" cy="685800"/>
                    </a:xfrm>
                    <a:prstGeom prst="rect">
                      <a:avLst/>
                    </a:prstGeom>
                    <a:noFill/>
                  </pic:spPr>
                </pic:pic>
              </a:graphicData>
            </a:graphic>
          </wp:anchor>
        </w:drawing>
      </w:r>
    </w:p>
    <w:p>
      <w:pPr>
        <w:spacing w:after="0" w:line="14"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information that is printed in the box marked</w:t>
      </w:r>
    </w:p>
    <w:p>
      <w:pPr>
        <w:spacing w:after="0" w:line="18" w:lineRule="exact"/>
        <w:rPr>
          <w:sz w:val="20"/>
          <w:szCs w:val="20"/>
          <w:color w:val="auto"/>
        </w:rPr>
      </w:pPr>
    </w:p>
    <w:p>
      <w:pPr>
        <w:ind w:left="6"/>
        <w:spacing w:after="0"/>
        <w:rPr>
          <w:sz w:val="20"/>
          <w:szCs w:val="20"/>
          <w:color w:val="auto"/>
        </w:rPr>
      </w:pPr>
      <w:r>
        <w:rPr>
          <w:rFonts w:ascii="Arial" w:cs="Arial" w:eastAsia="Arial" w:hAnsi="Arial"/>
          <w:sz w:val="18"/>
          <w:szCs w:val="18"/>
          <w:color w:val="auto"/>
        </w:rPr>
        <w:t xml:space="preserve">by the arrow </w:t>
      </w:r>
      <w:r>
        <w:rPr>
          <w:sz w:val="1"/>
          <w:szCs w:val="1"/>
          <w:color w:val="auto"/>
        </w:rPr>
        <w:drawing>
          <wp:inline distT="0" distB="0" distL="0" distR="0">
            <wp:extent cx="1277620"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7620" cy="128905"/>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available and follow the instructions.</w:t>
      </w:r>
    </w:p>
    <w:p>
      <w:pPr>
        <w:spacing w:after="0" w:line="6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ectPr>
          <w:pgSz w:w="11900" w:h="16838" w:orient="portrait"/>
          <w:cols w:equalWidth="0" w:num="1">
            <w:col w:w="9986"/>
          </w:cols>
          <w:pgMar w:left="1254" w:top="247" w:right="659" w:bottom="1440" w:gutter="0" w:footer="0" w:header="0"/>
        </w:sectPr>
      </w:pPr>
    </w:p>
    <w:bookmarkStart w:id="3" w:name="page4"/>
    <w:bookmarkEnd w:id="3"/>
    <w:p>
      <w:pPr>
        <w:ind w:left="6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560705</wp:posOffset>
            </wp:positionH>
            <wp:positionV relativeFrom="page">
              <wp:posOffset>183515</wp:posOffset>
            </wp:positionV>
            <wp:extent cx="143192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31925" cy="154305"/>
                    </a:xfrm>
                    <a:prstGeom prst="rect">
                      <a:avLst/>
                    </a:prstGeom>
                    <a:noFill/>
                  </pic:spPr>
                </pic:pic>
              </a:graphicData>
            </a:graphic>
          </wp:anchor>
        </w:drawing>
        <w:t>Voting Items</w:t>
      </w: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The Board of Directors recommends you vote </w:t>
      </w:r>
      <w:r>
        <w:rPr>
          <w:rFonts w:ascii="Arial" w:cs="Arial" w:eastAsia="Arial" w:hAnsi="Arial"/>
          <w:sz w:val="13"/>
          <w:szCs w:val="13"/>
          <w:b w:val="1"/>
          <w:bCs w:val="1"/>
          <w:u w:val="single" w:color="auto"/>
          <w:color w:val="auto"/>
        </w:rPr>
        <w:t>FOR</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following:</w:t>
      </w:r>
    </w:p>
    <w:p>
      <w:pPr>
        <w:spacing w:after="0" w:line="107" w:lineRule="exact"/>
        <w:rPr>
          <w:sz w:val="20"/>
          <w:szCs w:val="20"/>
          <w:color w:val="auto"/>
        </w:rPr>
      </w:pPr>
    </w:p>
    <w:p>
      <w:pPr>
        <w:ind w:left="320" w:right="6019" w:hanging="316"/>
        <w:spacing w:after="0" w:line="259" w:lineRule="auto"/>
        <w:tabs>
          <w:tab w:leader="none" w:pos="305" w:val="left"/>
        </w:tabs>
        <w:numPr>
          <w:ilvl w:val="0"/>
          <w:numId w:val="8"/>
        </w:numPr>
        <w:rPr>
          <w:rFonts w:ascii="Arial" w:cs="Arial" w:eastAsia="Arial" w:hAnsi="Arial"/>
          <w:sz w:val="12"/>
          <w:szCs w:val="12"/>
          <w:color w:val="auto"/>
        </w:rPr>
      </w:pPr>
      <w:r>
        <w:rPr>
          <w:rFonts w:ascii="Arial" w:cs="Arial" w:eastAsia="Arial" w:hAnsi="Arial"/>
          <w:sz w:val="12"/>
          <w:szCs w:val="12"/>
          <w:color w:val="auto"/>
        </w:rPr>
        <w:t>To elect two director nominees to serve as Class I directors until the 2022 annual meeting of stockholders.</w:t>
      </w:r>
    </w:p>
    <w:p>
      <w:pPr>
        <w:spacing w:after="0" w:line="77" w:lineRule="exact"/>
        <w:rPr>
          <w:rFonts w:ascii="Arial" w:cs="Arial" w:eastAsia="Arial" w:hAnsi="Arial"/>
          <w:sz w:val="12"/>
          <w:szCs w:val="12"/>
          <w:color w:val="auto"/>
        </w:rPr>
      </w:pPr>
    </w:p>
    <w:p>
      <w:pPr>
        <w:ind w:left="320"/>
        <w:spacing w:after="0"/>
        <w:rPr>
          <w:rFonts w:ascii="Arial" w:cs="Arial" w:eastAsia="Arial" w:hAnsi="Arial"/>
          <w:sz w:val="12"/>
          <w:szCs w:val="12"/>
          <w:color w:val="auto"/>
        </w:rPr>
      </w:pPr>
      <w:r>
        <w:rPr>
          <w:rFonts w:ascii="Arial" w:cs="Arial" w:eastAsia="Arial" w:hAnsi="Arial"/>
          <w:sz w:val="13"/>
          <w:szCs w:val="13"/>
          <w:b w:val="1"/>
          <w:bCs w:val="1"/>
          <w:color w:val="auto"/>
        </w:rPr>
        <w:t>Nominees:</w:t>
      </w:r>
    </w:p>
    <w:p>
      <w:pPr>
        <w:spacing w:after="0" w:line="163" w:lineRule="exact"/>
        <w:rPr>
          <w:rFonts w:ascii="Arial" w:cs="Arial" w:eastAsia="Arial" w:hAnsi="Arial"/>
          <w:sz w:val="12"/>
          <w:szCs w:val="12"/>
          <w:color w:val="auto"/>
        </w:rPr>
      </w:pPr>
    </w:p>
    <w:p>
      <w:pPr>
        <w:ind w:left="320"/>
        <w:spacing w:after="0"/>
        <w:rPr>
          <w:rFonts w:ascii="Arial" w:cs="Arial" w:eastAsia="Arial" w:hAnsi="Arial"/>
          <w:sz w:val="12"/>
          <w:szCs w:val="12"/>
          <w:color w:val="auto"/>
        </w:rPr>
      </w:pPr>
      <w:r>
        <w:rPr>
          <w:rFonts w:ascii="Arial" w:cs="Arial" w:eastAsia="Arial" w:hAnsi="Arial"/>
          <w:sz w:val="13"/>
          <w:szCs w:val="13"/>
          <w:color w:val="auto"/>
        </w:rPr>
        <w:t>1a.  Christopher Paige, Ph.D.</w:t>
      </w:r>
    </w:p>
    <w:p>
      <w:pPr>
        <w:spacing w:after="0" w:line="228" w:lineRule="exact"/>
        <w:rPr>
          <w:rFonts w:ascii="Arial" w:cs="Arial" w:eastAsia="Arial" w:hAnsi="Arial"/>
          <w:sz w:val="12"/>
          <w:szCs w:val="12"/>
          <w:color w:val="auto"/>
        </w:rPr>
      </w:pPr>
    </w:p>
    <w:p>
      <w:pPr>
        <w:ind w:left="320"/>
        <w:spacing w:after="0"/>
        <w:rPr>
          <w:rFonts w:ascii="Arial" w:cs="Arial" w:eastAsia="Arial" w:hAnsi="Arial"/>
          <w:sz w:val="12"/>
          <w:szCs w:val="12"/>
          <w:color w:val="auto"/>
        </w:rPr>
      </w:pPr>
      <w:r>
        <w:rPr>
          <w:rFonts w:ascii="Arial" w:cs="Arial" w:eastAsia="Arial" w:hAnsi="Arial"/>
          <w:sz w:val="13"/>
          <w:szCs w:val="13"/>
          <w:color w:val="auto"/>
        </w:rPr>
        <w:t>1b.  Philip Vickers, Ph.D.</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The Board of Directors recommends you vote </w:t>
      </w:r>
      <w:r>
        <w:rPr>
          <w:rFonts w:ascii="Arial" w:cs="Arial" w:eastAsia="Arial" w:hAnsi="Arial"/>
          <w:sz w:val="13"/>
          <w:szCs w:val="13"/>
          <w:b w:val="1"/>
          <w:bCs w:val="1"/>
          <w:u w:val="single" w:color="auto"/>
          <w:color w:val="auto"/>
        </w:rPr>
        <w:t>FOR</w:t>
      </w:r>
      <w:r>
        <w:rPr>
          <w:rFonts w:ascii="Arial" w:cs="Arial" w:eastAsia="Arial" w:hAnsi="Arial"/>
          <w:sz w:val="13"/>
          <w:szCs w:val="13"/>
          <w:b w:val="1"/>
          <w:bCs w:val="1"/>
          <w:color w:val="auto"/>
        </w:rPr>
        <w:t xml:space="preserve"> the following proposal:</w:t>
      </w:r>
    </w:p>
    <w:p>
      <w:pPr>
        <w:spacing w:after="0" w:line="245" w:lineRule="exact"/>
        <w:rPr>
          <w:sz w:val="20"/>
          <w:szCs w:val="20"/>
          <w:color w:val="auto"/>
        </w:rPr>
      </w:pPr>
    </w:p>
    <w:p>
      <w:pPr>
        <w:ind w:left="240" w:hanging="236"/>
        <w:spacing w:after="0"/>
        <w:tabs>
          <w:tab w:leader="none" w:pos="240" w:val="left"/>
        </w:tabs>
        <w:numPr>
          <w:ilvl w:val="0"/>
          <w:numId w:val="9"/>
        </w:numPr>
        <w:rPr>
          <w:rFonts w:ascii="Arial" w:cs="Arial" w:eastAsia="Arial" w:hAnsi="Arial"/>
          <w:sz w:val="12"/>
          <w:szCs w:val="12"/>
          <w:color w:val="auto"/>
        </w:rPr>
      </w:pPr>
      <w:r>
        <w:rPr>
          <w:rFonts w:ascii="Arial" w:cs="Arial" w:eastAsia="Arial" w:hAnsi="Arial"/>
          <w:sz w:val="12"/>
          <w:szCs w:val="12"/>
          <w:color w:val="auto"/>
        </w:rPr>
        <w:t>To ratify the appointment of Ernst &amp; Young LLP as our independent registered public accounting firm for the fiscal year ending December 31, 2019.</w:t>
      </w:r>
    </w:p>
    <w:p>
      <w:pPr>
        <w:spacing w:after="0" w:line="2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Such other business as may properly come before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330835</wp:posOffset>
            </wp:positionV>
            <wp:extent cx="257175" cy="677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7175" cy="677545"/>
                    </a:xfrm>
                    <a:prstGeom prst="rect">
                      <a:avLst/>
                    </a:prstGeom>
                    <a:noFill/>
                  </pic:spPr>
                </pic:pic>
              </a:graphicData>
            </a:graphic>
          </wp:anchor>
        </w:drawing>
      </w:r>
    </w:p>
    <w:p>
      <w:pPr>
        <w:sectPr>
          <w:pgSz w:w="11900" w:h="16838" w:orient="portrait"/>
          <w:cols w:equalWidth="0" w:num="1">
            <w:col w:w="9519"/>
          </w:cols>
          <w:pgMar w:left="940" w:top="302" w:right="1440"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568960</wp:posOffset>
            </wp:positionH>
            <wp:positionV relativeFrom="page">
              <wp:posOffset>2627630</wp:posOffset>
            </wp:positionV>
            <wp:extent cx="6715125"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15125" cy="34290"/>
                    </a:xfrm>
                    <a:prstGeom prst="rect">
                      <a:avLst/>
                    </a:prstGeom>
                    <a:noFill/>
                  </pic:spPr>
                </pic:pic>
              </a:graphicData>
            </a:graphic>
          </wp:anchor>
        </w:drawing>
        <w:drawing>
          <wp:anchor simplePos="0" relativeHeight="251657728" behindDoc="1" locked="0" layoutInCell="0" allowOverlap="1">
            <wp:simplePos x="0" y="0"/>
            <wp:positionH relativeFrom="page">
              <wp:posOffset>568960</wp:posOffset>
            </wp:positionH>
            <wp:positionV relativeFrom="page">
              <wp:posOffset>2713355</wp:posOffset>
            </wp:positionV>
            <wp:extent cx="67151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15125"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3999230</wp:posOffset>
            </wp:positionV>
            <wp:extent cx="257175" cy="677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257175" cy="6775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2)"/>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2019-12-03T04:22:50Z</dcterms:created>
  <dcterms:modified xsi:type="dcterms:W3CDTF">2019-12-03T04:22:50Z</dcterms:modified>
</cp:coreProperties>
</file>