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March 16, 2020</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40" w:type="dxa"/>
            <w:vAlign w:val="bottom"/>
          </w:tcPr>
          <w:p>
            <w:pPr>
              <w:jc w:val="right"/>
              <w:ind w:right="196"/>
              <w:spacing w:after="0"/>
              <w:rPr>
                <w:sz w:val="20"/>
                <w:szCs w:val="20"/>
                <w:color w:val="auto"/>
              </w:rPr>
            </w:pPr>
            <w:r>
              <w:rPr>
                <w:rFonts w:ascii="Arial" w:cs="Arial" w:eastAsia="Arial" w:hAnsi="Arial"/>
                <w:sz w:val="18"/>
                <w:szCs w:val="18"/>
                <w:b w:val="1"/>
                <w:bCs w:val="1"/>
                <w:color w:val="auto"/>
              </w:rPr>
              <w:t>81-0710585</w:t>
            </w:r>
          </w:p>
        </w:tc>
      </w:tr>
      <w:tr>
        <w:trPr>
          <w:trHeight w:val="148"/>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40" w:type="dxa"/>
            <w:vAlign w:val="bottom"/>
          </w:tcPr>
          <w:p>
            <w:pPr>
              <w:jc w:val="center"/>
              <w:ind w:left="351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40" w:type="dxa"/>
            <w:vAlign w:val="bottom"/>
          </w:tcPr>
          <w:p>
            <w:pPr>
              <w:jc w:val="center"/>
              <w:ind w:left="3516"/>
              <w:spacing w:after="0"/>
              <w:rPr>
                <w:sz w:val="20"/>
                <w:szCs w:val="20"/>
                <w:color w:val="auto"/>
              </w:rPr>
            </w:pPr>
            <w:r>
              <w:rPr>
                <w:rFonts w:ascii="Arial" w:cs="Arial" w:eastAsia="Arial" w:hAnsi="Arial"/>
                <w:sz w:val="14"/>
                <w:szCs w:val="14"/>
                <w:b w:val="1"/>
                <w:bCs w:val="1"/>
                <w:color w:val="auto"/>
                <w:w w:val="96"/>
              </w:rPr>
              <w:t>Identification Number)</w:t>
            </w:r>
          </w:p>
        </w:tc>
      </w:tr>
      <w:tr>
        <w:trPr>
          <w:trHeight w:val="399"/>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One Kendall Square</w:t>
            </w:r>
          </w:p>
        </w:tc>
        <w:tc>
          <w:tcPr>
            <w:tcW w:w="5040" w:type="dxa"/>
            <w:vAlign w:val="bottom"/>
          </w:tcPr>
          <w:p>
            <w:pPr>
              <w:spacing w:after="0"/>
              <w:rPr>
                <w:sz w:val="24"/>
                <w:szCs w:val="24"/>
                <w:color w:val="auto"/>
              </w:rPr>
            </w:pP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9"/>
              </w:rPr>
              <w:t>Building 300, Suite 201</w:t>
            </w:r>
          </w:p>
        </w:tc>
        <w:tc>
          <w:tcPr>
            <w:tcW w:w="5040" w:type="dxa"/>
            <w:vAlign w:val="bottom"/>
          </w:tcPr>
          <w:p>
            <w:pPr>
              <w:spacing w:after="0"/>
              <w:rPr>
                <w:sz w:val="18"/>
                <w:szCs w:val="18"/>
                <w:color w:val="auto"/>
              </w:rPr>
            </w:pPr>
          </w:p>
        </w:tc>
      </w:tr>
      <w:tr>
        <w:trPr>
          <w:trHeight w:val="225"/>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5040" w:type="dxa"/>
            <w:vAlign w:val="bottom"/>
          </w:tcPr>
          <w:p>
            <w:pPr>
              <w:jc w:val="right"/>
              <w:ind w:right="416"/>
              <w:spacing w:after="0"/>
              <w:rPr>
                <w:sz w:val="20"/>
                <w:szCs w:val="20"/>
                <w:color w:val="auto"/>
              </w:rPr>
            </w:pPr>
            <w:r>
              <w:rPr>
                <w:rFonts w:ascii="Arial" w:cs="Arial" w:eastAsia="Arial" w:hAnsi="Arial"/>
                <w:sz w:val="18"/>
                <w:szCs w:val="18"/>
                <w:b w:val="1"/>
                <w:bCs w:val="1"/>
                <w:color w:val="auto"/>
              </w:rPr>
              <w:t>02139</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040" w:type="dxa"/>
            <w:vAlign w:val="bottom"/>
          </w:tcPr>
          <w:p>
            <w:pPr>
              <w:jc w:val="center"/>
              <w:ind w:left="3516"/>
              <w:spacing w:after="0"/>
              <w:rPr>
                <w:sz w:val="20"/>
                <w:szCs w:val="20"/>
                <w:color w:val="auto"/>
              </w:rPr>
            </w:pPr>
            <w:r>
              <w:rPr>
                <w:rFonts w:ascii="Arial" w:cs="Arial" w:eastAsia="Arial" w:hAnsi="Arial"/>
                <w:sz w:val="14"/>
                <w:szCs w:val="14"/>
                <w:b w:val="1"/>
                <w:bCs w:val="1"/>
                <w:color w:val="auto"/>
                <w:w w:val="98"/>
              </w:rPr>
              <w:t>(Zip Code)</w:t>
            </w:r>
          </w:p>
        </w:tc>
      </w:tr>
      <w:tr>
        <w:trPr>
          <w:trHeight w:val="399"/>
        </w:trPr>
        <w:tc>
          <w:tcPr>
            <w:tcW w:w="2480" w:type="dxa"/>
            <w:vAlign w:val="bottom"/>
          </w:tcPr>
          <w:p>
            <w:pPr>
              <w:spacing w:after="0"/>
              <w:rPr>
                <w:sz w:val="24"/>
                <w:szCs w:val="24"/>
                <w:color w:val="auto"/>
              </w:rPr>
            </w:pPr>
          </w:p>
        </w:tc>
        <w:tc>
          <w:tcPr>
            <w:tcW w:w="5040" w:type="dxa"/>
            <w:vAlign w:val="bottom"/>
          </w:tcPr>
          <w:p>
            <w:pPr>
              <w:jc w:val="center"/>
              <w:ind w:right="1976"/>
              <w:spacing w:after="0"/>
              <w:rPr>
                <w:sz w:val="20"/>
                <w:szCs w:val="20"/>
                <w:color w:val="auto"/>
              </w:rPr>
            </w:pPr>
            <w:r>
              <w:rPr>
                <w:rFonts w:ascii="Arial" w:cs="Arial" w:eastAsia="Arial" w:hAnsi="Arial"/>
                <w:sz w:val="18"/>
                <w:szCs w:val="18"/>
                <w:b w:val="1"/>
                <w:bCs w:val="1"/>
                <w:color w:val="auto"/>
                <w:w w:val="90"/>
              </w:rPr>
              <w:t>2018 Stock Option and Incentive Plan</w:t>
            </w:r>
          </w:p>
        </w:tc>
      </w:tr>
      <w:tr>
        <w:trPr>
          <w:trHeight w:val="212"/>
        </w:trPr>
        <w:tc>
          <w:tcPr>
            <w:tcW w:w="2480" w:type="dxa"/>
            <w:vAlign w:val="bottom"/>
          </w:tcPr>
          <w:p>
            <w:pPr>
              <w:spacing w:after="0"/>
              <w:rPr>
                <w:sz w:val="18"/>
                <w:szCs w:val="18"/>
                <w:color w:val="auto"/>
              </w:rPr>
            </w:pPr>
          </w:p>
        </w:tc>
        <w:tc>
          <w:tcPr>
            <w:tcW w:w="5040" w:type="dxa"/>
            <w:vAlign w:val="bottom"/>
          </w:tcPr>
          <w:p>
            <w:pPr>
              <w:jc w:val="center"/>
              <w:ind w:right="1976"/>
              <w:spacing w:after="0"/>
              <w:rPr>
                <w:sz w:val="20"/>
                <w:szCs w:val="20"/>
                <w:color w:val="auto"/>
              </w:rPr>
            </w:pPr>
            <w:r>
              <w:rPr>
                <w:rFonts w:ascii="Arial" w:cs="Arial" w:eastAsia="Arial" w:hAnsi="Arial"/>
                <w:sz w:val="18"/>
                <w:szCs w:val="18"/>
                <w:b w:val="1"/>
                <w:bCs w:val="1"/>
                <w:color w:val="auto"/>
                <w:w w:val="88"/>
              </w:rPr>
              <w:t>2018 Employee Stock Purchase Plan</w:t>
            </w:r>
          </w:p>
        </w:tc>
      </w:tr>
      <w:tr>
        <w:trPr>
          <w:trHeight w:val="186"/>
        </w:trPr>
        <w:tc>
          <w:tcPr>
            <w:tcW w:w="2480" w:type="dxa"/>
            <w:vAlign w:val="bottom"/>
          </w:tcPr>
          <w:p>
            <w:pPr>
              <w:spacing w:after="0"/>
              <w:rPr>
                <w:sz w:val="16"/>
                <w:szCs w:val="16"/>
                <w:color w:val="auto"/>
              </w:rPr>
            </w:pPr>
          </w:p>
        </w:tc>
        <w:tc>
          <w:tcPr>
            <w:tcW w:w="5040" w:type="dxa"/>
            <w:vAlign w:val="bottom"/>
          </w:tcPr>
          <w:p>
            <w:pPr>
              <w:jc w:val="center"/>
              <w:ind w:right="1976"/>
              <w:spacing w:after="0"/>
              <w:rPr>
                <w:sz w:val="20"/>
                <w:szCs w:val="20"/>
                <w:color w:val="auto"/>
              </w:rPr>
            </w:pPr>
            <w:r>
              <w:rPr>
                <w:rFonts w:ascii="Arial" w:cs="Arial" w:eastAsia="Arial" w:hAnsi="Arial"/>
                <w:sz w:val="14"/>
                <w:szCs w:val="14"/>
                <w:b w:val="1"/>
                <w:bCs w:val="1"/>
                <w:color w:val="auto"/>
                <w:w w:val="94"/>
              </w:rPr>
              <w:t>(Full Title of the Plans)</w:t>
            </w:r>
          </w:p>
        </w:tc>
      </w:tr>
      <w:tr>
        <w:trPr>
          <w:trHeight w:val="399"/>
        </w:trPr>
        <w:tc>
          <w:tcPr>
            <w:tcW w:w="2480" w:type="dxa"/>
            <w:vAlign w:val="bottom"/>
          </w:tcPr>
          <w:p>
            <w:pPr>
              <w:spacing w:after="0"/>
              <w:rPr>
                <w:sz w:val="24"/>
                <w:szCs w:val="24"/>
                <w:color w:val="auto"/>
              </w:rPr>
            </w:pPr>
          </w:p>
        </w:tc>
        <w:tc>
          <w:tcPr>
            <w:tcW w:w="5040" w:type="dxa"/>
            <w:vAlign w:val="bottom"/>
          </w:tcPr>
          <w:p>
            <w:pPr>
              <w:jc w:val="center"/>
              <w:ind w:right="1976"/>
              <w:spacing w:after="0"/>
              <w:rPr>
                <w:sz w:val="20"/>
                <w:szCs w:val="20"/>
                <w:color w:val="auto"/>
              </w:rPr>
            </w:pPr>
            <w:r>
              <w:rPr>
                <w:rFonts w:ascii="Arial" w:cs="Arial" w:eastAsia="Arial" w:hAnsi="Arial"/>
                <w:sz w:val="18"/>
                <w:szCs w:val="18"/>
                <w:b w:val="1"/>
                <w:bCs w:val="1"/>
                <w:color w:val="auto"/>
                <w:w w:val="94"/>
              </w:rPr>
              <w:t>Geoff MacKay</w:t>
            </w:r>
          </w:p>
        </w:tc>
      </w:tr>
      <w:tr>
        <w:trPr>
          <w:trHeight w:val="216"/>
        </w:trPr>
        <w:tc>
          <w:tcPr>
            <w:tcW w:w="2480" w:type="dxa"/>
            <w:vAlign w:val="bottom"/>
          </w:tcPr>
          <w:p>
            <w:pPr>
              <w:spacing w:after="0"/>
              <w:rPr>
                <w:sz w:val="18"/>
                <w:szCs w:val="18"/>
                <w:color w:val="auto"/>
              </w:rPr>
            </w:pPr>
          </w:p>
        </w:tc>
        <w:tc>
          <w:tcPr>
            <w:tcW w:w="5040" w:type="dxa"/>
            <w:vAlign w:val="bottom"/>
          </w:tcPr>
          <w:p>
            <w:pPr>
              <w:jc w:val="center"/>
              <w:ind w:right="1996"/>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216"/>
        </w:trPr>
        <w:tc>
          <w:tcPr>
            <w:tcW w:w="2480" w:type="dxa"/>
            <w:vAlign w:val="bottom"/>
          </w:tcPr>
          <w:p>
            <w:pPr>
              <w:spacing w:after="0"/>
              <w:rPr>
                <w:sz w:val="18"/>
                <w:szCs w:val="18"/>
                <w:color w:val="auto"/>
              </w:rPr>
            </w:pPr>
          </w:p>
        </w:tc>
        <w:tc>
          <w:tcPr>
            <w:tcW w:w="5040" w:type="dxa"/>
            <w:vAlign w:val="bottom"/>
          </w:tcPr>
          <w:p>
            <w:pPr>
              <w:jc w:val="center"/>
              <w:ind w:right="1996"/>
              <w:spacing w:after="0"/>
              <w:rPr>
                <w:sz w:val="20"/>
                <w:szCs w:val="20"/>
                <w:color w:val="auto"/>
              </w:rPr>
            </w:pPr>
            <w:r>
              <w:rPr>
                <w:rFonts w:ascii="Arial" w:cs="Arial" w:eastAsia="Arial" w:hAnsi="Arial"/>
                <w:sz w:val="18"/>
                <w:szCs w:val="18"/>
                <w:b w:val="1"/>
                <w:bCs w:val="1"/>
                <w:color w:val="auto"/>
                <w:w w:val="91"/>
              </w:rPr>
              <w:t>One Kendall Square</w:t>
            </w:r>
          </w:p>
        </w:tc>
      </w:tr>
      <w:tr>
        <w:trPr>
          <w:trHeight w:val="216"/>
        </w:trPr>
        <w:tc>
          <w:tcPr>
            <w:tcW w:w="2480" w:type="dxa"/>
            <w:vAlign w:val="bottom"/>
          </w:tcPr>
          <w:p>
            <w:pPr>
              <w:spacing w:after="0"/>
              <w:rPr>
                <w:sz w:val="18"/>
                <w:szCs w:val="18"/>
                <w:color w:val="auto"/>
              </w:rPr>
            </w:pPr>
          </w:p>
        </w:tc>
        <w:tc>
          <w:tcPr>
            <w:tcW w:w="5040" w:type="dxa"/>
            <w:vAlign w:val="bottom"/>
          </w:tcPr>
          <w:p>
            <w:pPr>
              <w:jc w:val="center"/>
              <w:ind w:right="1996"/>
              <w:spacing w:after="0"/>
              <w:rPr>
                <w:sz w:val="20"/>
                <w:szCs w:val="20"/>
                <w:color w:val="auto"/>
              </w:rPr>
            </w:pPr>
            <w:r>
              <w:rPr>
                <w:rFonts w:ascii="Arial" w:cs="Arial" w:eastAsia="Arial" w:hAnsi="Arial"/>
                <w:sz w:val="18"/>
                <w:szCs w:val="18"/>
                <w:b w:val="1"/>
                <w:bCs w:val="1"/>
                <w:color w:val="auto"/>
                <w:w w:val="89"/>
              </w:rPr>
              <w:t>Building 300, Suite 201</w:t>
            </w:r>
          </w:p>
        </w:tc>
      </w:tr>
      <w:tr>
        <w:trPr>
          <w:trHeight w:val="212"/>
        </w:trPr>
        <w:tc>
          <w:tcPr>
            <w:tcW w:w="2480" w:type="dxa"/>
            <w:vAlign w:val="bottom"/>
          </w:tcPr>
          <w:p>
            <w:pPr>
              <w:spacing w:after="0"/>
              <w:rPr>
                <w:sz w:val="18"/>
                <w:szCs w:val="18"/>
                <w:color w:val="auto"/>
              </w:rPr>
            </w:pPr>
          </w:p>
        </w:tc>
        <w:tc>
          <w:tcPr>
            <w:tcW w:w="5040" w:type="dxa"/>
            <w:vAlign w:val="bottom"/>
          </w:tcPr>
          <w:p>
            <w:pPr>
              <w:jc w:val="center"/>
              <w:ind w:right="1996"/>
              <w:spacing w:after="0"/>
              <w:rPr>
                <w:sz w:val="20"/>
                <w:szCs w:val="20"/>
                <w:color w:val="auto"/>
              </w:rPr>
            </w:pPr>
            <w:r>
              <w:rPr>
                <w:rFonts w:ascii="Arial" w:cs="Arial" w:eastAsia="Arial" w:hAnsi="Arial"/>
                <w:sz w:val="18"/>
                <w:szCs w:val="18"/>
                <w:b w:val="1"/>
                <w:bCs w:val="1"/>
                <w:color w:val="auto"/>
                <w:w w:val="94"/>
              </w:rPr>
              <w:t>Cambridge, MA 02139</w:t>
            </w:r>
          </w:p>
        </w:tc>
      </w:tr>
      <w:tr>
        <w:trPr>
          <w:trHeight w:val="186"/>
        </w:trPr>
        <w:tc>
          <w:tcPr>
            <w:tcW w:w="2480" w:type="dxa"/>
            <w:vAlign w:val="bottom"/>
          </w:tcPr>
          <w:p>
            <w:pPr>
              <w:spacing w:after="0"/>
              <w:rPr>
                <w:sz w:val="16"/>
                <w:szCs w:val="16"/>
                <w:color w:val="auto"/>
              </w:rPr>
            </w:pPr>
          </w:p>
        </w:tc>
        <w:tc>
          <w:tcPr>
            <w:tcW w:w="5040" w:type="dxa"/>
            <w:vAlign w:val="bottom"/>
          </w:tcPr>
          <w:p>
            <w:pPr>
              <w:jc w:val="center"/>
              <w:ind w:right="1996"/>
              <w:spacing w:after="0"/>
              <w:rPr>
                <w:sz w:val="20"/>
                <w:szCs w:val="20"/>
                <w:color w:val="auto"/>
              </w:rPr>
            </w:pPr>
            <w:r>
              <w:rPr>
                <w:rFonts w:ascii="Arial" w:cs="Arial" w:eastAsia="Arial" w:hAnsi="Arial"/>
                <w:sz w:val="14"/>
                <w:szCs w:val="14"/>
                <w:b w:val="1"/>
                <w:bCs w:val="1"/>
                <w:color w:val="auto"/>
                <w:w w:val="91"/>
              </w:rPr>
              <w:t>(Name and address of agent for service)</w:t>
            </w:r>
          </w:p>
        </w:tc>
      </w:tr>
    </w:tbl>
    <w:p>
      <w:pPr>
        <w:spacing w:after="0" w:line="1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Arthur R. McGivern,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James Xu,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299"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139"/>
        </w:trPr>
        <w:tc>
          <w:tcPr>
            <w:tcW w:w="4840" w:type="dxa"/>
            <w:vAlign w:val="bottom"/>
            <w:tcBorders>
              <w:top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6"/>
              </w:rPr>
              <w:t>Proposed</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6"/>
              </w:rPr>
              <w:t>Proposed</w:t>
            </w: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4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$0.0001 par value 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1,266,922 shares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$15.52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$19,662,629.44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$2,552.21</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$0.0001 par value 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316,730 shares (4)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$13.20 (5)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$4,180,836.00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$542.68</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1,583,652</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$23,843,465.44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$3,094.89</w:t>
            </w:r>
          </w:p>
        </w:tc>
        <w:tc>
          <w:tcPr>
            <w:tcW w:w="0" w:type="dxa"/>
            <w:vAlign w:val="bottom"/>
          </w:tcPr>
          <w:p>
            <w:pPr>
              <w:spacing w:after="0"/>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80" w:hanging="424"/>
        <w:spacing w:after="0" w:line="286"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shall also cover any additional shares of common stock which become issuable under the Registrant’s 2018 Stock Option and Incentive Plan (the “Plan”) and 2018 Employee Stock Purchase Plan (the “ESPP”) by reason of any stock dividend, stock split, recapitalization or any other similar transaction effected without the receipt of consideration which results in an increase in the number of the Registrant’s outstanding shares of common stock.</w:t>
      </w:r>
    </w:p>
    <w:p>
      <w:pPr>
        <w:jc w:val="both"/>
        <w:ind w:left="424" w:right="32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an automatic increase of 1,266,922 shares of common stock to the number of shares available for issuance under the Plan, effective January 1, 2020. Shares available for issuance under the Plan were previously registered on a registration statement on Form S-8 filed with the Securities and Exchange Commission on June 21, 2018 (Registration No. 333-225788) and March 25, 2019 (Registration No. 333-230494).</w:t>
      </w:r>
    </w:p>
    <w:p>
      <w:pPr>
        <w:spacing w:after="0" w:line="1" w:lineRule="exact"/>
        <w:rPr>
          <w:rFonts w:ascii="Arial" w:cs="Arial" w:eastAsia="Arial" w:hAnsi="Arial"/>
          <w:sz w:val="16"/>
          <w:szCs w:val="16"/>
          <w:color w:val="auto"/>
        </w:rPr>
      </w:pPr>
    </w:p>
    <w:p>
      <w:pPr>
        <w:ind w:left="424" w:right="22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457(h) of the Securities Act, and based on the average of the high and low sale prices of the Registrant’s common stock, as quoted on the Nasdaq Global Select Market, on March 12, 2020.</w:t>
      </w:r>
    </w:p>
    <w:p>
      <w:pPr>
        <w:spacing w:after="0" w:line="1" w:lineRule="exact"/>
        <w:rPr>
          <w:rFonts w:ascii="Arial" w:cs="Arial" w:eastAsia="Arial" w:hAnsi="Arial"/>
          <w:sz w:val="16"/>
          <w:szCs w:val="16"/>
          <w:color w:val="auto"/>
        </w:rPr>
      </w:pPr>
    </w:p>
    <w:p>
      <w:pPr>
        <w:ind w:left="424" w:right="24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an automatic increase of 316,730 shares of common stock to the number of shares available for issuance under the ESPP, effective January 1, 2020. Shares available for issuance under the ESPP were previously registered on a registration statement on Form S-8 filed with the Securities and Exchange Commission on June 21, 2018 (Registration No. 333-225788) and March 25, 2019 (Registration No. 333-230494).</w:t>
      </w:r>
    </w:p>
    <w:p>
      <w:pPr>
        <w:spacing w:after="0" w:line="1" w:lineRule="exact"/>
        <w:rPr>
          <w:rFonts w:ascii="Arial" w:cs="Arial" w:eastAsia="Arial" w:hAnsi="Arial"/>
          <w:sz w:val="16"/>
          <w:szCs w:val="16"/>
          <w:color w:val="auto"/>
        </w:rPr>
      </w:pPr>
    </w:p>
    <w:p>
      <w:pPr>
        <w:ind w:left="424" w:right="120" w:hanging="424"/>
        <w:spacing w:after="0" w:line="295"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 of the Securities Act, and based on 85% of $15.52 per share, which represents the average of the high and low prices of the Registrant’s common stock reported on the Nasdaq Global Select Market on March 12, 2020. Pursuant to the ESPP, the purchase price of the shares of common stock reserved for issuance thereunder will be 85% of the fair market value of a share of common stock on the first trading day of the offering period or on the exercise date, whichever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Registration Statement on Form S-8 registers additional shares of Common Stock under the Registrant’s Plan and ESPP.</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reserved and available for issuance under the Plan is subject to an automatic annual increase on each January 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by an amount equal to the lesser of (i) 4.0% of the number of shares of common stock issued and outstanding on the immediately preceding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or (ii) such amount as determined by the Administrator (as defined in the Plan), currently the Compensation Committee of the Registrant’s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Accordingly, on January 1, 2020, the number of shares of common stock reserved and available for issuance under the Plan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increased by 1,266,922 shares.</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number of shares of common stock reserved and available for issuance under the ESPP is subject to an automatic annual increase on each January 1, by an amount equal to the lesser of (i) 1.0% of the number of shares of common stock issued and outstanding on the immediately preceding December 31, (ii) 1,115,700 shares or (iii) such amount as determined by the Administrator (as defined in the ESPP), currently the Compensation Committee of the Registrant’s Board of Directors. Accordingly, on January 1, 2020, the number of shares of common stock reserved and available for issuance under the ESPP increased by 316,730 shares.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additional shares described above are of the same class as other securities relating to the Plan and the ESPP for which the Registrant’s registration statements filed on Form S-8 (Registration No. 333-225788) on June 21, 2018 and on Form S-8 (Registration No. 333-230494) on March 25, 2019, are effective. The information contained in the Registrant’s registration statement on Form S-8 (Registration No. 333-225788) is hereby incorporated by reference pursuant to General Instruction 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60" w:type="dxa"/>
            <w:vAlign w:val="bottom"/>
            <w:gridSpan w:val="11"/>
          </w:tcPr>
          <w:p>
            <w:pPr>
              <w:jc w:val="center"/>
              <w:ind w:right="5180"/>
              <w:spacing w:after="0"/>
              <w:rPr>
                <w:sz w:val="20"/>
                <w:szCs w:val="20"/>
                <w:color w:val="auto"/>
              </w:rPr>
            </w:pPr>
            <w:r>
              <w:rPr>
                <w:rFonts w:ascii="Arial" w:cs="Arial" w:eastAsia="Arial" w:hAnsi="Arial"/>
                <w:sz w:val="18"/>
                <w:szCs w:val="18"/>
                <w:b w:val="1"/>
                <w:bCs w:val="1"/>
                <w:color w:val="auto"/>
              </w:rPr>
              <w:t>Part II</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40" w:type="dxa"/>
            <w:vAlign w:val="bottom"/>
            <w:gridSpan w:val="14"/>
          </w:tcPr>
          <w:p>
            <w:pPr>
              <w:jc w:val="center"/>
              <w:ind w:right="900"/>
              <w:spacing w:after="0"/>
              <w:rPr>
                <w:sz w:val="20"/>
                <w:szCs w:val="20"/>
                <w:color w:val="auto"/>
              </w:rPr>
            </w:pPr>
            <w:r>
              <w:rPr>
                <w:rFonts w:ascii="Arial" w:cs="Arial" w:eastAsia="Arial" w:hAnsi="Arial"/>
                <w:sz w:val="18"/>
                <w:szCs w:val="18"/>
                <w:b w:val="1"/>
                <w:bCs w:val="1"/>
                <w:color w:val="auto"/>
              </w:rPr>
              <w:t>INFORMATION REQUIRED IN THE REGISTRATION STATEMENT</w:t>
            </w:r>
          </w:p>
        </w:tc>
        <w:tc>
          <w:tcPr>
            <w:tcW w:w="0" w:type="dxa"/>
            <w:vAlign w:val="bottom"/>
          </w:tcPr>
          <w:p>
            <w:pPr>
              <w:spacing w:after="0"/>
              <w:rPr>
                <w:sz w:val="1"/>
                <w:szCs w:val="1"/>
                <w:color w:val="auto"/>
              </w:rPr>
            </w:pPr>
          </w:p>
        </w:tc>
      </w:tr>
      <w:tr>
        <w:trPr>
          <w:trHeight w:val="459"/>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140" w:type="dxa"/>
            <w:vAlign w:val="bottom"/>
            <w:gridSpan w:val="14"/>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47"/>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60" w:type="dxa"/>
            <w:vAlign w:val="bottom"/>
            <w:gridSpan w:val="11"/>
            <w:vMerge w:val="restart"/>
          </w:tcPr>
          <w:p>
            <w:pPr>
              <w:ind w:left="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No.</w:t>
            </w:r>
          </w:p>
        </w:tc>
        <w:tc>
          <w:tcPr>
            <w:tcW w:w="2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2"/>
                <w:szCs w:val="22"/>
                <w:color w:val="auto"/>
              </w:rPr>
            </w:pPr>
          </w:p>
        </w:tc>
        <w:tc>
          <w:tcPr>
            <w:tcW w:w="1008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Fourth Amended and Restated Certificate of Incorporation of the Registrant (filed as Exhibit 3.1 to the Registrant’s Current Report on Form</w:t>
              </w:r>
            </w:hyperlink>
          </w:p>
        </w:tc>
        <w:tc>
          <w:tcPr>
            <w:tcW w:w="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1">
              <w:r>
                <w:rPr>
                  <w:rFonts w:ascii="Arial" w:cs="Arial" w:eastAsia="Arial" w:hAnsi="Arial"/>
                  <w:sz w:val="18"/>
                  <w:szCs w:val="18"/>
                  <w:color w:val="0000EE"/>
                  <w:w w:val="90"/>
                </w:rPr>
                <w:t>8-K filed on June 25, 2018 (File No. 001-38537) and incorporated herein by reference).</w:t>
              </w:r>
            </w:hyperlink>
          </w:p>
        </w:tc>
        <w:tc>
          <w:tcPr>
            <w:tcW w:w="38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9740" w:type="dxa"/>
            <w:vAlign w:val="bottom"/>
            <w:tcBorders>
              <w:bottom w:val="single" w:sz="8" w:color="0000EE"/>
            </w:tcBorders>
            <w:gridSpan w:val="10"/>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Amended and Restated By-laws of the Registrant (filed as Exhibit 3.2 to the Registrant’s Current Report on Form 8-K filed on June 25,</w:t>
              </w:r>
            </w:hyperlink>
          </w:p>
        </w:tc>
        <w:tc>
          <w:tcPr>
            <w:tcW w:w="4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2018 (File No. 001-38537) and incorporated herein by reference).</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10140" w:type="dxa"/>
            <w:vAlign w:val="bottom"/>
            <w:gridSpan w:val="14"/>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Second Amended and Restated Investors’ Rights Agreement by and among the Registrant and certain of its stockholders, dated January 9,</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40" w:type="dxa"/>
            <w:vAlign w:val="bottom"/>
            <w:tcBorders>
              <w:top w:val="single" w:sz="8" w:color="0000EE"/>
            </w:tcBorders>
            <w:gridSpan w:val="11"/>
          </w:tcPr>
          <w:p>
            <w:pPr>
              <w:spacing w:after="0" w:line="196" w:lineRule="exact"/>
              <w:rPr>
                <w:rFonts w:ascii="Arial" w:cs="Arial" w:eastAsia="Arial" w:hAnsi="Arial"/>
                <w:sz w:val="18"/>
                <w:szCs w:val="18"/>
                <w:color w:val="0000EE"/>
                <w:w w:val="96"/>
              </w:rPr>
            </w:pPr>
            <w:hyperlink r:id="rId23">
              <w:r>
                <w:rPr>
                  <w:rFonts w:ascii="Arial" w:cs="Arial" w:eastAsia="Arial" w:hAnsi="Arial"/>
                  <w:sz w:val="18"/>
                  <w:szCs w:val="18"/>
                  <w:color w:val="0000EE"/>
                  <w:w w:val="96"/>
                </w:rPr>
                <w:t>2018 (filed as Exhibit 4.2 to the Registrant’s Registration Statement on Form S-1 filed on May 25, 2018 (File No. 333-225213) and</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incorporated herein by reference).</w:t>
              </w:r>
            </w:hyperlink>
          </w:p>
        </w:tc>
        <w:tc>
          <w:tcPr>
            <w:tcW w:w="7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1014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Opinion of Goodwin Procter LLP.</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23.1*</w:t>
            </w:r>
          </w:p>
        </w:tc>
        <w:tc>
          <w:tcPr>
            <w:tcW w:w="420" w:type="dxa"/>
            <w:vAlign w:val="bottom"/>
          </w:tcPr>
          <w:p>
            <w:pPr>
              <w:spacing w:after="0"/>
              <w:rPr>
                <w:sz w:val="24"/>
                <w:szCs w:val="24"/>
                <w:color w:val="auto"/>
              </w:rPr>
            </w:pPr>
          </w:p>
        </w:tc>
        <w:tc>
          <w:tcPr>
            <w:tcW w:w="58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Consent of Ernst &amp; Young LLP, Independent Registered Public Accounting Firm.</w:t>
              </w:r>
            </w:hyperlink>
          </w:p>
        </w:tc>
        <w:tc>
          <w:tcPr>
            <w:tcW w:w="4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23.2*</w:t>
            </w:r>
          </w:p>
        </w:tc>
        <w:tc>
          <w:tcPr>
            <w:tcW w:w="420" w:type="dxa"/>
            <w:vAlign w:val="bottom"/>
          </w:tcPr>
          <w:p>
            <w:pPr>
              <w:spacing w:after="0"/>
              <w:rPr>
                <w:sz w:val="24"/>
                <w:szCs w:val="24"/>
                <w:color w:val="auto"/>
              </w:rPr>
            </w:pPr>
          </w:p>
        </w:tc>
        <w:tc>
          <w:tcPr>
            <w:tcW w:w="1014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Consent of Goodwin Procter LLP (included in Exhibit 5.1).</w:t>
              </w:r>
            </w:hyperlink>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24.1*</w:t>
            </w:r>
          </w:p>
        </w:tc>
        <w:tc>
          <w:tcPr>
            <w:tcW w:w="420" w:type="dxa"/>
            <w:vAlign w:val="bottom"/>
          </w:tcPr>
          <w:p>
            <w:pPr>
              <w:spacing w:after="0"/>
              <w:rPr>
                <w:sz w:val="24"/>
                <w:szCs w:val="24"/>
                <w:color w:val="auto"/>
              </w:rPr>
            </w:pPr>
          </w:p>
        </w:tc>
        <w:tc>
          <w:tcPr>
            <w:tcW w:w="3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Power of Attorney (included on signature page).</w:t>
              </w:r>
            </w:hyperlink>
          </w:p>
        </w:tc>
        <w:tc>
          <w:tcPr>
            <w:tcW w:w="800" w:type="dxa"/>
            <w:vAlign w:val="bottom"/>
            <w:tcBorders>
              <w:top w:val="single" w:sz="8" w:color="0000EE"/>
            </w:tcBorders>
          </w:tcPr>
          <w:p>
            <w:pPr>
              <w:spacing w:after="0"/>
              <w:rPr>
                <w:sz w:val="24"/>
                <w:szCs w:val="24"/>
                <w:color w:val="auto"/>
              </w:rPr>
            </w:pPr>
          </w:p>
        </w:tc>
        <w:tc>
          <w:tcPr>
            <w:tcW w:w="58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99.1</w:t>
            </w:r>
          </w:p>
        </w:tc>
        <w:tc>
          <w:tcPr>
            <w:tcW w:w="420" w:type="dxa"/>
            <w:vAlign w:val="bottom"/>
          </w:tcPr>
          <w:p>
            <w:pPr>
              <w:spacing w:after="0"/>
              <w:rPr>
                <w:sz w:val="24"/>
                <w:szCs w:val="24"/>
                <w:color w:val="auto"/>
              </w:rPr>
            </w:pPr>
          </w:p>
        </w:tc>
        <w:tc>
          <w:tcPr>
            <w:tcW w:w="9360" w:type="dxa"/>
            <w:vAlign w:val="bottom"/>
            <w:tcBorders>
              <w:bottom w:val="single" w:sz="8" w:color="0000EE"/>
            </w:tcBorders>
            <w:gridSpan w:val="8"/>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2018 Stock Option and Incentive Plan and forms of award agreements thereunder (filed as Exhibit 10.2 to the Registrant’s Second</w:t>
              </w:r>
            </w:hyperlink>
          </w:p>
        </w:tc>
        <w:tc>
          <w:tcPr>
            <w:tcW w:w="7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4"/>
          </w:tcPr>
          <w:p>
            <w:pPr>
              <w:spacing w:after="0" w:line="196" w:lineRule="exact"/>
              <w:rPr>
                <w:rFonts w:ascii="Arial" w:cs="Arial" w:eastAsia="Arial" w:hAnsi="Arial"/>
                <w:sz w:val="18"/>
                <w:szCs w:val="18"/>
                <w:color w:val="0000EE"/>
                <w:w w:val="90"/>
              </w:rPr>
            </w:pPr>
            <w:hyperlink r:id="rId24">
              <w:r>
                <w:rPr>
                  <w:rFonts w:ascii="Arial" w:cs="Arial" w:eastAsia="Arial" w:hAnsi="Arial"/>
                  <w:sz w:val="18"/>
                  <w:szCs w:val="18"/>
                  <w:color w:val="0000EE"/>
                  <w:w w:val="90"/>
                </w:rPr>
                <w:t>Amendment to the Registration Statement on Form S-1 filed on June 11, 2018 (File No. 333-225213) and incorporated herein by reference).</w:t>
              </w:r>
            </w:hyperlink>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99.2</w:t>
            </w:r>
          </w:p>
        </w:tc>
        <w:tc>
          <w:tcPr>
            <w:tcW w:w="420" w:type="dxa"/>
            <w:vAlign w:val="bottom"/>
          </w:tcPr>
          <w:p>
            <w:pPr>
              <w:spacing w:after="0"/>
              <w:rPr>
                <w:sz w:val="24"/>
                <w:szCs w:val="24"/>
                <w:color w:val="auto"/>
              </w:rPr>
            </w:pPr>
          </w:p>
        </w:tc>
        <w:tc>
          <w:tcPr>
            <w:tcW w:w="99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2018 Employee Stock Purchase Plan (filed as Exhibit 10.14 to the Registrant’s Second Amendment to the Registration Statement on Form</w:t>
              </w:r>
            </w:hyperlink>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5">
              <w:r>
                <w:rPr>
                  <w:rFonts w:ascii="Arial" w:cs="Arial" w:eastAsia="Arial" w:hAnsi="Arial"/>
                  <w:sz w:val="18"/>
                  <w:szCs w:val="18"/>
                  <w:color w:val="0000EE"/>
                  <w:w w:val="90"/>
                </w:rPr>
                <w:t>S-1 filed on June 11, 2018 (File No. 333-225213) and incorporated herein by reference).</w:t>
              </w:r>
            </w:hyperlink>
          </w:p>
        </w:tc>
        <w:tc>
          <w:tcPr>
            <w:tcW w:w="37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20"/>
          </w:cols>
          <w:pgMar w:left="440" w:top="270" w:right="4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16th day of March, 2020.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President, Chief Executive Officer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KNOW ALL BY THESE PRESENT, that each individual whose signature appears below hereby constitutes and appoints each of Geoff MacKay and Erik Ostrowski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1400" w:type="dxa"/>
            <w:vAlign w:val="bottom"/>
          </w:tcPr>
          <w:p>
            <w:pPr>
              <w:jc w:val="center"/>
              <w:ind w:left="192"/>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Geoff MacKay</w:t>
            </w:r>
          </w:p>
        </w:tc>
        <w:tc>
          <w:tcPr>
            <w:tcW w:w="5120" w:type="dxa"/>
            <w:vAlign w:val="bottom"/>
          </w:tcPr>
          <w:p>
            <w:pPr>
              <w:jc w:val="center"/>
              <w:spacing w:after="0"/>
              <w:rPr>
                <w:sz w:val="20"/>
                <w:szCs w:val="20"/>
                <w:color w:val="auto"/>
              </w:rPr>
            </w:pPr>
            <w:r>
              <w:rPr>
                <w:rFonts w:ascii="Arial" w:cs="Arial" w:eastAsia="Arial" w:hAnsi="Arial"/>
                <w:sz w:val="18"/>
                <w:szCs w:val="18"/>
                <w:i w:val="1"/>
                <w:iCs w:val="1"/>
                <w:color w:val="auto"/>
                <w:w w:val="92"/>
              </w:rPr>
              <w:t>Director, President, Chief Executive Officer and Principal</w:t>
            </w:r>
          </w:p>
        </w:tc>
        <w:tc>
          <w:tcPr>
            <w:tcW w:w="1400" w:type="dxa"/>
            <w:vAlign w:val="bottom"/>
          </w:tcPr>
          <w:p>
            <w:pPr>
              <w:jc w:val="center"/>
              <w:ind w:left="172"/>
              <w:spacing w:after="0"/>
              <w:rPr>
                <w:sz w:val="20"/>
                <w:szCs w:val="20"/>
                <w:color w:val="auto"/>
              </w:rPr>
            </w:pPr>
            <w:r>
              <w:rPr>
                <w:rFonts w:ascii="Arial" w:cs="Arial" w:eastAsia="Arial" w:hAnsi="Arial"/>
                <w:sz w:val="18"/>
                <w:szCs w:val="18"/>
                <w:color w:val="auto"/>
                <w:w w:val="91"/>
              </w:rPr>
              <w:t>March 16,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Geoff MacKay</w:t>
            </w:r>
          </w:p>
        </w:tc>
        <w:tc>
          <w:tcPr>
            <w:tcW w:w="512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Officer</w:t>
            </w: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Erik Ostrowski</w:t>
            </w:r>
          </w:p>
        </w:tc>
        <w:tc>
          <w:tcPr>
            <w:tcW w:w="512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 and Principal Financial and Accounting</w:t>
            </w:r>
          </w:p>
        </w:tc>
        <w:tc>
          <w:tcPr>
            <w:tcW w:w="1400" w:type="dxa"/>
            <w:vAlign w:val="bottom"/>
          </w:tcPr>
          <w:p>
            <w:pPr>
              <w:jc w:val="center"/>
              <w:ind w:left="172"/>
              <w:spacing w:after="0"/>
              <w:rPr>
                <w:sz w:val="20"/>
                <w:szCs w:val="20"/>
                <w:color w:val="auto"/>
              </w:rPr>
            </w:pPr>
            <w:r>
              <w:rPr>
                <w:rFonts w:ascii="Arial" w:cs="Arial" w:eastAsia="Arial" w:hAnsi="Arial"/>
                <w:sz w:val="18"/>
                <w:szCs w:val="18"/>
                <w:color w:val="auto"/>
                <w:w w:val="91"/>
              </w:rPr>
              <w:t>March 16,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5"/>
              </w:rPr>
              <w:t>Erik Ostrowski</w:t>
            </w:r>
          </w:p>
        </w:tc>
        <w:tc>
          <w:tcPr>
            <w:tcW w:w="5120" w:type="dxa"/>
            <w:vAlign w:val="bottom"/>
          </w:tcPr>
          <w:p>
            <w:pPr>
              <w:jc w:val="center"/>
              <w:spacing w:after="0"/>
              <w:rPr>
                <w:sz w:val="20"/>
                <w:szCs w:val="20"/>
                <w:color w:val="auto"/>
              </w:rPr>
            </w:pPr>
            <w:r>
              <w:rPr>
                <w:rFonts w:ascii="Arial" w:cs="Arial" w:eastAsia="Arial" w:hAnsi="Arial"/>
                <w:sz w:val="18"/>
                <w:szCs w:val="18"/>
                <w:i w:val="1"/>
                <w:iCs w:val="1"/>
                <w:color w:val="auto"/>
                <w:w w:val="94"/>
              </w:rPr>
              <w:t>Officer</w:t>
            </w: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Bruce Booth</w:t>
            </w:r>
          </w:p>
        </w:tc>
        <w:tc>
          <w:tcPr>
            <w:tcW w:w="512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c>
          <w:tcPr>
            <w:tcW w:w="1400" w:type="dxa"/>
            <w:vAlign w:val="bottom"/>
          </w:tcPr>
          <w:p>
            <w:pPr>
              <w:jc w:val="center"/>
              <w:ind w:left="172"/>
              <w:spacing w:after="0"/>
              <w:rPr>
                <w:sz w:val="20"/>
                <w:szCs w:val="20"/>
                <w:color w:val="auto"/>
              </w:rPr>
            </w:pPr>
            <w:r>
              <w:rPr>
                <w:rFonts w:ascii="Arial" w:cs="Arial" w:eastAsia="Arial" w:hAnsi="Arial"/>
                <w:sz w:val="18"/>
                <w:szCs w:val="18"/>
                <w:color w:val="auto"/>
                <w:w w:val="91"/>
              </w:rPr>
              <w:t>March 16,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Bruce Booth, D.Phil.</w:t>
            </w:r>
          </w:p>
        </w:tc>
        <w:tc>
          <w:tcPr>
            <w:tcW w:w="5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Ian T. Clark</w:t>
            </w:r>
          </w:p>
        </w:tc>
        <w:tc>
          <w:tcPr>
            <w:tcW w:w="5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1400" w:type="dxa"/>
            <w:vAlign w:val="bottom"/>
          </w:tcPr>
          <w:p>
            <w:pPr>
              <w:jc w:val="center"/>
              <w:ind w:left="172"/>
              <w:spacing w:after="0"/>
              <w:rPr>
                <w:sz w:val="20"/>
                <w:szCs w:val="20"/>
                <w:color w:val="auto"/>
              </w:rPr>
            </w:pPr>
            <w:r>
              <w:rPr>
                <w:rFonts w:ascii="Arial" w:cs="Arial" w:eastAsia="Arial" w:hAnsi="Arial"/>
                <w:sz w:val="18"/>
                <w:szCs w:val="18"/>
                <w:color w:val="auto"/>
                <w:w w:val="91"/>
              </w:rPr>
              <w:t>March 16,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Ian T. Clark</w:t>
            </w:r>
          </w:p>
        </w:tc>
        <w:tc>
          <w:tcPr>
            <w:tcW w:w="5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Phillip B. Donenberg</w:t>
            </w:r>
          </w:p>
        </w:tc>
        <w:tc>
          <w:tcPr>
            <w:tcW w:w="5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1400" w:type="dxa"/>
            <w:vAlign w:val="bottom"/>
          </w:tcPr>
          <w:p>
            <w:pPr>
              <w:jc w:val="center"/>
              <w:ind w:left="172"/>
              <w:spacing w:after="0"/>
              <w:rPr>
                <w:sz w:val="20"/>
                <w:szCs w:val="20"/>
                <w:color w:val="auto"/>
              </w:rPr>
            </w:pPr>
            <w:r>
              <w:rPr>
                <w:rFonts w:ascii="Arial" w:cs="Arial" w:eastAsia="Arial" w:hAnsi="Arial"/>
                <w:sz w:val="18"/>
                <w:szCs w:val="18"/>
                <w:color w:val="auto"/>
                <w:w w:val="91"/>
              </w:rPr>
              <w:t>March 16,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Phillip B. Donenberg</w:t>
            </w:r>
          </w:p>
        </w:tc>
        <w:tc>
          <w:tcPr>
            <w:tcW w:w="5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Annalisa Jenkins</w:t>
            </w:r>
          </w:p>
        </w:tc>
        <w:tc>
          <w:tcPr>
            <w:tcW w:w="5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1400" w:type="dxa"/>
            <w:vAlign w:val="bottom"/>
          </w:tcPr>
          <w:p>
            <w:pPr>
              <w:jc w:val="center"/>
              <w:ind w:left="172"/>
              <w:spacing w:after="0"/>
              <w:rPr>
                <w:sz w:val="20"/>
                <w:szCs w:val="20"/>
                <w:color w:val="auto"/>
              </w:rPr>
            </w:pPr>
            <w:r>
              <w:rPr>
                <w:rFonts w:ascii="Arial" w:cs="Arial" w:eastAsia="Arial" w:hAnsi="Arial"/>
                <w:sz w:val="18"/>
                <w:szCs w:val="18"/>
                <w:color w:val="auto"/>
                <w:w w:val="91"/>
              </w:rPr>
              <w:t>March 16,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Annalisa Jenkins, M.B.B.S., F.R.C.P.</w:t>
            </w:r>
          </w:p>
        </w:tc>
        <w:tc>
          <w:tcPr>
            <w:tcW w:w="5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Christopher Paige</w:t>
            </w:r>
          </w:p>
        </w:tc>
        <w:tc>
          <w:tcPr>
            <w:tcW w:w="5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1400" w:type="dxa"/>
            <w:vAlign w:val="bottom"/>
          </w:tcPr>
          <w:p>
            <w:pPr>
              <w:jc w:val="center"/>
              <w:ind w:left="172"/>
              <w:spacing w:after="0"/>
              <w:rPr>
                <w:sz w:val="20"/>
                <w:szCs w:val="20"/>
                <w:color w:val="auto"/>
              </w:rPr>
            </w:pPr>
            <w:r>
              <w:rPr>
                <w:rFonts w:ascii="Arial" w:cs="Arial" w:eastAsia="Arial" w:hAnsi="Arial"/>
                <w:sz w:val="18"/>
                <w:szCs w:val="18"/>
                <w:color w:val="auto"/>
                <w:w w:val="91"/>
              </w:rPr>
              <w:t>March 16,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Christopher Paige, Ph.D.</w:t>
            </w:r>
          </w:p>
        </w:tc>
        <w:tc>
          <w:tcPr>
            <w:tcW w:w="5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Philip Vickers</w:t>
            </w:r>
          </w:p>
        </w:tc>
        <w:tc>
          <w:tcPr>
            <w:tcW w:w="5120" w:type="dxa"/>
            <w:vAlign w:val="bottom"/>
          </w:tcPr>
          <w:p>
            <w:pPr>
              <w:jc w:val="center"/>
              <w:spacing w:after="0"/>
              <w:rPr>
                <w:sz w:val="20"/>
                <w:szCs w:val="20"/>
                <w:color w:val="auto"/>
              </w:rPr>
            </w:pPr>
            <w:r>
              <w:rPr>
                <w:rFonts w:ascii="Arial" w:cs="Arial" w:eastAsia="Arial" w:hAnsi="Arial"/>
                <w:sz w:val="18"/>
                <w:szCs w:val="18"/>
                <w:i w:val="1"/>
                <w:iCs w:val="1"/>
                <w:color w:val="auto"/>
                <w:w w:val="98"/>
              </w:rPr>
              <w:t>Director</w:t>
            </w:r>
          </w:p>
        </w:tc>
        <w:tc>
          <w:tcPr>
            <w:tcW w:w="1400" w:type="dxa"/>
            <w:vAlign w:val="bottom"/>
          </w:tcPr>
          <w:p>
            <w:pPr>
              <w:jc w:val="center"/>
              <w:ind w:left="172"/>
              <w:spacing w:after="0"/>
              <w:rPr>
                <w:sz w:val="20"/>
                <w:szCs w:val="20"/>
                <w:color w:val="auto"/>
              </w:rPr>
            </w:pPr>
            <w:r>
              <w:rPr>
                <w:rFonts w:ascii="Arial" w:cs="Arial" w:eastAsia="Arial" w:hAnsi="Arial"/>
                <w:sz w:val="18"/>
                <w:szCs w:val="18"/>
                <w:color w:val="auto"/>
                <w:w w:val="91"/>
              </w:rPr>
              <w:t>March 16, 2020</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Philip Vickers, Ph.D.</w:t>
            </w:r>
          </w:p>
        </w:tc>
        <w:tc>
          <w:tcPr>
            <w:tcW w:w="512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ectPr>
          <w:pgSz w:w="11900" w:h="16838" w:orient="portrait"/>
          <w:cols w:equalWidth="0" w:num="1">
            <w:col w:w="10900"/>
          </w:cols>
          <w:pgMar w:left="440" w:top="270" w:right="5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S-8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on or about the date hereof relating to an aggregate of 1,583,652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Common Stock, $0.0001 par value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of AVROBIO,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that may be issued pursuant to the Company’s 2018 Stock Option and Incentive Plan and 2018 Employee Stock Purchase Plan (collectively, the “</w:t>
      </w:r>
      <w:r>
        <w:rPr>
          <w:rFonts w:ascii="Arial" w:cs="Arial" w:eastAsia="Arial" w:hAnsi="Arial"/>
          <w:sz w:val="16"/>
          <w:szCs w:val="16"/>
          <w:u w:val="single" w:color="auto"/>
          <w:color w:val="auto"/>
        </w:rPr>
        <w:t>Plans</w:t>
      </w:r>
      <w:r>
        <w:rPr>
          <w:rFonts w:ascii="Arial" w:cs="Arial" w:eastAsia="Arial" w:hAnsi="Arial"/>
          <w:sz w:val="16"/>
          <w:szCs w:val="16"/>
          <w:color w:val="auto"/>
        </w:rPr>
        <w:t>”).</w:t>
      </w:r>
    </w:p>
    <w:p>
      <w:pPr>
        <w:spacing w:after="0" w:line="157"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0"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GOODWIN PROCTER </w:t>
      </w:r>
      <w:r>
        <w:rPr>
          <w:rFonts w:ascii="Arial" w:cs="Arial" w:eastAsia="Arial" w:hAnsi="Arial"/>
          <w:sz w:val="14"/>
          <w:szCs w:val="14"/>
          <w:color w:val="auto"/>
        </w:rPr>
        <w:t>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4"/>
          <w:szCs w:val="14"/>
          <w:color w:val="auto"/>
        </w:rPr>
        <w:t>LLP</w:t>
      </w:r>
    </w:p>
    <w:p>
      <w:pPr>
        <w:sectPr>
          <w:pgSz w:w="11900" w:h="16838" w:orient="portrait"/>
          <w:cols w:equalWidth="0" w:num="1">
            <w:col w:w="11020"/>
          </w:cols>
          <w:pgMar w:left="440" w:top="121"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2018 Stock Option and Incentive Plan and the 2018 Employee Stock Purchase Plan of AVROBIO, Inc. of our report dated March 16, 2020, with respect to the consolidated financial statements of AVROBIO, Inc. included in its Annual Report (Form 10-K) for the year ended December 31, 2019, filed with the Securities and Exchange Commission.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1" Type="http://schemas.openxmlformats.org/officeDocument/2006/relationships/hyperlink" Target="http://www.sec.gov/Archives/edgar/data/1681087/000119312518202460/d153924dex31.htm" TargetMode="External"/><Relationship Id="rId22" Type="http://schemas.openxmlformats.org/officeDocument/2006/relationships/hyperlink" Target="http://www.sec.gov/Archives/edgar/data/1681087/000119312518202460/d153924dex32.htm" TargetMode="External"/><Relationship Id="rId23" Type="http://schemas.openxmlformats.org/officeDocument/2006/relationships/hyperlink" Target="http://www.sec.gov/Archives/edgar/data/1681087/000119312518175024/d562006dex42.htm" TargetMode="External"/><Relationship Id="rId24" Type="http://schemas.openxmlformats.org/officeDocument/2006/relationships/hyperlink" Target="http://www.sec.gov/Archives/edgar/data/1681087/000119312518188630/d562006dex102.htm" TargetMode="External"/><Relationship Id="rId25" Type="http://schemas.openxmlformats.org/officeDocument/2006/relationships/hyperlink" Target="http://www.sec.gov/Archives/edgar/data/1681087/000119312518188630/d562006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2020-03-16T15:35:12Z</dcterms:created>
  <dcterms:modified xsi:type="dcterms:W3CDTF">2020-03-16T15:35:12Z</dcterms:modified>
</cp:coreProperties>
</file>