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671d8k.htm"/>
      <w:bookmarkStart w:id="1" w:name="ksd11467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Tectonic Therapeutic,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81-0710585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490 Arsenal 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200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(339) 666-3320</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Tectonic Therapeutic, Inc. announced its financial results for the second quarter ended June 30, 2026 and provided a general business update. The full text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4671dex991.htm">
              <w:r>
                <w:rPr>
                  <w:rStyle w:val="InternetLink"/>
                </w:rPr>
                <w:t xml:space="preserve">Press Release of Tectonic Therapeutic, Inc. dated August 6,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63"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272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Tectonic Therapeutic,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Daniel Lochner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4671dex991.htm"/>
      <w:bookmarkStart w:id="3" w:name="ksd11467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Announces Second Quarter 2026 Financial Results and 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Enrollment completed in TX45 APEX Phase 2 clinical trial in patients with pulmonary hypertension associated with heart failure with preserved ejection fraction (“PH-HFpEF”) with topline results anticipated in early Q1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TX45 APEX Phase 2 clinical trial Independent Data Monitoring Committee (“IDMC”) met in July 2026 and recommended continuation of the study without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TX2100, a potential treatment for Hereditary Hemorrhagic Telangiectasia (“HHT”), completed dosing of the six single dose healthy volunteer cohorts in the Phase 1a clinical trial, with topline results anticipated by end of Q3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were $227.1 million as of June 30, 2026, including approximately $11.7 million in net proceeds raised from an at-the-market offering for the three months ended June 30, 2026, is expected to provide cash runway into Q1 2029 </w:t>
            </w:r>
          </w:p>
        </w:tc>
      </w:tr>
    </w:tbl>
    <w:p>
      <w:pPr>
        <w:pStyle w:val="TextBody"/>
        <w:bidi w:val="0"/>
        <w:spacing w:before="240" w:after="0"/>
        <w:jc w:val="left"/>
        <w:rPr>
          <w:rFonts w:ascii="Times New Roman" w:hAnsi="Times New Roman"/>
          <w:sz w:val="20"/>
        </w:rPr>
      </w:pPr>
      <w:r>
        <w:rPr>
          <w:rFonts w:ascii="Times New Roman" w:hAnsi="Times New Roman"/>
          <w:sz w:val="20"/>
        </w:rPr>
        <w:t>WATERTOWN, Mass., August 6, 2026 (GLOBE NEWSWIRE) — </w:t>
      </w:r>
      <w:r>
        <w:rPr>
          <w:rFonts w:ascii="Times New Roman" w:hAnsi="Times New Roman"/>
          <w:sz w:val="20"/>
          <w:u w:val="single"/>
        </w:rPr>
        <w:t>Tectonic Therapeutic, Inc.</w:t>
      </w:r>
      <w:r>
        <w:rPr>
          <w:rFonts w:ascii="Times New Roman" w:hAnsi="Times New Roman"/>
          <w:sz w:val="20"/>
        </w:rPr>
        <w:t xml:space="preserve"> (NASDAQ: TECX) (“Tectonic” or the “Company”), a clinical stage biotechnology company focused on the discovery and development of therapeutic proteins and antibodies that modulate the activity of G-protein coupled receptors (GPCRs), today announced financial results for the second quarter ended June 30, 2026, and provided an overview of recent business highlights. </w:t>
      </w:r>
    </w:p>
    <w:p>
      <w:pPr>
        <w:pStyle w:val="TextBody"/>
        <w:bidi w:val="0"/>
        <w:spacing w:before="240" w:after="0"/>
        <w:jc w:val="left"/>
        <w:rPr/>
      </w:pPr>
      <w:r>
        <w:rPr/>
        <w:t>“</w:t>
      </w:r>
      <w:r>
        <w:rPr>
          <w:rFonts w:ascii="Times New Roman" w:hAnsi="Times New Roman"/>
          <w:sz w:val="20"/>
        </w:rPr>
        <w:t xml:space="preserve">In the second quarter, we completed enrollment in our global APEX Phase 2 trial in PH-HFpEF, a critical milestone for TX45, and we look forward to topline results in early Q1 2027,” said Alise Reicin, M.D., President and Chief Executive Officer of Tectonic Therapeutic. “We also completed dosing of the single dose cohorts in the TX2100 Phase 1a clinical trial in healthy volunteers. Subject to favorable safety, tolerability and pharmacokinetic results, we plan to advance TX2100 into a Phase 1b trial in patients with hematologic-support dependent HHT and a Phase 2 trial in moderate to severe HHT patients, bringing us one step closer to a first-in-class therapy for a disease with no approved treatments.”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Completed Enrollment of TX45 APEX Phase 2 Clinical Trial in PH-HFpEF Patients:</w:t>
            </w:r>
            <w:r>
              <w:rPr>
                <w:rFonts w:ascii="Times New Roman" w:hAnsi="Times New Roman"/>
                <w:sz w:val="20"/>
              </w:rPr>
              <w:t xml:space="preserve"> In June 2026, the Company completed enrollment for the APEX trial, a global, randomized, placebo-controlled 24-week Phase 2 clinical trial evaluating the safety and efficacy of TX45 in patients with PH-HFpEF. In July 2026, the Independent Data Monitoring Committee (“IDMC”) met to review unblinded safety and efficacy data from the TX45 APEX Phase 2 clinical trial, including approximately 80% of the expected patient exposure. The IDMC recommended the continuation of the trial without modification. The trial was designed to include an enriched population of a more severe disease subtype of combined pre- and post-capillary pulmonary hypertension (“CpcPH”) patients with a pulmonary vascular resistance (“PVR”)</w:t>
            </w:r>
            <w:r>
              <w:rPr>
                <w:rFonts w:ascii="Times New Roman" w:hAnsi="Times New Roman"/>
                <w:sz w:val="20"/>
                <w:u w:val="single"/>
              </w:rPr>
              <w:t>&gt;</w:t>
            </w:r>
            <w:r>
              <w:rPr>
                <w:rFonts w:ascii="Times New Roman" w:hAnsi="Times New Roman"/>
                <w:sz w:val="20"/>
              </w:rPr>
              <w:t>3 Wood Units (“WU”) at baseline. The APEX Phase 2 clinical trial enrolled a total of 191 patients across 14 countries of which 137 patients were enrolled with CpcPH and PVR</w:t>
            </w:r>
            <w:r>
              <w:rPr>
                <w:rFonts w:ascii="Times New Roman" w:hAnsi="Times New Roman"/>
                <w:sz w:val="20"/>
                <w:u w:val="single"/>
              </w:rPr>
              <w:t>&gt;</w:t>
            </w:r>
            <w:r>
              <w:rPr>
                <w:rFonts w:ascii="Times New Roman" w:hAnsi="Times New Roman"/>
                <w:sz w:val="20"/>
              </w:rPr>
              <w:t>3 WU at baseline, consistent with the goal for this patient population to represent approximately 70% of the overall patients enrolled in APEX. The mean baseline PVR in the overall patient population and the subset of patients with CpcPH and PVR</w:t>
            </w:r>
            <w:r>
              <w:rPr>
                <w:rFonts w:ascii="Times New Roman" w:hAnsi="Times New Roman"/>
                <w:sz w:val="20"/>
                <w:u w:val="single"/>
              </w:rPr>
              <w:t>&gt;</w:t>
            </w:r>
            <w:r>
              <w:rPr>
                <w:rFonts w:ascii="Times New Roman" w:hAnsi="Times New Roman"/>
                <w:sz w:val="20"/>
              </w:rPr>
              <w:t xml:space="preserve">3 WU was 4.2 WU¹ and 5.2 WU¹, respectively.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Completed Dosing of Single Dose Cohorts in Phase 1a Clinical Trial of TX2100 in Healthy Volunteers: </w:t>
            </w:r>
            <w:r>
              <w:rPr>
                <w:rFonts w:ascii="Times New Roman" w:hAnsi="Times New Roman"/>
                <w:sz w:val="20"/>
              </w:rPr>
              <w:t xml:space="preserve">In July 2026, the Company completed dosing of the six single dose cohorts in the Phase 1a clinical trial of TX2100 in healthy volunteers. The randomized, placebo-controlled, double-blind, single ascending-dose trial is intended to characterize safety and tolerability, with pharmacokinetics assessed as a secondary endpoint. TX2100 is a VHH-Fc antagonist of the APJ (apelin) receptor, a GPCR involved in pro-angiogenic signaling, and is being developed as a potential treatment for Hereditary Hemorrhagic Telangiectasia (HHT).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Upcoming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TX2100 Phase 1a Topline Results Expected by End of Q3 2026 with Phase 2 Planned in Early 2027: </w:t>
            </w:r>
            <w:r>
              <w:rPr>
                <w:rFonts w:ascii="Times New Roman" w:hAnsi="Times New Roman"/>
                <w:sz w:val="20"/>
              </w:rPr>
              <w:t xml:space="preserve">The Company expects to report topline results for the TX2100 Phase 1a clinical trial in healthy volunteers by the end of Q3 2026, with detailed data planned to be subsequently presented at a scientific meeting. Subject to favorable safety, tolerability and pharmacokinetic results, Tectonic plans to advance TX2100 into an open-label Phase 1b clinical trial in patients with hematologic-support dependent HHT and a placebo-controlled, Phase 2 clinical trial in moderate-to-severe HHT patients, with endpoints expected to include epistaxis, hemoglobin, hematologic support, and other endpoints relevant to HHT. Phase 1b and Phase 2 trials are planned to run in parallel, with the Phase 2 trial anticipated to begin in early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TX45 APEX Phase 2 Trial Ongoing with Topline Results Expected Early Q1 2027: </w:t>
            </w:r>
            <w:r>
              <w:rPr>
                <w:rFonts w:ascii="Times New Roman" w:hAnsi="Times New Roman"/>
                <w:sz w:val="20"/>
              </w:rPr>
              <w:t xml:space="preserve">The global, randomized, placebo-controlled 24-week APEX Phase 2 trial is ongoing, evaluating subcutaneous TX45 in patients with PH-HFpEF, including an enriched population with combined pre- and post-capillary pulmonary hypertension (CpcPH). The primary endpoint is change in pulmonary vascular resistance (PVR) from baseline in the CpcPH subgroup (PVR ≥3 Wood Units). APEX patient enrollment is complete with topline results expected early Q1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Overview of Financial and Operating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As of June 30, 2026, cash and cash equivalents were $227.1 million, compared to $236.9 million as of March 31, 2026. Tectonic anticipates that, based on current operating assumptions, its current cash and cash equivalents will provide a cash runway into Q1 2029, including through the Phase 2 topline readouts of TX45 in PH-HFpEF and PH-ILD, and through significant clinical milestones in the TX2100 development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Research and Development Expenses:</w:t>
            </w:r>
            <w:r>
              <w:rPr>
                <w:rFonts w:ascii="Times New Roman" w:hAnsi="Times New Roman"/>
                <w:sz w:val="20"/>
              </w:rPr>
              <w:t xml:space="preserve"> Research and development expenses were $18.0 million for the three months ended June 30, 2026, as compared to $17.2 million for the three months ended June 30, 2025. The increase was primarily the result of contract research and contract development and manufacturing organizations costs related to the ongoing Phase 2 clinical trials of TX45 and employee-related expenses due to an increase in non-cash, stock-based compensation expense and increase in headcount.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General and Administrative Expenses:</w:t>
            </w:r>
            <w:r>
              <w:rPr>
                <w:rFonts w:ascii="Times New Roman" w:hAnsi="Times New Roman"/>
                <w:sz w:val="20"/>
              </w:rPr>
              <w:t xml:space="preserve"> General and administrative expenses were $6.2 million for the three months ended June 30, 2026, as compared to $5.2 million for the three months ended June 30, 2025. The increase was primarily the result of higher employee-related expenses driven by higher non-cash, stock-based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For the three months ended June 30, 2026, the Company had a net loss of $22.3 million compared to a net loss of $20.0 million for the three months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¹</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Baseline characteristics are preliminary and subjective to change.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Group 2 Pulmonary Hypertension in HFpEF </w:t>
      </w:r>
    </w:p>
    <w:p>
      <w:pPr>
        <w:pStyle w:val="TextBody"/>
        <w:bidi w:val="0"/>
        <w:spacing w:before="120" w:after="0"/>
        <w:jc w:val="left"/>
        <w:rPr>
          <w:rFonts w:ascii="Times New Roman" w:hAnsi="Times New Roman"/>
          <w:sz w:val="20"/>
        </w:rPr>
      </w:pPr>
      <w:r>
        <w:rPr>
          <w:rFonts w:ascii="Times New Roman" w:hAnsi="Times New Roman"/>
          <w:sz w:val="20"/>
        </w:rPr>
        <w:t xml:space="preserve">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Group 3 Pulmonary Hypertension and PH-ILD </w:t>
      </w:r>
    </w:p>
    <w:p>
      <w:pPr>
        <w:pStyle w:val="TextBody"/>
        <w:bidi w:val="0"/>
        <w:spacing w:before="120" w:after="0"/>
        <w:jc w:val="left"/>
        <w:rPr>
          <w:rFonts w:ascii="Times New Roman" w:hAnsi="Times New Roman"/>
          <w:sz w:val="20"/>
        </w:rPr>
      </w:pPr>
      <w:r>
        <w:rPr>
          <w:rFonts w:ascii="Times New Roman" w:hAnsi="Times New Roman"/>
          <w:sz w:val="20"/>
        </w:rPr>
        <w:t xml:space="preserve">Group 3 is PH due to chronic lung disease and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 </w:t>
      </w:r>
    </w:p>
    <w:p>
      <w:pPr>
        <w:pStyle w:val="TextBody"/>
        <w:bidi w:val="0"/>
        <w:spacing w:before="360" w:after="0"/>
        <w:jc w:val="left"/>
        <w:rPr>
          <w:rFonts w:ascii="Times New Roman" w:hAnsi="Times New Roman"/>
          <w:b/>
          <w:sz w:val="20"/>
        </w:rPr>
      </w:pPr>
      <w:r>
        <w:rPr>
          <w:rFonts w:ascii="Times New Roman" w:hAnsi="Times New Roman"/>
          <w:b/>
          <w:sz w:val="20"/>
        </w:rPr>
        <w:t xml:space="preserve">About TX45, a long-acting Fc-relaxin fusion protein </w:t>
      </w:r>
    </w:p>
    <w:p>
      <w:pPr>
        <w:pStyle w:val="TextBody"/>
        <w:bidi w:val="0"/>
        <w:spacing w:before="120" w:after="0"/>
        <w:jc w:val="left"/>
        <w:rPr>
          <w:rFonts w:ascii="Times New Roman" w:hAnsi="Times New Roman"/>
          <w:sz w:val="20"/>
        </w:rPr>
      </w:pPr>
      <w:r>
        <w:rPr>
          <w:rFonts w:ascii="Times New Roman" w:hAnsi="Times New Roman"/>
          <w:sz w:val="20"/>
        </w:rPr>
        <w:t xml:space="preserve">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w:t>
      </w:r>
    </w:p>
    <w:p>
      <w:pPr>
        <w:pStyle w:val="TextBody"/>
        <w:bidi w:val="0"/>
        <w:spacing w:before="360" w:after="0"/>
        <w:jc w:val="left"/>
        <w:rPr>
          <w:rFonts w:ascii="Times New Roman" w:hAnsi="Times New Roman"/>
          <w:b/>
          <w:sz w:val="20"/>
        </w:rPr>
      </w:pPr>
      <w:r>
        <w:rPr>
          <w:rFonts w:ascii="Times New Roman" w:hAnsi="Times New Roman"/>
          <w:b/>
          <w:sz w:val="20"/>
        </w:rPr>
        <w:t xml:space="preserve">About Hereditary Hemorrhagic Telangiectasia (HHT) </w:t>
      </w:r>
    </w:p>
    <w:p>
      <w:pPr>
        <w:pStyle w:val="TextBody"/>
        <w:bidi w:val="0"/>
        <w:spacing w:before="120" w:after="0"/>
        <w:jc w:val="left"/>
        <w:rPr>
          <w:rFonts w:ascii="Times New Roman" w:hAnsi="Times New Roman"/>
          <w:sz w:val="20"/>
        </w:rPr>
      </w:pPr>
      <w:r>
        <w:rPr>
          <w:rFonts w:ascii="Times New Roman" w:hAnsi="Times New Roman"/>
          <w:sz w:val="20"/>
        </w:rPr>
        <w:t xml:space="preserve">HHT is a rare, inherited vascular disorder affecting an estimated 75,000 people in the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HHT is the second most common inherited bleeding disorder and a disease for which there are currently no approved therapies. It is characterized by fragile, abnormal blood vessels that lead to recurrent bleeding, which can reduce quality of life, result in emergency room visits and hospitalizations, as well as chronic anemia requiring frequent iron infusions and/or blood transfusions. Many patients with HHT also develop arteriovenous malformations (AVMs) in vital organs such as the lungs, brain, and liver that, if left untreated, are at risk of rupturing and can result in serious and potentially life-threatening complications including lung or brain hemorrhage, stroke, heart failure, or death. Despite being a rare disease and the second most common inherited bleeding disorder, there are currently no approved therapies.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TX2100, a VHH-Fc fusion antagonist antibody </w:t>
      </w:r>
    </w:p>
    <w:p>
      <w:pPr>
        <w:pStyle w:val="TextBody"/>
        <w:bidi w:val="0"/>
        <w:spacing w:before="120" w:after="0"/>
        <w:jc w:val="left"/>
        <w:rPr>
          <w:rFonts w:ascii="Times New Roman" w:hAnsi="Times New Roman"/>
          <w:sz w:val="20"/>
        </w:rPr>
      </w:pPr>
      <w:r>
        <w:rPr>
          <w:rFonts w:ascii="Times New Roman" w:hAnsi="Times New Roman"/>
          <w:sz w:val="20"/>
        </w:rPr>
        <w:t xml:space="preserve">TX2100 is a VHH-Fc fusion antagonist antibody that binds to the APJ receptor (also known as the apelin receptor; APLNR), a GPCR that mediates signaling by the pro-angiogenic peptide hormone apelin. APJ represents a differentiated approach for the potential treatment of HHT. APJ is a selective anti-angiogenic target that is primarily expressed in endothelial cells and is generally quiescent under normal physiological conditions, but is upregulated during pathologic angiogenesis, including in HHT preclinical models. TX2100 is designed as a selective APJ antagonist intended to inhibit disease-associated angiogenic signaling with the goal of providing a more favorable safety profile compared to less selective anti-angiogenic approaches. Anti-angiogenic agents have demonstrated activity in HHT preclinical models and in patients, and APJ antagonism has shown activity in multiple HHT preclinical models, supporting development of TX2100 for this indication.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Tectonic </w:t>
      </w:r>
    </w:p>
    <w:p>
      <w:pPr>
        <w:pStyle w:val="TextBody"/>
        <w:bidi w:val="0"/>
        <w:spacing w:before="120" w:after="0"/>
        <w:jc w:val="left"/>
        <w:rPr>
          <w:rFonts w:ascii="Times New Roman" w:hAnsi="Times New Roman"/>
          <w:sz w:val="20"/>
        </w:rPr>
      </w:pPr>
      <w:r>
        <w:rPr>
          <w:rFonts w:ascii="Times New Roman" w:hAnsi="Times New Roman"/>
          <w:sz w:val="20"/>
          <w:u w:val="single"/>
        </w:rPr>
        <w:t>Tectonic Therapeutic</w:t>
      </w:r>
      <w:r>
        <w:rPr>
          <w:rFonts w:ascii="Times New Roman" w:hAnsi="Times New Roman"/>
          <w:sz w:val="20"/>
        </w:rPr>
        <w:t xml:space="preserve">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hAnsi="Times New Roman"/>
          <w:sz w:val="20"/>
          <w:u w:val="single"/>
        </w:rPr>
        <w:t>https://tectonictx.com/</w:t>
      </w:r>
      <w:r>
        <w:rPr>
          <w:rFonts w:ascii="Times New Roman" w:hAnsi="Times New Roman"/>
          <w:sz w:val="20"/>
        </w:rPr>
        <w:t xml:space="preserve">and follow @TectonicTx on X (formerly Twitter) and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2 clinical trials for its lead product candidate, TX45, in Group 2 PH-HFpEF and in Group 3 PH-ILD and the ongoing Phase 1 clinical trial for TX2100; and the Company’s expected cash runway. These forward-looking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for the quarter ended June 30,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sz w:val="20"/>
          <w:u w:val="single"/>
        </w:rPr>
        <w:t>Investors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p>
    <w:p>
      <w:pPr>
        <w:pStyle w:val="TextBody"/>
        <w:bidi w:val="0"/>
        <w:spacing w:before="240" w:after="0"/>
        <w:jc w:val="left"/>
        <w:rPr>
          <w:rFonts w:ascii="Times New Roman" w:hAnsi="Times New Roman"/>
          <w:sz w:val="20"/>
        </w:rPr>
      </w:pPr>
      <w:r>
        <w:rPr>
          <w:rFonts w:ascii="Times New Roman" w:hAnsi="Times New Roman"/>
          <w:sz w:val="20"/>
          <w:u w:val="single"/>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Kathryn Morris </w:t>
      </w:r>
    </w:p>
    <w:p>
      <w:pPr>
        <w:pStyle w:val="TextBody"/>
        <w:bidi w:val="0"/>
        <w:spacing w:before="0" w:after="0"/>
        <w:jc w:val="left"/>
        <w:rPr>
          <w:rFonts w:ascii="Times New Roman" w:hAnsi="Times New Roman"/>
          <w:sz w:val="20"/>
        </w:rPr>
      </w:pPr>
      <w:r>
        <w:rPr>
          <w:rFonts w:ascii="Times New Roman" w:hAnsi="Times New Roman"/>
          <w:sz w:val="20"/>
        </w:rPr>
        <w:t xml:space="preserve">The Yates Network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kathryn@theyatesnetwork.com </w:t>
      </w:r>
    </w:p>
    <w:p>
      <w:pPr>
        <w:pStyle w:val="TextBody"/>
        <w:bidi w:val="0"/>
        <w:spacing w:before="0" w:after="0"/>
        <w:jc w:val="left"/>
        <w:rPr>
          <w:rFonts w:ascii="Times New Roman" w:hAnsi="Times New Roman"/>
          <w:sz w:val="20"/>
        </w:rPr>
      </w:pPr>
      <w:r>
        <w:rPr>
          <w:rFonts w:ascii="Times New Roman" w:hAnsi="Times New Roman"/>
          <w:sz w:val="20"/>
        </w:rPr>
        <w:t xml:space="preserve">(914) 204-6412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2"/>
        <w:gridCol w:w="263"/>
        <w:gridCol w:w="140"/>
        <w:gridCol w:w="1105"/>
        <w:gridCol w:w="155"/>
        <w:gridCol w:w="212"/>
        <w:gridCol w:w="140"/>
        <w:gridCol w:w="1105"/>
        <w:gridCol w:w="155"/>
        <w:gridCol w:w="212"/>
        <w:gridCol w:w="140"/>
        <w:gridCol w:w="1105"/>
        <w:gridCol w:w="155"/>
        <w:gridCol w:w="212"/>
        <w:gridCol w:w="140"/>
        <w:gridCol w:w="1105"/>
        <w:gridCol w:w="159"/>
      </w:tblGrid>
      <w:tr>
        <w:trPr/>
        <w:tc>
          <w:tcPr>
            <w:tcW w:w="370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18,048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17,185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38,919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30,221</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6,170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5,147</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12,600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10,409</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24,218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22,332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51,519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40,630</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(24,218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(22,332</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(51,519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(40,630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2,021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3,389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4,202</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5,833</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(37</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2,010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3,324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4,070</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5,716</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(22,208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(19,008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(47,449</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(34,914</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(976</w:t>
            </w:r>
          </w:p>
        </w:tc>
        <w:tc>
          <w:tcPr>
            <w:tcW w:w="159"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(22,285</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(19,984</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(47,526</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(35,890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(22,285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(20,035</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(47,489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(35,948</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(2.00</w:t>
            </w:r>
          </w:p>
        </w:tc>
        <w:tc>
          <w:tcPr>
            <w:tcW w:w="159"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18,964,008</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18,680,042</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18,867,044</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17,923,056</w:t>
            </w:r>
          </w:p>
        </w:tc>
        <w:tc>
          <w:tcPr>
            <w:tcW w:w="159"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Select Condensed Consolidated Balance Sheet Data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32"/>
        <w:gridCol w:w="413"/>
        <w:gridCol w:w="210"/>
        <w:gridCol w:w="1237"/>
        <w:gridCol w:w="60"/>
        <w:gridCol w:w="413"/>
        <w:gridCol w:w="301"/>
        <w:gridCol w:w="1676"/>
        <w:gridCol w:w="63"/>
      </w:tblGrid>
      <w:tr>
        <w:trPr/>
        <w:tc>
          <w:tcPr>
            <w:tcW w:w="5832"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32"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5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1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227,068</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253,798</w:t>
            </w:r>
          </w:p>
        </w:tc>
        <w:tc>
          <w:tcPr>
            <w:tcW w:w="63" w:type="dxa"/>
            <w:tcBorders/>
            <w:shd w:fill="CCEEFF" w:val="clear"/>
            <w:vAlign w:val="bottom"/>
          </w:tcPr>
          <w:p>
            <w:pPr>
              <w:pStyle w:val="TableContents"/>
              <w:bidi w:val="0"/>
              <w:spacing w:before="0" w:after="283"/>
              <w:jc w:val="left"/>
              <w:rPr/>
            </w:pPr>
            <w:r>
              <w:rPr/>
              <w:t> </w:t>
            </w:r>
          </w:p>
        </w:tc>
      </w:tr>
      <w:tr>
        <w:trPr/>
        <w:tc>
          <w:tcPr>
            <w:tcW w:w="5832"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w:t>
            </w:r>
          </w:p>
        </w:tc>
        <w:tc>
          <w:tcPr>
            <w:tcW w:w="4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220,729</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247,693</w:t>
            </w:r>
          </w:p>
        </w:tc>
        <w:tc>
          <w:tcPr>
            <w:tcW w:w="63" w:type="dxa"/>
            <w:tcBorders/>
            <w:vAlign w:val="bottom"/>
          </w:tcPr>
          <w:p>
            <w:pPr>
              <w:pStyle w:val="TableContents"/>
              <w:bidi w:val="0"/>
              <w:spacing w:before="0" w:after="283"/>
              <w:jc w:val="left"/>
              <w:rPr/>
            </w:pPr>
            <w:r>
              <w:rPr/>
              <w:t> </w:t>
            </w:r>
          </w:p>
        </w:tc>
      </w:tr>
      <w:tr>
        <w:trPr/>
        <w:tc>
          <w:tcPr>
            <w:tcW w:w="5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237,034</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261,038</w:t>
            </w:r>
          </w:p>
        </w:tc>
        <w:tc>
          <w:tcPr>
            <w:tcW w:w="63" w:type="dxa"/>
            <w:tcBorders/>
            <w:shd w:fill="CCEEFF" w:val="clear"/>
            <w:vAlign w:val="bottom"/>
          </w:tcPr>
          <w:p>
            <w:pPr>
              <w:pStyle w:val="TableContents"/>
              <w:bidi w:val="0"/>
              <w:spacing w:before="0" w:after="283"/>
              <w:jc w:val="left"/>
              <w:rPr/>
            </w:pPr>
            <w:r>
              <w:rPr/>
              <w:t> </w:t>
            </w:r>
          </w:p>
        </w:tc>
      </w:tr>
      <w:tr>
        <w:trPr/>
        <w:tc>
          <w:tcPr>
            <w:tcW w:w="583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223,846</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251,329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is defined as current assets less current liabilities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3100</Words>
  <Characters>17619</Characters>
  <CharactersWithSpaces>21000</CharactersWithSpaces>
  <Paragraphs>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