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7" w:lineRule="exact"/>
        <w:rPr>
          <w:sz w:val="24"/>
          <w:szCs w:val="24"/>
          <w:color w:val="auto"/>
        </w:rPr>
      </w:pPr>
    </w:p>
    <w:p>
      <w:pPr>
        <w:ind w:left="340"/>
        <w:spacing w:after="0" w:line="25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-226695</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2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5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4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3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3"/>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5231130</wp:posOffset>
            </wp:positionH>
            <wp:positionV relativeFrom="paragraph">
              <wp:posOffset>-612140</wp:posOffset>
            </wp:positionV>
            <wp:extent cx="57150" cy="6254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5475"/>
                    </a:xfrm>
                    <a:prstGeom prst="rect">
                      <a:avLst/>
                    </a:prstGeom>
                    <a:noFill/>
                  </pic:spPr>
                </pic:pic>
              </a:graphicData>
            </a:graphic>
          </wp:anchor>
        </w:drawing>
        <w:drawing>
          <wp:anchor simplePos="0" relativeHeight="251657728" behindDoc="1" locked="0" layoutInCell="0" allowOverlap="1">
            <wp:simplePos x="0" y="0"/>
            <wp:positionH relativeFrom="column">
              <wp:posOffset>3942715</wp:posOffset>
            </wp:positionH>
            <wp:positionV relativeFrom="paragraph">
              <wp:posOffset>-612140</wp:posOffset>
            </wp:positionV>
            <wp:extent cx="57150" cy="6254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547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20320</wp:posOffset>
            </wp:positionV>
            <wp:extent cx="7047865" cy="64281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865" cy="6428105"/>
                    </a:xfrm>
                    <a:prstGeom prst="rect">
                      <a:avLst/>
                    </a:prstGeom>
                    <a:noFill/>
                  </pic:spPr>
                </pic:pic>
              </a:graphicData>
            </a:graphic>
          </wp:anchor>
        </w:drawing>
      </w:r>
    </w:p>
    <w:p>
      <w:pPr>
        <w:spacing w:after="0" w:line="92" w:lineRule="exact"/>
        <w:rPr>
          <w:sz w:val="24"/>
          <w:szCs w:val="24"/>
          <w:color w:val="auto"/>
        </w:rPr>
      </w:pPr>
    </w:p>
    <w:p>
      <w:pPr>
        <w:sectPr>
          <w:pgSz w:w="11900" w:h="16838" w:orient="portrait"/>
          <w:cols w:equalWidth="0" w:num="2">
            <w:col w:w="2200" w:space="420"/>
            <w:col w:w="8460"/>
          </w:cols>
          <w:pgMar w:left="460" w:top="215" w:right="359" w:bottom="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McNamara Peter</w:t>
        </w:r>
      </w:hyperlink>
    </w:p>
    <w:p>
      <w:pPr>
        <w:spacing w:after="0" w:line="290" w:lineRule="exact"/>
        <w:rPr>
          <w:sz w:val="24"/>
          <w:szCs w:val="24"/>
          <w:color w:val="auto"/>
        </w:rPr>
      </w:pPr>
    </w:p>
    <w:tbl>
      <w:tblPr>
        <w:tblLayout w:type="fixed"/>
        <w:tblInd w:w="80" w:type="dxa"/>
        <w:tblCellMar>
          <w:top w:w="0" w:type="dxa"/>
          <w:left w:w="0" w:type="dxa"/>
          <w:bottom w:w="0" w:type="dxa"/>
          <w:right w:w="0" w:type="dxa"/>
        </w:tblCellMar>
      </w:tblPr>
      <w:tr>
        <w:trPr>
          <w:trHeight w:val="166"/>
        </w:trPr>
        <w:tc>
          <w:tcPr>
            <w:tcW w:w="1160" w:type="dxa"/>
            <w:vAlign w:val="bottom"/>
          </w:tcPr>
          <w:p>
            <w:pPr>
              <w:ind w:left="40"/>
              <w:spacing w:after="0"/>
              <w:rPr>
                <w:sz w:val="20"/>
                <w:szCs w:val="20"/>
                <w:color w:val="auto"/>
              </w:rPr>
            </w:pPr>
            <w:r>
              <w:rPr>
                <w:rFonts w:ascii="Arial" w:cs="Arial" w:eastAsia="Arial" w:hAnsi="Arial"/>
                <w:sz w:val="13"/>
                <w:szCs w:val="13"/>
                <w:color w:val="auto"/>
              </w:rPr>
              <w:t>(Last)</w:t>
            </w:r>
          </w:p>
        </w:tc>
        <w:tc>
          <w:tcPr>
            <w:tcW w:w="1220" w:type="dxa"/>
            <w:vAlign w:val="bottom"/>
          </w:tcPr>
          <w:p>
            <w:pPr>
              <w:ind w:left="100"/>
              <w:spacing w:after="0"/>
              <w:rPr>
                <w:sz w:val="20"/>
                <w:szCs w:val="20"/>
                <w:color w:val="auto"/>
              </w:rPr>
            </w:pPr>
            <w:r>
              <w:rPr>
                <w:rFonts w:ascii="Arial" w:cs="Arial" w:eastAsia="Arial" w:hAnsi="Arial"/>
                <w:sz w:val="13"/>
                <w:szCs w:val="13"/>
                <w:color w:val="auto"/>
              </w:rPr>
              <w:t>(First)</w:t>
            </w:r>
          </w:p>
        </w:tc>
        <w:tc>
          <w:tcPr>
            <w:tcW w:w="560" w:type="dxa"/>
            <w:vAlign w:val="bottom"/>
          </w:tcPr>
          <w:p>
            <w:pPr>
              <w:ind w:left="100"/>
              <w:spacing w:after="0"/>
              <w:rPr>
                <w:sz w:val="20"/>
                <w:szCs w:val="20"/>
                <w:color w:val="auto"/>
              </w:rPr>
            </w:pPr>
            <w:r>
              <w:rPr>
                <w:rFonts w:ascii="Arial" w:cs="Arial" w:eastAsia="Arial" w:hAnsi="Arial"/>
                <w:sz w:val="13"/>
                <w:szCs w:val="13"/>
                <w:color w:val="auto"/>
                <w:w w:val="93"/>
              </w:rPr>
              <w:t>(Middle)</w:t>
            </w:r>
          </w:p>
        </w:tc>
      </w:tr>
      <w:tr>
        <w:trPr>
          <w:trHeight w:val="262"/>
        </w:trPr>
        <w:tc>
          <w:tcPr>
            <w:tcW w:w="29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0000FF"/>
              </w:rPr>
              <w:t>C/O TECTONIC THERAPEUTIC, INC.</w:t>
            </w:r>
          </w:p>
        </w:tc>
      </w:tr>
      <w:tr>
        <w:trPr>
          <w:trHeight w:val="252"/>
        </w:trPr>
        <w:tc>
          <w:tcPr>
            <w:tcW w:w="23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490 ARSENAL WAY, SUITE 210</w:t>
            </w:r>
          </w:p>
        </w:tc>
        <w:tc>
          <w:tcPr>
            <w:tcW w:w="560" w:type="dxa"/>
            <w:vAlign w:val="bottom"/>
          </w:tcPr>
          <w:p>
            <w:pPr>
              <w:spacing w:after="0"/>
              <w:rPr>
                <w:sz w:val="21"/>
                <w:szCs w:val="21"/>
                <w:color w:val="auto"/>
              </w:rPr>
            </w:pPr>
          </w:p>
        </w:tc>
      </w:tr>
      <w:tr>
        <w:trPr>
          <w:trHeight w:val="419"/>
        </w:trPr>
        <w:tc>
          <w:tcPr>
            <w:tcW w:w="1160" w:type="dxa"/>
            <w:vAlign w:val="bottom"/>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24"/>
        </w:trPr>
        <w:tc>
          <w:tcPr>
            <w:tcW w:w="116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WATERTOWN</w:t>
            </w:r>
          </w:p>
        </w:tc>
        <w:tc>
          <w:tcPr>
            <w:tcW w:w="12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MA</w:t>
            </w:r>
          </w:p>
        </w:tc>
        <w:tc>
          <w:tcPr>
            <w:tcW w:w="56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02472</w:t>
            </w:r>
          </w:p>
        </w:tc>
      </w:tr>
      <w:tr>
        <w:trPr>
          <w:trHeight w:val="456"/>
        </w:trPr>
        <w:tc>
          <w:tcPr>
            <w:tcW w:w="1160" w:type="dxa"/>
            <w:vAlign w:val="bottom"/>
          </w:tcPr>
          <w:p>
            <w:pPr>
              <w:ind w:left="40"/>
              <w:spacing w:after="0"/>
              <w:rPr>
                <w:sz w:val="20"/>
                <w:szCs w:val="20"/>
                <w:color w:val="auto"/>
              </w:rPr>
            </w:pPr>
            <w:r>
              <w:rPr>
                <w:rFonts w:ascii="Arial" w:cs="Arial" w:eastAsia="Arial" w:hAnsi="Arial"/>
                <w:sz w:val="13"/>
                <w:szCs w:val="13"/>
                <w:color w:val="auto"/>
              </w:rPr>
              <w:t>(City)</w:t>
            </w:r>
          </w:p>
        </w:tc>
        <w:tc>
          <w:tcPr>
            <w:tcW w:w="1220" w:type="dxa"/>
            <w:vAlign w:val="bottom"/>
          </w:tcPr>
          <w:p>
            <w:pPr>
              <w:ind w:left="100"/>
              <w:spacing w:after="0"/>
              <w:rPr>
                <w:sz w:val="20"/>
                <w:szCs w:val="20"/>
                <w:color w:val="auto"/>
              </w:rPr>
            </w:pPr>
            <w:r>
              <w:rPr>
                <w:rFonts w:ascii="Arial" w:cs="Arial" w:eastAsia="Arial" w:hAnsi="Arial"/>
                <w:sz w:val="13"/>
                <w:szCs w:val="13"/>
                <w:color w:val="auto"/>
              </w:rPr>
              <w:t>(State)</w:t>
            </w:r>
          </w:p>
        </w:tc>
        <w:tc>
          <w:tcPr>
            <w:tcW w:w="560" w:type="dxa"/>
            <w:vAlign w:val="bottom"/>
          </w:tcPr>
          <w:p>
            <w:pPr>
              <w:ind w:left="1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3780" w:type="dxa"/>
            <w:vAlign w:val="bottom"/>
            <w:gridSpan w:val="3"/>
          </w:tcPr>
          <w:p>
            <w:pPr>
              <w:spacing w:after="0" w:line="202"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Tectonic Therapeutic,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TECX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2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1"/>
        </w:trPr>
        <w:tc>
          <w:tcPr>
            <w:tcW w:w="60" w:type="dxa"/>
            <w:vAlign w:val="bottom"/>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1980" w:type="dxa"/>
            <w:vAlign w:val="bottom"/>
            <w:tcBorders>
              <w:top w:val="single" w:sz="8" w:color="0000EE"/>
            </w:tcBorders>
          </w:tcPr>
          <w:p>
            <w:pPr>
              <w:spacing w:after="0"/>
              <w:rPr>
                <w:sz w:val="12"/>
                <w:szCs w:val="12"/>
                <w:color w:val="auto"/>
              </w:rPr>
            </w:pPr>
          </w:p>
        </w:tc>
        <w:tc>
          <w:tcPr>
            <w:tcW w:w="1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tcPr>
          <w:p>
            <w:pPr>
              <w:ind w:left="400"/>
              <w:spacing w:after="0" w:line="141" w:lineRule="exact"/>
              <w:rPr>
                <w:sz w:val="20"/>
                <w:szCs w:val="20"/>
                <w:color w:val="auto"/>
              </w:rPr>
            </w:pPr>
            <w:r>
              <w:rPr>
                <w:rFonts w:ascii="Arial" w:cs="Arial" w:eastAsia="Arial" w:hAnsi="Arial"/>
                <w:sz w:val="13"/>
                <w:szCs w:val="13"/>
                <w:color w:val="auto"/>
              </w:rPr>
              <w:t>Director</w:t>
            </w:r>
          </w:p>
        </w:tc>
        <w:tc>
          <w:tcPr>
            <w:tcW w:w="1460" w:type="dxa"/>
            <w:vAlign w:val="bottom"/>
          </w:tcPr>
          <w:p>
            <w:pPr>
              <w:ind w:left="340"/>
              <w:spacing w:after="0" w:line="141"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3"/>
        </w:trPr>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16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9"/>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640" w:type="dxa"/>
            <w:vAlign w:val="bottom"/>
          </w:tcPr>
          <w:p>
            <w:pPr>
              <w:ind w:left="400"/>
              <w:spacing w:after="0" w:line="119"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1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4"/>
        </w:trPr>
        <w:tc>
          <w:tcPr>
            <w:tcW w:w="218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06/20/2024</w:t>
            </w: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00" w:type="dxa"/>
            <w:vAlign w:val="bottom"/>
            <w:gridSpan w:val="2"/>
            <w:vMerge w:val="restart"/>
          </w:tcPr>
          <w:p>
            <w:pPr>
              <w:ind w:left="680"/>
              <w:spacing w:after="0"/>
              <w:rPr>
                <w:sz w:val="20"/>
                <w:szCs w:val="20"/>
                <w:color w:val="auto"/>
              </w:rPr>
            </w:pPr>
            <w:r>
              <w:rPr>
                <w:rFonts w:ascii="Times New Roman" w:cs="Times New Roman" w:eastAsia="Times New Roman" w:hAnsi="Times New Roman"/>
                <w:sz w:val="16"/>
                <w:szCs w:val="16"/>
                <w:color w:val="0000FF"/>
              </w:rPr>
              <w:t>Chief Scientific Officer</w:t>
            </w:r>
          </w:p>
        </w:tc>
        <w:tc>
          <w:tcPr>
            <w:tcW w:w="0" w:type="dxa"/>
            <w:vAlign w:val="bottom"/>
          </w:tcPr>
          <w:p>
            <w:pPr>
              <w:spacing w:after="0"/>
              <w:rPr>
                <w:sz w:val="1"/>
                <w:szCs w:val="1"/>
                <w:color w:val="auto"/>
              </w:rPr>
            </w:pPr>
          </w:p>
        </w:tc>
      </w:tr>
      <w:tr>
        <w:trPr>
          <w:trHeight w:val="70"/>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98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3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980" w:type="dxa"/>
            <w:vAlign w:val="bottom"/>
            <w:tcBorders>
              <w:bottom w:val="single" w:sz="8" w:color="2C2C2C"/>
            </w:tcBorders>
          </w:tcPr>
          <w:p>
            <w:pPr>
              <w:spacing w:after="0"/>
              <w:rPr>
                <w:sz w:val="8"/>
                <w:szCs w:val="8"/>
                <w:color w:val="auto"/>
              </w:rPr>
            </w:pPr>
          </w:p>
        </w:tc>
        <w:tc>
          <w:tcPr>
            <w:tcW w:w="16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28"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3" w:lineRule="exact"/>
        <w:rPr>
          <w:sz w:val="24"/>
          <w:szCs w:val="24"/>
          <w:color w:val="auto"/>
        </w:rPr>
      </w:pPr>
    </w:p>
    <w:p>
      <w:pPr>
        <w:ind w:left="320" w:right="440"/>
        <w:spacing w:after="0" w:line="281"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120" w:space="720"/>
            <w:col w:w="7240"/>
          </w:cols>
          <w:pgMar w:left="460" w:top="215"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6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4"/>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20" w:type="dxa"/>
            <w:vAlign w:val="bottom"/>
            <w:gridSpan w:val="2"/>
          </w:tcPr>
          <w:p>
            <w:pPr>
              <w:ind w:left="86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0"/>
                <w:szCs w:val="10"/>
                <w:color w:val="auto"/>
              </w:rPr>
            </w:pP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620" w:type="dxa"/>
            <w:vAlign w:val="bottom"/>
            <w:gridSpan w:val="5"/>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8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60" w:type="dxa"/>
            <w:vAlign w:val="bottom"/>
            <w:gridSpan w:val="3"/>
          </w:tcPr>
          <w:p>
            <w:pPr>
              <w:ind w:left="86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0"/>
                <w:szCs w:val="10"/>
                <w:color w:val="auto"/>
              </w:rPr>
            </w:pPr>
          </w:p>
        </w:tc>
        <w:tc>
          <w:tcPr>
            <w:tcW w:w="52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Pr>
          <w:p>
            <w:pPr>
              <w:spacing w:after="0"/>
              <w:rPr>
                <w:sz w:val="21"/>
                <w:szCs w:val="21"/>
                <w:color w:val="auto"/>
              </w:rPr>
            </w:pPr>
          </w:p>
        </w:tc>
        <w:tc>
          <w:tcPr>
            <w:tcW w:w="1860" w:type="dxa"/>
            <w:vAlign w:val="bottom"/>
            <w:gridSpan w:val="3"/>
          </w:tcPr>
          <w:p>
            <w:pPr>
              <w:ind w:left="960"/>
              <w:spacing w:after="0"/>
              <w:rPr>
                <w:sz w:val="20"/>
                <w:szCs w:val="20"/>
                <w:color w:val="auto"/>
              </w:rPr>
            </w:pPr>
            <w:r>
              <w:rPr>
                <w:rFonts w:ascii="Times New Roman" w:cs="Times New Roman" w:eastAsia="Times New Roman" w:hAnsi="Times New Roman"/>
                <w:sz w:val="16"/>
                <w:szCs w:val="16"/>
                <w:color w:val="0000FF"/>
              </w:rPr>
              <w:t>06/20/2024</w:t>
            </w: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82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0000FF"/>
              </w:rPr>
              <w:t>10,688</w:t>
            </w:r>
          </w:p>
        </w:tc>
        <w:tc>
          <w:tcPr>
            <w:tcW w:w="520" w:type="dxa"/>
            <w:vAlign w:val="bottom"/>
          </w:tcPr>
          <w:p>
            <w:pPr>
              <w:ind w:left="320"/>
              <w:spacing w:after="0"/>
              <w:rPr>
                <w:sz w:val="20"/>
                <w:szCs w:val="20"/>
                <w:color w:val="auto"/>
              </w:rPr>
            </w:pPr>
            <w:r>
              <w:rPr>
                <w:rFonts w:ascii="Times New Roman" w:cs="Times New Roman" w:eastAsia="Times New Roman" w:hAnsi="Times New Roman"/>
                <w:sz w:val="16"/>
                <w:szCs w:val="16"/>
                <w:color w:val="0000FF"/>
              </w:rPr>
              <w:t>A</w:t>
            </w:r>
          </w:p>
        </w:tc>
        <w:tc>
          <w:tcPr>
            <w:tcW w:w="660" w:type="dxa"/>
            <w:vAlign w:val="bottom"/>
          </w:tcPr>
          <w:p>
            <w:pPr>
              <w:jc w:val="right"/>
              <w:ind w:right="93"/>
              <w:spacing w:after="0"/>
              <w:rPr>
                <w:sz w:val="20"/>
                <w:szCs w:val="20"/>
                <w:color w:val="auto"/>
              </w:rPr>
            </w:pPr>
            <w:r>
              <w:rPr>
                <w:rFonts w:ascii="Times New Roman" w:cs="Times New Roman" w:eastAsia="Times New Roman" w:hAnsi="Times New Roman"/>
                <w:sz w:val="10"/>
                <w:szCs w:val="10"/>
                <w:color w:val="008000"/>
              </w:rPr>
              <w:t>(1)</w:t>
            </w:r>
          </w:p>
        </w:tc>
        <w:tc>
          <w:tcPr>
            <w:tcW w:w="1280" w:type="dxa"/>
            <w:vAlign w:val="bottom"/>
            <w:gridSpan w:val="3"/>
          </w:tcPr>
          <w:p>
            <w:pPr>
              <w:ind w:left="420"/>
              <w:spacing w:after="0"/>
              <w:rPr>
                <w:sz w:val="20"/>
                <w:szCs w:val="20"/>
                <w:color w:val="auto"/>
              </w:rPr>
            </w:pPr>
            <w:r>
              <w:rPr>
                <w:rFonts w:ascii="Times New Roman" w:cs="Times New Roman" w:eastAsia="Times New Roman" w:hAnsi="Times New Roman"/>
                <w:sz w:val="16"/>
                <w:szCs w:val="16"/>
                <w:color w:val="0000FF"/>
              </w:rPr>
              <w:t>10,688</w:t>
            </w:r>
          </w:p>
        </w:tc>
        <w:tc>
          <w:tcPr>
            <w:tcW w:w="30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gridSpan w:val="5"/>
          </w:tcPr>
          <w:p>
            <w:pPr>
              <w:spacing w:after="0"/>
              <w:rPr>
                <w:sz w:val="8"/>
                <w:szCs w:val="8"/>
                <w:color w:val="auto"/>
              </w:rPr>
            </w:pPr>
          </w:p>
        </w:tc>
        <w:tc>
          <w:tcPr>
            <w:tcW w:w="2700" w:type="dxa"/>
            <w:vAlign w:val="bottom"/>
            <w:tcBorders>
              <w:bottom w:val="single" w:sz="8" w:color="2C2C2C"/>
            </w:tcBorders>
            <w:gridSpan w:val="6"/>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3"/>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300" w:type="dxa"/>
            <w:vAlign w:val="bottom"/>
            <w:tcBorders>
              <w:bottom w:val="single" w:sz="8" w:color="2C2C2C"/>
            </w:tcBorders>
            <w:gridSpan w:val="3"/>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0"/>
                <w:szCs w:val="10"/>
                <w:color w:val="auto"/>
              </w:rPr>
            </w:pP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1300" w:type="dxa"/>
            <w:vAlign w:val="bottom"/>
            <w:gridSpan w:val="3"/>
          </w:tcPr>
          <w:p>
            <w:pPr>
              <w:ind w:left="60"/>
              <w:spacing w:after="0"/>
              <w:rPr>
                <w:sz w:val="20"/>
                <w:szCs w:val="20"/>
                <w:color w:val="auto"/>
              </w:rPr>
            </w:pPr>
            <w:r>
              <w:rPr>
                <w:rFonts w:ascii="Arial" w:cs="Arial" w:eastAsia="Arial" w:hAnsi="Arial"/>
                <w:sz w:val="11"/>
                <w:szCs w:val="11"/>
                <w:b w:val="1"/>
                <w:bCs w:val="1"/>
                <w:color w:val="auto"/>
              </w:rPr>
              <w:t>Underlying Derivative</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0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 (Instr. 3 and</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of (D) (Instr. 3,</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4 and 5)</w:t>
            </w: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Amount or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Number of</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2.38</w:t>
            </w:r>
            <w:r>
              <w:rPr>
                <w:rFonts w:ascii="Times New Roman" w:cs="Times New Roman" w:eastAsia="Times New Roman" w:hAnsi="Times New Roman"/>
                <w:sz w:val="20"/>
                <w:szCs w:val="20"/>
                <w:color w:val="008000"/>
                <w:w w:val="98"/>
                <w:vertAlign w:val="superscript"/>
              </w:rPr>
              <w:t>(2)</w:t>
            </w: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3"/>
              </w:rPr>
              <w:t>37,959</w:t>
            </w:r>
            <w:r>
              <w:rPr>
                <w:rFonts w:ascii="Times New Roman" w:cs="Times New Roman" w:eastAsia="Times New Roman" w:hAnsi="Times New Roman"/>
                <w:sz w:val="20"/>
                <w:szCs w:val="20"/>
                <w:color w:val="008000"/>
                <w:w w:val="93"/>
                <w:vertAlign w:val="superscript"/>
              </w:rPr>
              <w:t>(2)</w:t>
            </w:r>
          </w:p>
        </w:tc>
        <w:tc>
          <w:tcPr>
            <w:tcW w:w="300" w:type="dxa"/>
            <w:vAlign w:val="bottom"/>
          </w:tcPr>
          <w:p>
            <w:pPr>
              <w:spacing w:after="0"/>
              <w:rPr>
                <w:sz w:val="12"/>
                <w:szCs w:val="12"/>
                <w:color w:val="auto"/>
              </w:rPr>
            </w:pPr>
          </w:p>
        </w:tc>
        <w:tc>
          <w:tcPr>
            <w:tcW w:w="7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(3)</w:t>
            </w:r>
          </w:p>
        </w:tc>
        <w:tc>
          <w:tcPr>
            <w:tcW w:w="700" w:type="dxa"/>
            <w:vAlign w:val="bottom"/>
          </w:tcPr>
          <w:p>
            <w:pPr>
              <w:spacing w:after="0"/>
              <w:rPr>
                <w:sz w:val="12"/>
                <w:szCs w:val="12"/>
                <w:color w:val="auto"/>
              </w:rPr>
            </w:pPr>
          </w:p>
        </w:tc>
        <w:tc>
          <w:tcPr>
            <w:tcW w:w="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7"/>
              </w:rPr>
              <w:t>37,959</w:t>
            </w:r>
            <w:r>
              <w:rPr>
                <w:rFonts w:ascii="Times New Roman" w:cs="Times New Roman" w:eastAsia="Times New Roman" w:hAnsi="Times New Roman"/>
                <w:sz w:val="20"/>
                <w:szCs w:val="20"/>
                <w:color w:val="008000"/>
                <w:w w:val="97"/>
                <w:vertAlign w:val="superscript"/>
              </w:rPr>
              <w:t>(2)</w:t>
            </w: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(2)(4)</w:t>
            </w: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06/20/2024</w:t>
            </w: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ind w:left="120"/>
              <w:spacing w:after="0" w:line="139" w:lineRule="exact"/>
              <w:rPr>
                <w:sz w:val="20"/>
                <w:szCs w:val="20"/>
                <w:color w:val="auto"/>
              </w:rPr>
            </w:pPr>
            <w:r>
              <w:rPr>
                <w:rFonts w:ascii="Times New Roman" w:cs="Times New Roman" w:eastAsia="Times New Roman" w:hAnsi="Times New Roman"/>
                <w:sz w:val="13"/>
                <w:szCs w:val="13"/>
                <w:color w:val="0000FF"/>
              </w:rPr>
              <w:t>A</w:t>
            </w:r>
          </w:p>
        </w:tc>
        <w:tc>
          <w:tcPr>
            <w:tcW w:w="6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70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06/27/2031</w:t>
            </w:r>
          </w:p>
        </w:tc>
        <w:tc>
          <w:tcPr>
            <w:tcW w:w="64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60" w:type="dxa"/>
            <w:vAlign w:val="bottom"/>
            <w:gridSpan w:val="2"/>
          </w:tcPr>
          <w:p>
            <w:pPr>
              <w:ind w:left="240"/>
              <w:spacing w:after="0" w:line="139" w:lineRule="exact"/>
              <w:rPr>
                <w:sz w:val="20"/>
                <w:szCs w:val="20"/>
                <w:color w:val="auto"/>
              </w:rPr>
            </w:pPr>
            <w:r>
              <w:rPr>
                <w:rFonts w:ascii="Times New Roman" w:cs="Times New Roman" w:eastAsia="Times New Roman" w:hAnsi="Times New Roman"/>
                <w:sz w:val="13"/>
                <w:szCs w:val="13"/>
                <w:color w:val="0000FF"/>
              </w:rPr>
              <w:t>37,959</w:t>
            </w:r>
          </w:p>
        </w:tc>
        <w:tc>
          <w:tcPr>
            <w:tcW w:w="640" w:type="dxa"/>
            <w:vAlign w:val="bottom"/>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ind w:left="40"/>
              <w:spacing w:after="0" w:line="126" w:lineRule="exact"/>
              <w:rPr>
                <w:sz w:val="20"/>
                <w:szCs w:val="20"/>
                <w:color w:val="auto"/>
              </w:rPr>
            </w:pPr>
            <w:r>
              <w:rPr>
                <w:rFonts w:ascii="Times New Roman" w:cs="Times New Roman" w:eastAsia="Times New Roman" w:hAnsi="Times New Roman"/>
                <w:sz w:val="13"/>
                <w:szCs w:val="13"/>
                <w:color w:val="0000FF"/>
              </w:rPr>
              <w:t>Stock</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2.98</w:t>
            </w:r>
            <w:r>
              <w:rPr>
                <w:rFonts w:ascii="Times New Roman" w:cs="Times New Roman" w:eastAsia="Times New Roman" w:hAnsi="Times New Roman"/>
                <w:sz w:val="20"/>
                <w:szCs w:val="20"/>
                <w:color w:val="008000"/>
                <w:w w:val="98"/>
                <w:vertAlign w:val="superscript"/>
              </w:rPr>
              <w:t>(2)</w:t>
            </w: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3"/>
              </w:rPr>
              <w:t>32,065</w:t>
            </w:r>
            <w:r>
              <w:rPr>
                <w:rFonts w:ascii="Times New Roman" w:cs="Times New Roman" w:eastAsia="Times New Roman" w:hAnsi="Times New Roman"/>
                <w:sz w:val="20"/>
                <w:szCs w:val="20"/>
                <w:color w:val="008000"/>
                <w:w w:val="93"/>
                <w:vertAlign w:val="superscript"/>
              </w:rPr>
              <w:t>(2)</w:t>
            </w:r>
          </w:p>
        </w:tc>
        <w:tc>
          <w:tcPr>
            <w:tcW w:w="300" w:type="dxa"/>
            <w:vAlign w:val="bottom"/>
          </w:tcPr>
          <w:p>
            <w:pPr>
              <w:spacing w:after="0"/>
              <w:rPr>
                <w:sz w:val="12"/>
                <w:szCs w:val="12"/>
                <w:color w:val="auto"/>
              </w:rPr>
            </w:pPr>
          </w:p>
        </w:tc>
        <w:tc>
          <w:tcPr>
            <w:tcW w:w="7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(5)</w:t>
            </w:r>
          </w:p>
        </w:tc>
        <w:tc>
          <w:tcPr>
            <w:tcW w:w="700" w:type="dxa"/>
            <w:vAlign w:val="bottom"/>
          </w:tcPr>
          <w:p>
            <w:pPr>
              <w:spacing w:after="0"/>
              <w:rPr>
                <w:sz w:val="12"/>
                <w:szCs w:val="12"/>
                <w:color w:val="auto"/>
              </w:rPr>
            </w:pPr>
          </w:p>
        </w:tc>
        <w:tc>
          <w:tcPr>
            <w:tcW w:w="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7"/>
              </w:rPr>
              <w:t>32,065</w:t>
            </w:r>
            <w:r>
              <w:rPr>
                <w:rFonts w:ascii="Times New Roman" w:cs="Times New Roman" w:eastAsia="Times New Roman" w:hAnsi="Times New Roman"/>
                <w:sz w:val="20"/>
                <w:szCs w:val="20"/>
                <w:color w:val="008000"/>
                <w:w w:val="97"/>
                <w:vertAlign w:val="superscript"/>
              </w:rPr>
              <w:t>(2)</w:t>
            </w: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(2)(6)</w:t>
            </w: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06/20/2024</w:t>
            </w: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ind w:left="120"/>
              <w:spacing w:after="0" w:line="139" w:lineRule="exact"/>
              <w:rPr>
                <w:sz w:val="20"/>
                <w:szCs w:val="20"/>
                <w:color w:val="auto"/>
              </w:rPr>
            </w:pPr>
            <w:r>
              <w:rPr>
                <w:rFonts w:ascii="Times New Roman" w:cs="Times New Roman" w:eastAsia="Times New Roman" w:hAnsi="Times New Roman"/>
                <w:sz w:val="13"/>
                <w:szCs w:val="13"/>
                <w:color w:val="0000FF"/>
              </w:rPr>
              <w:t>A</w:t>
            </w:r>
          </w:p>
        </w:tc>
        <w:tc>
          <w:tcPr>
            <w:tcW w:w="6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70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06/26/2032</w:t>
            </w:r>
          </w:p>
        </w:tc>
        <w:tc>
          <w:tcPr>
            <w:tcW w:w="64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60" w:type="dxa"/>
            <w:vAlign w:val="bottom"/>
            <w:gridSpan w:val="2"/>
          </w:tcPr>
          <w:p>
            <w:pPr>
              <w:ind w:left="240"/>
              <w:spacing w:after="0" w:line="139" w:lineRule="exact"/>
              <w:rPr>
                <w:sz w:val="20"/>
                <w:szCs w:val="20"/>
                <w:color w:val="auto"/>
              </w:rPr>
            </w:pPr>
            <w:r>
              <w:rPr>
                <w:rFonts w:ascii="Times New Roman" w:cs="Times New Roman" w:eastAsia="Times New Roman" w:hAnsi="Times New Roman"/>
                <w:sz w:val="13"/>
                <w:szCs w:val="13"/>
                <w:color w:val="0000FF"/>
              </w:rPr>
              <w:t>32,065</w:t>
            </w:r>
          </w:p>
        </w:tc>
        <w:tc>
          <w:tcPr>
            <w:tcW w:w="640" w:type="dxa"/>
            <w:vAlign w:val="bottom"/>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ind w:left="40"/>
              <w:spacing w:after="0" w:line="126" w:lineRule="exact"/>
              <w:rPr>
                <w:sz w:val="20"/>
                <w:szCs w:val="20"/>
                <w:color w:val="auto"/>
              </w:rPr>
            </w:pPr>
            <w:r>
              <w:rPr>
                <w:rFonts w:ascii="Times New Roman" w:cs="Times New Roman" w:eastAsia="Times New Roman" w:hAnsi="Times New Roman"/>
                <w:sz w:val="13"/>
                <w:szCs w:val="13"/>
                <w:color w:val="0000FF"/>
              </w:rPr>
              <w:t>Stock</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5.38</w:t>
            </w:r>
            <w:r>
              <w:rPr>
                <w:rFonts w:ascii="Times New Roman" w:cs="Times New Roman" w:eastAsia="Times New Roman" w:hAnsi="Times New Roman"/>
                <w:sz w:val="20"/>
                <w:szCs w:val="20"/>
                <w:color w:val="008000"/>
                <w:w w:val="98"/>
                <w:vertAlign w:val="superscript"/>
              </w:rPr>
              <w:t>(2)</w:t>
            </w: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3"/>
              </w:rPr>
              <w:t>18,704</w:t>
            </w:r>
            <w:r>
              <w:rPr>
                <w:rFonts w:ascii="Times New Roman" w:cs="Times New Roman" w:eastAsia="Times New Roman" w:hAnsi="Times New Roman"/>
                <w:sz w:val="20"/>
                <w:szCs w:val="20"/>
                <w:color w:val="008000"/>
                <w:w w:val="93"/>
                <w:vertAlign w:val="superscript"/>
              </w:rPr>
              <w:t>(2)</w:t>
            </w:r>
          </w:p>
        </w:tc>
        <w:tc>
          <w:tcPr>
            <w:tcW w:w="300" w:type="dxa"/>
            <w:vAlign w:val="bottom"/>
          </w:tcPr>
          <w:p>
            <w:pPr>
              <w:spacing w:after="0"/>
              <w:rPr>
                <w:sz w:val="12"/>
                <w:szCs w:val="12"/>
                <w:color w:val="auto"/>
              </w:rPr>
            </w:pPr>
          </w:p>
        </w:tc>
        <w:tc>
          <w:tcPr>
            <w:tcW w:w="7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(7)</w:t>
            </w:r>
          </w:p>
        </w:tc>
        <w:tc>
          <w:tcPr>
            <w:tcW w:w="700" w:type="dxa"/>
            <w:vAlign w:val="bottom"/>
          </w:tcPr>
          <w:p>
            <w:pPr>
              <w:spacing w:after="0"/>
              <w:rPr>
                <w:sz w:val="12"/>
                <w:szCs w:val="12"/>
                <w:color w:val="auto"/>
              </w:rPr>
            </w:pPr>
          </w:p>
        </w:tc>
        <w:tc>
          <w:tcPr>
            <w:tcW w:w="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7"/>
              </w:rPr>
              <w:t>18,704</w:t>
            </w:r>
            <w:r>
              <w:rPr>
                <w:rFonts w:ascii="Times New Roman" w:cs="Times New Roman" w:eastAsia="Times New Roman" w:hAnsi="Times New Roman"/>
                <w:sz w:val="20"/>
                <w:szCs w:val="20"/>
                <w:color w:val="008000"/>
                <w:w w:val="97"/>
                <w:vertAlign w:val="superscript"/>
              </w:rPr>
              <w:t>(2)</w:t>
            </w: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(2)(8)</w:t>
            </w: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06/20/2024</w:t>
            </w: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ind w:left="120"/>
              <w:spacing w:after="0" w:line="139" w:lineRule="exact"/>
              <w:rPr>
                <w:sz w:val="20"/>
                <w:szCs w:val="20"/>
                <w:color w:val="auto"/>
              </w:rPr>
            </w:pPr>
            <w:r>
              <w:rPr>
                <w:rFonts w:ascii="Times New Roman" w:cs="Times New Roman" w:eastAsia="Times New Roman" w:hAnsi="Times New Roman"/>
                <w:sz w:val="13"/>
                <w:szCs w:val="13"/>
                <w:color w:val="0000FF"/>
              </w:rPr>
              <w:t>A</w:t>
            </w:r>
          </w:p>
        </w:tc>
        <w:tc>
          <w:tcPr>
            <w:tcW w:w="6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70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11/30/2033</w:t>
            </w:r>
          </w:p>
        </w:tc>
        <w:tc>
          <w:tcPr>
            <w:tcW w:w="64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60" w:type="dxa"/>
            <w:vAlign w:val="bottom"/>
            <w:gridSpan w:val="2"/>
          </w:tcPr>
          <w:p>
            <w:pPr>
              <w:ind w:left="240"/>
              <w:spacing w:after="0" w:line="139" w:lineRule="exact"/>
              <w:rPr>
                <w:sz w:val="20"/>
                <w:szCs w:val="20"/>
                <w:color w:val="auto"/>
              </w:rPr>
            </w:pPr>
            <w:r>
              <w:rPr>
                <w:rFonts w:ascii="Times New Roman" w:cs="Times New Roman" w:eastAsia="Times New Roman" w:hAnsi="Times New Roman"/>
                <w:sz w:val="13"/>
                <w:szCs w:val="13"/>
                <w:color w:val="0000FF"/>
              </w:rPr>
              <w:t>18,704</w:t>
            </w:r>
          </w:p>
        </w:tc>
        <w:tc>
          <w:tcPr>
            <w:tcW w:w="640" w:type="dxa"/>
            <w:vAlign w:val="bottom"/>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ind w:left="40"/>
              <w:spacing w:after="0" w:line="126" w:lineRule="exact"/>
              <w:rPr>
                <w:sz w:val="20"/>
                <w:szCs w:val="20"/>
                <w:color w:val="auto"/>
              </w:rPr>
            </w:pPr>
            <w:r>
              <w:rPr>
                <w:rFonts w:ascii="Times New Roman" w:cs="Times New Roman" w:eastAsia="Times New Roman" w:hAnsi="Times New Roman"/>
                <w:sz w:val="13"/>
                <w:szCs w:val="13"/>
                <w:color w:val="0000FF"/>
              </w:rPr>
              <w:t>Stock</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(9)</w:t>
            </w:r>
          </w:p>
        </w:tc>
        <w:tc>
          <w:tcPr>
            <w:tcW w:w="700" w:type="dxa"/>
            <w:vAlign w:val="bottom"/>
          </w:tcPr>
          <w:p>
            <w:pPr>
              <w:spacing w:after="0"/>
              <w:rPr>
                <w:sz w:val="12"/>
                <w:szCs w:val="12"/>
                <w:color w:val="auto"/>
              </w:rPr>
            </w:pPr>
          </w:p>
        </w:tc>
        <w:tc>
          <w:tcPr>
            <w:tcW w:w="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77,000</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16.8</w:t>
            </w:r>
          </w:p>
        </w:tc>
        <w:tc>
          <w:tcPr>
            <w:tcW w:w="1060" w:type="dxa"/>
            <w:vAlign w:val="bottom"/>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06/20/2024</w:t>
            </w: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vMerge w:val="restart"/>
          </w:tcPr>
          <w:p>
            <w:pPr>
              <w:ind w:left="120"/>
              <w:spacing w:after="0" w:line="139" w:lineRule="exact"/>
              <w:rPr>
                <w:sz w:val="20"/>
                <w:szCs w:val="20"/>
                <w:color w:val="auto"/>
              </w:rPr>
            </w:pPr>
            <w:r>
              <w:rPr>
                <w:rFonts w:ascii="Times New Roman" w:cs="Times New Roman" w:eastAsia="Times New Roman" w:hAnsi="Times New Roman"/>
                <w:sz w:val="13"/>
                <w:szCs w:val="13"/>
                <w:color w:val="0000FF"/>
              </w:rPr>
              <w:t>A</w:t>
            </w:r>
          </w:p>
        </w:tc>
        <w:tc>
          <w:tcPr>
            <w:tcW w:w="640" w:type="dxa"/>
            <w:vAlign w:val="bottom"/>
            <w:vMerge w:val="restart"/>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77,000</w:t>
            </w:r>
          </w:p>
        </w:tc>
        <w:tc>
          <w:tcPr>
            <w:tcW w:w="30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700" w:type="dxa"/>
            <w:vAlign w:val="bottom"/>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06/19/2034</w:t>
            </w:r>
          </w:p>
        </w:tc>
        <w:tc>
          <w:tcPr>
            <w:tcW w:w="64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20" w:type="dxa"/>
            <w:vAlign w:val="bottom"/>
            <w:gridSpan w:val="2"/>
            <w:vMerge w:val="restart"/>
          </w:tcPr>
          <w:p>
            <w:pPr>
              <w:jc w:val="center"/>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vMerge w:val="restart"/>
          </w:tcPr>
          <w:p>
            <w:pPr>
              <w:ind w:left="240"/>
              <w:spacing w:after="0" w:line="139" w:lineRule="exact"/>
              <w:rPr>
                <w:sz w:val="20"/>
                <w:szCs w:val="20"/>
                <w:color w:val="auto"/>
              </w:rPr>
            </w:pPr>
            <w:r>
              <w:rPr>
                <w:rFonts w:ascii="Times New Roman" w:cs="Times New Roman" w:eastAsia="Times New Roman" w:hAnsi="Times New Roman"/>
                <w:sz w:val="13"/>
                <w:szCs w:val="13"/>
                <w:color w:val="0000FF"/>
              </w:rPr>
              <w:t>77,000</w:t>
            </w:r>
          </w:p>
        </w:tc>
        <w:tc>
          <w:tcPr>
            <w:tcW w:w="640" w:type="dxa"/>
            <w:vAlign w:val="bottom"/>
            <w:vMerge w:val="restart"/>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Stock</w:t>
            </w:r>
          </w:p>
        </w:tc>
        <w:tc>
          <w:tcPr>
            <w:tcW w:w="660" w:type="dxa"/>
            <w:vAlign w:val="bottom"/>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ind w:left="40" w:right="140" w:hanging="1"/>
        <w:spacing w:after="0" w:line="230"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Received in exchange for 20,000 shares of common stock of Tectonic Therapeutic, Inc., a Delaware corporation ("Tectonic"), pursuant to an Agreement and Plan of Merger dated as of January 30, 2024 (the "Merger Agreement") by and among AVROBIO, Inc., a Delaware corporation ("AVROBIO"), Tectonic and Alpine Merger Subsidiary, Inc., a direct, wholly owned subsidiary of AVROBIO (the "Merger Sub"). Under the terms of the Merger Agreement, on June 20, 2024, Merger Sub merged with and into Tectonic (the "Merger"), with Tectonic surviving the Merger as a wholly owned subsidiary of AVROBIO. Upon the closing of the Merger, each share of Tectonic common stock was converted into the right to receive 0.534419990 shares of the Issuer's common stock, after giving effect to a reverse stock split of the Issuer's common stock of 1-for-12. Subsequent to the Merger, the name of the Issuer was changed from AVROBIO, Inc. to Tectonic Therapeutic, Inc.</w:t>
      </w:r>
    </w:p>
    <w:p>
      <w:pPr>
        <w:spacing w:after="0" w:line="27" w:lineRule="exact"/>
        <w:rPr>
          <w:rFonts w:ascii="Times New Roman" w:cs="Times New Roman" w:eastAsia="Times New Roman" w:hAnsi="Times New Roman"/>
          <w:sz w:val="13"/>
          <w:szCs w:val="13"/>
          <w:color w:val="008000"/>
        </w:rPr>
      </w:pPr>
    </w:p>
    <w:p>
      <w:pPr>
        <w:ind w:left="40" w:right="260" w:hanging="1"/>
        <w:spacing w:after="0" w:line="246"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Upon the closing of the Merger, each outstanding option to purchase shares of Tectonic common stock was assumed by the Issuer and converted into an option to purchase the Issuer's common stock, on the same terms and conditions as were applicable to such Tectonic stock option prior to the Merger, as adjusted for the exchange ratio and the reverse stock split.</w:t>
      </w:r>
    </w:p>
    <w:p>
      <w:pPr>
        <w:spacing w:after="0" w:line="21" w:lineRule="exact"/>
        <w:rPr>
          <w:rFonts w:ascii="Times New Roman" w:cs="Times New Roman" w:eastAsia="Times New Roman" w:hAnsi="Times New Roman"/>
          <w:sz w:val="13"/>
          <w:szCs w:val="13"/>
          <w:color w:val="008000"/>
        </w:rPr>
      </w:pPr>
    </w:p>
    <w:p>
      <w:pPr>
        <w:ind w:left="40" w:right="340" w:hanging="1"/>
        <w:spacing w:after="0" w:line="246"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25,796 of the shares subject to the option are immediately exercisable. The remainder of the shares subject to the option vest in 12 equal monthly installments beginning on July 1, 2024, subject to the Reporting Person's continued service to the Issuer on each such vesting date.</w:t>
      </w:r>
    </w:p>
    <w:p>
      <w:pPr>
        <w:spacing w:after="0" w:line="21"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Received in exchange for a stock option to acquire 71,029 shares of Tectonic common stock pursuant to the Merger Agreement.</w:t>
      </w:r>
    </w:p>
    <w:p>
      <w:pPr>
        <w:spacing w:after="0" w:line="39"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vest in 48 equal monthly installments beginning on June 27, 2022, subject to the Reporting Person's continued service to the Issuer on each such vesting date.</w:t>
      </w:r>
    </w:p>
    <w:p>
      <w:pPr>
        <w:spacing w:after="0" w:line="39"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Received in exchange for a stock option to acquire 60,000 shares of Tectonic common stock pursuant to the Merger Agreement.</w:t>
      </w:r>
    </w:p>
    <w:p>
      <w:pPr>
        <w:spacing w:after="0" w:line="39"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vest in 48 equal monthly installments beginning on December 1, 2023, subject to the Reporting Person's continued service to the Issuer on each such vesting date.</w:t>
      </w:r>
    </w:p>
    <w:p>
      <w:pPr>
        <w:spacing w:after="0" w:line="39"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Received in exchange for a stock option to acquire 35,000 shares of Tectonic common stock pursuant to the Merger Agreement.</w:t>
      </w:r>
    </w:p>
    <w:p>
      <w:pPr>
        <w:spacing w:after="0" w:line="39" w:lineRule="exact"/>
        <w:rPr>
          <w:rFonts w:ascii="Times New Roman" w:cs="Times New Roman" w:eastAsia="Times New Roman" w:hAnsi="Times New Roman"/>
          <w:sz w:val="13"/>
          <w:szCs w:val="13"/>
          <w:color w:val="008000"/>
        </w:rPr>
      </w:pPr>
    </w:p>
    <w:p>
      <w:pPr>
        <w:ind w:left="40" w:right="160" w:hanging="1"/>
        <w:spacing w:after="0" w:line="243"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vest as to 25% of the shares on June 20, 2025 with the remainder vesting in the following 36 equal monthly installments, subject to the Reporting Person's continued service on each such vesting date.</w:t>
      </w:r>
    </w:p>
    <w:p>
      <w:pPr>
        <w:ind w:left="6600"/>
        <w:spacing w:after="0" w:line="181" w:lineRule="auto"/>
        <w:rPr>
          <w:sz w:val="20"/>
          <w:szCs w:val="20"/>
          <w:color w:val="auto"/>
        </w:rPr>
      </w:pPr>
      <w:r>
        <w:rPr>
          <w:rFonts w:ascii="Times New Roman" w:cs="Times New Roman" w:eastAsia="Times New Roman" w:hAnsi="Times New Roman"/>
          <w:sz w:val="16"/>
          <w:szCs w:val="16"/>
          <w:color w:val="0000FF"/>
        </w:rPr>
        <w:t xml:space="preserve">/s/ Daniel Lochner, Attorney-in- </w:t>
      </w:r>
      <w:r>
        <w:rPr>
          <w:rFonts w:ascii="Times New Roman" w:cs="Times New Roman" w:eastAsia="Times New Roman" w:hAnsi="Times New Roman"/>
          <w:sz w:val="31"/>
          <w:szCs w:val="31"/>
          <w:color w:val="0000FF"/>
          <w:vertAlign w:val="subscript"/>
        </w:rPr>
        <w:t>06/24/2024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-26035</wp:posOffset>
            </wp:positionV>
            <wp:extent cx="13423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-15240</wp:posOffset>
            </wp:positionV>
            <wp:extent cx="1790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79070" cy="8255"/>
                    </a:xfrm>
                    <a:prstGeom prst="rect">
                      <a:avLst/>
                    </a:prstGeom>
                    <a:noFill/>
                  </pic:spPr>
                </pic:pic>
              </a:graphicData>
            </a:graphic>
          </wp:anchor>
        </w:drawing>
        <w:drawing>
          <wp:anchor simplePos="0" relativeHeight="251657728" behindDoc="1" locked="0" layoutInCell="0" allowOverlap="1">
            <wp:simplePos x="0" y="0"/>
            <wp:positionH relativeFrom="column">
              <wp:posOffset>5587365</wp:posOffset>
            </wp:positionH>
            <wp:positionV relativeFrom="paragraph">
              <wp:posOffset>-79375</wp:posOffset>
            </wp:positionV>
            <wp:extent cx="4737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73710" cy="8255"/>
                    </a:xfrm>
                    <a:prstGeom prst="rect">
                      <a:avLst/>
                    </a:prstGeom>
                    <a:noFill/>
                  </pic:spPr>
                </pic:pic>
              </a:graphicData>
            </a:graphic>
          </wp:anchor>
        </w:drawing>
      </w:r>
    </w:p>
    <w:p>
      <w:pPr>
        <w:spacing w:after="0" w:line="30"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60" w:hanging="1"/>
        <w:spacing w:after="0" w:line="328" w:lineRule="auto"/>
        <w:tabs>
          <w:tab w:leader="none" w:pos="17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2023255" TargetMode="External"/><Relationship Id="rId13" Type="http://schemas.openxmlformats.org/officeDocument/2006/relationships/hyperlink" Target="http://www.sec.gov/cgi-bin/browse-edgar?action=getcompany&amp;CIK=0001681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2024-06-24T15:42:08Z</dcterms:created>
  <dcterms:modified xsi:type="dcterms:W3CDTF">2024-06-24T15:42:08Z</dcterms:modified>
</cp:coreProperties>
</file>