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AVROBIO,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30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001-38537</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81-0710585</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04"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100 Technology Square</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Sixth Floor</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Cambridge, MA 02139</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(617) 914-8420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116840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27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7" w:lineRule="auto"/>
        <w:tabs>
          <w:tab w:leader="none" w:pos="943"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AVRO</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7"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3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Merger Agreement</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On January 30, 2024, AVROBIO, Inc., a Delaware corporation (“AVRO”), Alpine Merger Subsidiary, Inc., a Delaware corporation and a wholly owned subsidiary of AVRO (“Merger Sub”), and Tectonic Therapeutic, Inc., a Delaware corporation (“Tectonic”), entered into an Agreement and Plan of Merger and Reorganization (the “Merger Agreement”), pursuant to which, among other matters, and subject to the satisfaction or waiver of the conditions set forth in the Merger Agreement, Merger Sub will merge with and into Tectonic, with Tectonic continuing as a wholly owned subsidiary of AVRO and the surviving corporation of the merger (the “Merger”). The Merger is intended to qualify for federal income tax purposes as a tax-free reorganization under the provisions of Section 368(a) of the Internal Revenue Code of 1986, as amended.</w:t>
      </w:r>
    </w:p>
    <w:p>
      <w:pPr>
        <w:spacing w:after="0" w:line="135"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2"/>
          <w:szCs w:val="12"/>
          <w:color w:val="auto"/>
        </w:rPr>
        <w:t>Subject to the terms and conditions of the Merger Agreement, at the closing of the Merger, (a) each then-outstanding share of Tectonic common stock (including shares of Tectonic common stock issued upon conversion of Tectonic preferred stock, shares of Tectonic common stock issued upon conversion of Tectonic convertible instruments and shares of Tectonic common stock issued in the financing transactions described below) will be converted into the right to receive a number of shares of AVRO common stock calculated in accordance with the Merger Agreement (the “Exchange Ratio”), (b) each then-outstanding option to purchase Tectonic common stock will be assumed by AVRO, subject to adjustment as set forth in the Merger Agreement, and (c) each then-outstanding restricted stock unit in respect of Tectonic common stock will be assumed by AVRO, subject to adjustment as set forth in the Merger Agreement. Under the terms of the Merger Agreement, prior to the closing of the transaction, the board of directors of AVRO (the “Board”) will take actions to (i) accelerate the vesting of each outstanding in-the-money option to purchase AVRO common stock held by a current employee, director or consultant of AVRO as of the date of the Merger Agreement and cause certain in-the-money options subject to the lock-up agreements described herein to remain outstanding beyond the lock-up period described below and (ii) accelerate the vesting and, at closing, settle into shares of AVRO common stock each outstanding restricted stock unit in respect of AVRO common stock that vests solely on the basis of time.</w:t>
      </w:r>
    </w:p>
    <w:p>
      <w:pPr>
        <w:spacing w:after="0" w:line="125"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2"/>
          <w:szCs w:val="12"/>
          <w:color w:val="auto"/>
        </w:rPr>
        <w:t>Under the Exchange Ratio formula in the Merger Agreement, upon the closing of the Merger, and assuming proceeds to Tectonic in the financing transactions described below in the amount of approximately $130.7 million, on a pro forma basis, based upon the number of shares of AVRO common stock expected to be issued in the Merger, pre-Merger Tectonic stockholders (not including in respect of those shares of Tectonic common stock issued in the financing transactions described below) are currently expected to own approximately 40.2% of the combined company, pre-Merger Tectonic stockholders in respect of those shares of Tectonic common stock issued in the financing transactions described below are currently expected to own approximately 37.5% of the combined company, and pre-Merger AVRO stockholders are currently expected to own approximately 22.3% of the combined company. For purposes of calculating the Exchange Ratio, the capitalization of each of AVRO and Tectonic are calculated on a fully diluted basis, at the time of closing of the Merger, with outstanding options calculated on a treasury stock method basis and excluding any treasury stock or unallocated equity pool as further described in the Merger Agreement. The Exchange Ratio may be adjusted if that AVRO’s net cash at closing is less than $64.5 million or greater than $65.5 million, as further described in the Merger Agreement.</w:t>
      </w:r>
    </w:p>
    <w:p>
      <w:pPr>
        <w:spacing w:after="0" w:line="127"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In connection with the Merger, AVRO will seek the approval of its stockholders to, among other things, (a) issue shares of AVRO common stock issuable in connection with the Merger under the rules of The Nasdaq Stock Market LLC (“Nasdaq”), (b) amend AVRO’s certificate of incorporation to, among other things, effect a reverse stock split of AVRO common stock, (c) approve certain equity plans and (d) approve an amendment to AVRO’s certificate of incorporation to provide for the exculpation of officers.</w:t>
      </w:r>
    </w:p>
    <w:p>
      <w:pPr>
        <w:spacing w:after="0" w:line="133" w:lineRule="exact"/>
        <w:rPr>
          <w:sz w:val="20"/>
          <w:szCs w:val="20"/>
          <w:color w:val="auto"/>
        </w:rPr>
      </w:pPr>
    </w:p>
    <w:p>
      <w:pPr>
        <w:ind w:left="640" w:right="799"/>
        <w:spacing w:after="0" w:line="247" w:lineRule="auto"/>
        <w:rPr>
          <w:sz w:val="20"/>
          <w:szCs w:val="20"/>
          <w:color w:val="auto"/>
        </w:rPr>
      </w:pPr>
      <w:r>
        <w:rPr>
          <w:rFonts w:ascii="Times New Roman" w:cs="Times New Roman" w:eastAsia="Times New Roman" w:hAnsi="Times New Roman"/>
          <w:sz w:val="13"/>
          <w:szCs w:val="13"/>
          <w:color w:val="auto"/>
        </w:rPr>
        <w:t>Each of AVRO and Tectonic has agreed to customary representations, warranties and covenants in the Merger Agreement, including, among others, covenants relating to (1) efforts to obtain the requisite approval of its stockholders, (2) non-solicitation of alternative acquisition proposals, (3) the conduct of their respective businesses during the period between the date of signing the Merger Agreement and the closing of the Merger, (4) AVRO using commercially reasonable efforts to maintain the existing listing of the AVRO common stock on Nasdaq and cause the shares of AVRO common stock to be issued in connection with the Merger to be approved for listing on Nasdaq prior to the closing of the Merger and (5) AVRO filing with the U.S. Securities and Exchange Commission (the “SEC”) and causing to become effective a registration statement to register the shares of AVRO common stock to be issued in connection with the Merger (the “Registration Statement”).</w:t>
      </w:r>
    </w:p>
    <w:p>
      <w:pPr>
        <w:sectPr>
          <w:pgSz w:w="11900" w:h="16838" w:orient="portrait"/>
          <w:cols w:equalWidth="0" w:num="1">
            <w:col w:w="9019"/>
          </w:cols>
          <w:pgMar w:left="1440" w:top="229" w:right="1440" w:bottom="1440" w:gutter="0" w:footer="0" w:header="0"/>
        </w:sectPr>
      </w:pPr>
    </w:p>
    <w:bookmarkStart w:id="2" w:name="page3"/>
    <w:bookmarkEnd w:id="2"/>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Consummation of the Merger is subject to certain closing conditions, including, among other things, (1) approval by AVRO stockholders of specified AVRO voting matters as set forth in the Merger Agreement, (2) approval by the requisite Tectonic stockholders of the adoption and approval of the Merger Agreement and the transactions contemplated thereby, (3) Nasdaq’s approval of the listing of the shares of AVRO common stock to be issued in connection with the Merger and the continued listing of the AVRO common stock on Nasdaq, (4) the effectiveness of the Registration Statement, (5) the financing transactions described below resulting in aggregate cash proceeds of not less than $114,500,000 to Tectonic, (6) absence of material adverse effects on AVRO and Tectonic, respectively, and (7) AVRO’s net cash not being less than $50,000,000 as of immediately prior to the Effective Time of the Merger (the “Effective Time”). Each party’s obligation to consummate the Merger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Merger Agreement required to be performed on or prior to the date of the closing of the Merger.</w:t>
      </w:r>
    </w:p>
    <w:p>
      <w:pPr>
        <w:spacing w:after="0" w:line="136"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Merger Agreement contains certain termination rights of each of AVRO and Tectonic. Upon termination of the Merger Agreement under specified circumstances, AVRO may be required to pay Tectonic a termination fee of $2,712,500 and/or reimburse Tectonic’s expenses up to a maximum of $650,000, and Tectonic may be required to pay AVRO a termination fee of $4,900,000.</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 the Effective Time of the Merger, one director of AVRO will be appointed to the Board, with the remaining directors selected by Tectonic.</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Financing Transactions</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Concurrently with the Merger Agreement, Tectonic entered into a subscription agreement with certain investors (the “Subscription Agreement”), pursuant to which Tectonic agreed to sell shares of its common stock immediately prior to the closing of the Merger in a private placement financing. The proceeds from the private placement financing expected to be consummated at the closing of the merger, together with additional private placement financings through simple agreements for future equity (the “SAFEs”), are expected to be at least $130.7 million in the aggregate. The closing of the private placement financing contemplated by the Subscription Agreement is conditioned upon the satisfaction or waiver of the conditions set forth in the Merger Agreement and the SAFEs will convert to common stock of Tectonic in connection with the closing of the Merger. Shares of common stock issued pursuant to the Subscription Agreement and upon conversion of the SAFEs will be converted into shares of AVRO in accordance with the Exchange Ratio.</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Contingent Value Rights Agreement</w:t>
      </w:r>
    </w:p>
    <w:p>
      <w:pPr>
        <w:spacing w:after="0" w:line="80" w:lineRule="exact"/>
        <w:rPr>
          <w:sz w:val="20"/>
          <w:szCs w:val="20"/>
          <w:color w:val="auto"/>
        </w:rPr>
      </w:pPr>
    </w:p>
    <w:p>
      <w:pPr>
        <w:ind w:left="640" w:right="699"/>
        <w:spacing w:after="0" w:line="286" w:lineRule="auto"/>
        <w:rPr>
          <w:sz w:val="20"/>
          <w:szCs w:val="20"/>
          <w:color w:val="auto"/>
        </w:rPr>
      </w:pPr>
      <w:r>
        <w:rPr>
          <w:rFonts w:ascii="Times New Roman" w:cs="Times New Roman" w:eastAsia="Times New Roman" w:hAnsi="Times New Roman"/>
          <w:sz w:val="12"/>
          <w:szCs w:val="12"/>
          <w:color w:val="auto"/>
        </w:rPr>
        <w:t>At the Effective Time, AVRO and a rights agent are expected to enter into a Contingent Value Rights Agreement (the “CVR Agreement”), pursuant to which AVRO stockholders of record as of the close of business on the last business day prior to the day on which the Effective Time occurs will receive one contingent value right (each, a “CVR”) for each outstanding share of AVRO common stock held by such stockholder on such date.</w:t>
      </w:r>
    </w:p>
    <w:p>
      <w:pPr>
        <w:spacing w:after="0" w:line="113" w:lineRule="exact"/>
        <w:rPr>
          <w:sz w:val="20"/>
          <w:szCs w:val="20"/>
          <w:color w:val="auto"/>
        </w:rPr>
      </w:pPr>
    </w:p>
    <w:p>
      <w:pPr>
        <w:ind w:left="640" w:right="679"/>
        <w:spacing w:after="0" w:line="232" w:lineRule="auto"/>
        <w:rPr>
          <w:sz w:val="20"/>
          <w:szCs w:val="20"/>
          <w:color w:val="auto"/>
        </w:rPr>
      </w:pPr>
      <w:r>
        <w:rPr>
          <w:rFonts w:ascii="Times New Roman" w:cs="Times New Roman" w:eastAsia="Times New Roman" w:hAnsi="Times New Roman"/>
          <w:sz w:val="13"/>
          <w:szCs w:val="13"/>
          <w:color w:val="auto"/>
        </w:rPr>
        <w:t>Each CVR will represent the contractual right to receive payments from AVRO upon the actual receipt by AVRO or its subsidiaries of certain contingent proceeds derived from any marketable consideration that is paid to AVRO as a result of the direct or indirect sale, license, assignment, transfer, conveyance, grant of any option or other disposition of certain of AVRO’s assets, rights and interests to the extent existing prior to the closing of the Merger relating to AVRO’s (a) plato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manufacturing platform, (b) AVR-RD-01 (Fabry disease), AVR-RD-02 (Gaucher disease), and/or AVR-RD-03 (Pompe disease) research and development programs (none of which are currently active), and (c) certain intellectual property, net of certain tax, transaction costs and certain other expenses or liabilities.</w:t>
      </w:r>
    </w:p>
    <w:p>
      <w:pPr>
        <w:spacing w:after="0" w:line="139"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The contingent payments under the CVR Agreement, if they become payable, will become payable to the rights agent for subsequent distribution to the holders of the CVRs. There can be no assurance that holders of CVRs will receive any payments with respect thereto.</w:t>
      </w:r>
    </w:p>
    <w:p>
      <w:pPr>
        <w:spacing w:after="0" w:line="122"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the Company or any of its affiliates. No interest will accrue on any amounts payable in respect of the CVRs.</w:t>
      </w:r>
    </w:p>
    <w:p>
      <w:pPr>
        <w:sectPr>
          <w:pgSz w:w="11900" w:h="16838" w:orient="portrait"/>
          <w:cols w:equalWidth="0" w:num="1">
            <w:col w:w="9019"/>
          </w:cols>
          <w:pgMar w:left="1440" w:top="231" w:right="1440" w:bottom="1440" w:gutter="0" w:footer="0" w:header="0"/>
        </w:sectPr>
      </w:pPr>
    </w:p>
    <w:bookmarkStart w:id="3" w:name="page4"/>
    <w:bookmarkEnd w:id="3"/>
    <w:p>
      <w:pPr>
        <w:ind w:left="640" w:right="6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foregoing summary of the CVR Agreement does not purport to be complete and is qualified in its entirety by reference to the full text of the form of CVR Agreement, which is filed herewith as Exhibit 10.5 and is incorporated by reference herein.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Support Agreements and Lock-Up Agreements</w:t>
      </w:r>
    </w:p>
    <w:p>
      <w:pPr>
        <w:spacing w:after="0" w:line="80" w:lineRule="exact"/>
        <w:rPr>
          <w:sz w:val="20"/>
          <w:szCs w:val="20"/>
          <w:color w:val="auto"/>
        </w:rPr>
      </w:pPr>
    </w:p>
    <w:p>
      <w:pPr>
        <w:ind w:left="640" w:right="699"/>
        <w:spacing w:after="0" w:line="271" w:lineRule="auto"/>
        <w:rPr>
          <w:sz w:val="20"/>
          <w:szCs w:val="20"/>
          <w:color w:val="auto"/>
        </w:rPr>
      </w:pPr>
      <w:r>
        <w:rPr>
          <w:rFonts w:ascii="Times New Roman" w:cs="Times New Roman" w:eastAsia="Times New Roman" w:hAnsi="Times New Roman"/>
          <w:sz w:val="12"/>
          <w:szCs w:val="12"/>
          <w:color w:val="auto"/>
        </w:rPr>
        <w:t>Concurrently with the execution of the Merger Agreement, (i) certain stockholders of Tectonic (solely in their respective capacities as Tectonic stockholders) holding approximately 88% of the voting power of Tectonic have entered into support agreements with AVRO and Tectonic to vote all of their shares of Tectonic capital stock in favor of the adoption and approval of the Merger Agreement and the transactions contemplated thereby and against any alternative acquisition proposals and certain other matters (the “Tectonic Support Agreements”) and (ii) certain stockholders of AVRO holding approximately 10.8% of the outstanding shares of AVRO common stock have entered into support agreements with AVRO and Tectonic to vote all of their shares of AVRO common stock in favor of certain AVRO voting proposals and against any alternative acquisition proposals (the “AVRO Support Agreements,” and, together with the Tectonic Support Agreements, the “Support Agreements”).</w:t>
      </w:r>
    </w:p>
    <w:p>
      <w:pPr>
        <w:spacing w:after="0" w:line="122"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Concurrently with the execution of the Merger Agreement, certain executive officers, directors and stockholders of each of AVRO and Tectonic have entered into lock-up agreements (the “Lock-Up Agreements”) pursuant to which, subject to specified exceptions, they have agreed not to transfer their shares of AVRO common stock for the 180-day period following the closing of the Merger.</w:t>
      </w:r>
    </w:p>
    <w:p>
      <w:pPr>
        <w:spacing w:after="0" w:line="13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The preceding summaries of the Merger Agreement, the Support Agreements, the Lock-Up Agreements and the CVR Agreement do not purport to be complete and are qualified in their entirety by reference to the Merger Agreement, the form of Tectonic Support Agreement, the form of AVRO Support Agreement, the form of Lock-Up Agreement and the form of CVR Agreement, which are filed as Exhibits 2.1, 10.1, 10.2, 10.3 and 10.4,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Tectonic or AVRO or to modify or supplement any factual disclosures about AVRO in its public reports filed with the SEC. The Merger Agreement includes representations, warranties and covenants of Tectonic, AVRO and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Tectonic, AVRO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w:t>
      </w:r>
    </w:p>
    <w:p>
      <w:pPr>
        <w:spacing w:after="0" w:line="231"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5.01.</w:t>
      </w:r>
      <w:r>
        <w:rPr>
          <w:sz w:val="20"/>
          <w:szCs w:val="20"/>
          <w:color w:val="auto"/>
        </w:rPr>
        <w:tab/>
      </w:r>
      <w:r>
        <w:rPr>
          <w:rFonts w:ascii="Times New Roman" w:cs="Times New Roman" w:eastAsia="Times New Roman" w:hAnsi="Times New Roman"/>
          <w:sz w:val="13"/>
          <w:szCs w:val="13"/>
          <w:b w:val="1"/>
          <w:bCs w:val="1"/>
          <w:color w:val="auto"/>
        </w:rPr>
        <w:t>Changes in Control of Registrant.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ectPr>
          <w:pgSz w:w="11900" w:h="16838" w:orient="portrait"/>
          <w:cols w:equalWidth="0" w:num="1">
            <w:col w:w="9019"/>
          </w:cols>
          <w:pgMar w:left="1440" w:top="231" w:right="1440" w:bottom="1440" w:gutter="0" w:footer="0" w:header="0"/>
        </w:sectPr>
      </w:pP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Item 5.02.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359"/>
        <w:spacing w:after="0" w:line="270" w:lineRule="auto"/>
        <w:rPr>
          <w:sz w:val="20"/>
          <w:szCs w:val="20"/>
          <w:color w:val="auto"/>
        </w:rPr>
      </w:pPr>
      <w:r>
        <w:rPr>
          <w:rFonts w:ascii="Times New Roman" w:cs="Times New Roman" w:eastAsia="Times New Roman" w:hAnsi="Times New Roman"/>
          <w:sz w:val="13"/>
          <w:szCs w:val="13"/>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sectPr>
          <w:pgSz w:w="11900" w:h="16838" w:orient="portrait"/>
          <w:cols w:equalWidth="0" w:num="2">
            <w:col w:w="1160" w:space="320"/>
            <w:col w:w="7539"/>
          </w:cols>
          <w:pgMar w:left="1440" w:top="231"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color w:val="auto"/>
        </w:rPr>
        <w:t>To the extent required by this Item, the information included in Item 1.01 of this Current Report on Form 8-K is incorporated herein by reference.</w:t>
      </w:r>
    </w:p>
    <w:p>
      <w:pPr>
        <w:sectPr>
          <w:pgSz w:w="11900" w:h="16838" w:orient="portrait"/>
          <w:cols w:equalWidth="0" w:num="1">
            <w:col w:w="9019"/>
          </w:cols>
          <w:pgMar w:left="1440" w:top="231" w:right="1440" w:bottom="1440" w:gutter="0" w:footer="0" w:header="0"/>
          <w:type w:val="continuous"/>
        </w:sectPr>
      </w:pPr>
    </w:p>
    <w:bookmarkStart w:id="4" w:name="page5"/>
    <w:bookmarkEnd w:id="4"/>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On January 30, 2024, AVRO and Tectonic issued a joint press release announcing the execution of the Merger Agreement. The press release is furnished as Exhibit 99.1 to this Current Report on Form 8-K and incorporated herein by reference, except that the information contained on the websites referenced in the press release is not incorporated herein by reference.</w:t>
      </w:r>
    </w:p>
    <w:p>
      <w:pPr>
        <w:spacing w:after="0" w:line="13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819"/>
        <w:spacing w:after="0" w:line="245" w:lineRule="auto"/>
        <w:rPr>
          <w:sz w:val="20"/>
          <w:szCs w:val="20"/>
          <w:color w:val="auto"/>
        </w:rPr>
      </w:pPr>
      <w:r>
        <w:rPr>
          <w:rFonts w:ascii="Times New Roman" w:cs="Times New Roman" w:eastAsia="Times New Roman" w:hAnsi="Times New Roman"/>
          <w:sz w:val="13"/>
          <w:szCs w:val="13"/>
          <w:color w:val="auto"/>
        </w:rPr>
        <w:t>This Current Report on Form 8-K and the exhibits filed or furnished herewith contain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“Closing”); expectations regarding the ownership structure of the combined company; the anticipated timing of the Closing; the expected executive officers and directors of the combined company; expectations regarding the structure, amount, timing and completion of private placement financings, including investment amounts from investors, timing of closing, expected proceeds and impact on ownership structure; each company’s and the combined company’s expected cash position at the Closing and cash runway of the combined company following the Merger and private financing; the future operations of the combined company, including commercialization activities, timing of launch, buildout of commercial infrastructure; the nature, strategy and focus of the combined company; the development and commercial potential and potential benefits of any product candidates of the combined company,; the location of the combined company’s corporate headquarters; anticipated clinical drug development activities and related timelines; and other statements that are not historical fact. All statements other than statements of historical fact contained in this Current Report on Form 8-K and the exhibits filed or furnished herewith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 Tectonic, the Merger or the private placement financings will be those that have been anticipated.</w:t>
      </w:r>
    </w:p>
    <w:p>
      <w:pPr>
        <w:spacing w:after="0" w:line="137"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2"/>
          <w:szCs w:val="12"/>
          <w:color w:val="auto"/>
        </w:rPr>
        <w:t>Forward-looking statements are subject to a number of risks and uncertainties, many of which involve factors or circumstances that are beyond AVRO’s control. AVRO’s actual results could differ materially from those stated or implied in forward-looking statements due to a number of factors, including but not limited to (i) the risk that the conditions to the Closing are not satisfied, including the failure to timely obtain stockholder approval for the transaction, if at all; (ii) uncertainties as to the timing of the consummation of the proposed Merger and the ability of each of AVRO and Tectonic to consummate the proposed Merger; (iii) risks related to AVRO’s ability to manage its operating expenses and its expenses associated with the proposed Merger pending the Closing; (iv) risks related to the failure or delay in obtaining any required consents necessary to consummate the proposed Merger;</w:t>
      </w:r>
    </w:p>
    <w:p>
      <w:pPr>
        <w:spacing w:after="0" w:line="2" w:lineRule="exact"/>
        <w:rPr>
          <w:sz w:val="20"/>
          <w:szCs w:val="20"/>
          <w:color w:val="auto"/>
        </w:rPr>
      </w:pPr>
    </w:p>
    <w:p>
      <w:pPr>
        <w:ind w:left="640" w:right="719" w:hanging="3"/>
        <w:spacing w:after="0" w:line="246" w:lineRule="auto"/>
        <w:tabs>
          <w:tab w:leader="none" w:pos="819"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 that as a result of adjustments to the exchange ratio, AVRO stockholders and Tectonic stockholders could own more or less of the combined company than is currently anticipated; (vi) risks related to the market price of AVRO’s</w:t>
      </w:r>
    </w:p>
    <w:p>
      <w:pPr>
        <w:sectPr>
          <w:pgSz w:w="11900" w:h="16838" w:orient="portrait"/>
          <w:cols w:equalWidth="0" w:num="1">
            <w:col w:w="9019"/>
          </w:cols>
          <w:pgMar w:left="1440" w:top="229"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common stock relative to the value suggested by the exchange ratio; (vii) unexpected costs, charges or expenses resulting from the transaction;</w:t>
      </w:r>
    </w:p>
    <w:p>
      <w:pPr>
        <w:spacing w:after="0" w:line="15" w:lineRule="exact"/>
        <w:rPr>
          <w:sz w:val="20"/>
          <w:szCs w:val="20"/>
          <w:color w:val="auto"/>
        </w:rPr>
      </w:pPr>
    </w:p>
    <w:p>
      <w:pPr>
        <w:ind w:left="640" w:right="699" w:hanging="3"/>
        <w:spacing w:after="0" w:line="263" w:lineRule="auto"/>
        <w:tabs>
          <w:tab w:leader="none" w:pos="92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adverse reactions or changes to business relationships resulting from the announcement or completion of the proposed Merger; (ix) the uncertainties associated with Tectonic’s product candidates, as well as risks associated with the clinical development and regulatory approval of product candidates, including potential delays in the completion of clinical trials; (x) risks related to the inability of the combined company to obtain sufficient additional capital to continue to advance these or other product candidates; (xi) uncertainties in obtaining successful clinical results for product candidates and unexpected costs that may result therefrom; (xii) risks related to the failure to realize any value from product candidates currently being developed and anticipated to be developed in light of inherent risks and difficulties involved in successfully bringing product candidates to market;</w:t>
      </w:r>
    </w:p>
    <w:p>
      <w:pPr>
        <w:spacing w:after="0" w:line="2" w:lineRule="exact"/>
        <w:rPr>
          <w:rFonts w:ascii="Times New Roman" w:cs="Times New Roman" w:eastAsia="Times New Roman" w:hAnsi="Times New Roman"/>
          <w:sz w:val="12"/>
          <w:szCs w:val="12"/>
          <w:color w:val="auto"/>
        </w:rPr>
      </w:pPr>
    </w:p>
    <w:p>
      <w:pPr>
        <w:ind w:left="640" w:right="659" w:hanging="3"/>
        <w:spacing w:after="0" w:line="243" w:lineRule="auto"/>
        <w:tabs>
          <w:tab w:leader="none" w:pos="924"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the possible failure to realize certain anticipated benefits of the proposed Merger, including with respect to future financial and operating results; and (xiv) the risk that the private placement financings are not consummated upon the Closing.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AVRO’s Annual Report on Form 10-K for the year ended December 31, 2022, which was filed with the SEC on March 23, 2023, subsequent Quarterly Reports on Form 10-Q filed with the SEC, and in other filings that AVRO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AVRO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Current Report on Form 8-K and the exhibits filed or furnished herewith do not purport to summarize all of the conditions, risks and other attributes of an investment in AVRO or Tectonic.</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This Current Report on Form 8-K and the exhibits filed or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23"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NEITHER THE SEC NOR ANY STATE SECURITIES COMMISSION HAS APPROVED OR DISAPPROVED OF THE SECURITIES OR DETERMINED IF THIS CURRENT REPORT ON FORM 8-K AND THE EXHIBITS FILED OR FURNISHED HEREWITH ARE TRUTHFUL OR COMPLETE.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Proposed Transaction Will be Filed with the SEC</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This Current Report on Form 8-K and the exhibits filed or furnished herewith are not substitutes for the registration statement or for any other document that AVRO may file with the SEC in connection with the proposed transaction. In connection with the proposed transaction between AVRO and Tectonic, AVRO intends to file relevant materials with the SEC, including a registration statement on Form S-4 that will contain a proxy statement/prospectus of AVRO. AVRO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AVRO, TECTONIC, THE PROPOSED TRANSACTION AND RELATED MATTERS. Investors and stockholders will be able to obtain free copies of the proxy statement/prospectus and other documents filed by AVRO with the SEC (when they become available)</w:t>
      </w:r>
    </w:p>
    <w:p>
      <w:pPr>
        <w:sectPr>
          <w:pgSz w:w="11900" w:h="16838" w:orient="portrait"/>
          <w:cols w:equalWidth="0" w:num="1">
            <w:col w:w="9019"/>
          </w:cols>
          <w:pgMar w:left="1440" w:top="231" w:right="1440" w:bottom="1440" w:gutter="0" w:footer="0" w:header="0"/>
        </w:sectPr>
      </w:pPr>
    </w:p>
    <w:bookmarkStart w:id="6" w:name="page7"/>
    <w:bookmarkEnd w:id="6"/>
    <w:p>
      <w:pPr>
        <w:ind w:left="640" w:right="69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through the website maintained by the SEC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In addition, investors and stockholders should note that AVRO communicates with investors and the public using its website (</w:t>
      </w:r>
      <w:r>
        <w:rPr>
          <w:rFonts w:ascii="Times New Roman" w:cs="Times New Roman" w:eastAsia="Times New Roman" w:hAnsi="Times New Roman"/>
          <w:sz w:val="13"/>
          <w:szCs w:val="13"/>
          <w:i w:val="1"/>
          <w:iCs w:val="1"/>
          <w:color w:val="auto"/>
        </w:rPr>
        <w:t>https://www.avrobio.com</w:t>
      </w:r>
      <w:r>
        <w:rPr>
          <w:rFonts w:ascii="Times New Roman" w:cs="Times New Roman" w:eastAsia="Times New Roman" w:hAnsi="Times New Roman"/>
          <w:sz w:val="13"/>
          <w:szCs w:val="13"/>
          <w:color w:val="auto"/>
        </w:rPr>
        <w:t>) and the investor relations website (</w:t>
      </w:r>
      <w:r>
        <w:rPr>
          <w:rFonts w:ascii="Times New Roman" w:cs="Times New Roman" w:eastAsia="Times New Roman" w:hAnsi="Times New Roman"/>
          <w:sz w:val="13"/>
          <w:szCs w:val="13"/>
          <w:i w:val="1"/>
          <w:iCs w:val="1"/>
          <w:color w:val="auto"/>
        </w:rPr>
        <w:t>https://investors.avrobio.com</w:t>
      </w:r>
      <w:r>
        <w:rPr>
          <w:rFonts w:ascii="Times New Roman" w:cs="Times New Roman" w:eastAsia="Times New Roman" w:hAnsi="Times New Roman"/>
          <w:sz w:val="13"/>
          <w:szCs w:val="13"/>
          <w:color w:val="auto"/>
        </w:rPr>
        <w:t>) where anyone will be able to obtain free copies of the proxy statement/prospectus and other documents filed by AVRO with the SEC and stockholders are urged to read the proxy statement/prospectus and the other relevant materials when they become available before making any voting or investment decision with respect to the proposed transaction.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jc w:val="both"/>
        <w:ind w:left="640" w:right="659"/>
        <w:spacing w:after="0" w:line="271" w:lineRule="auto"/>
        <w:rPr>
          <w:sz w:val="20"/>
          <w:szCs w:val="20"/>
          <w:color w:val="auto"/>
        </w:rPr>
      </w:pPr>
      <w:r>
        <w:rPr>
          <w:rFonts w:ascii="Times New Roman" w:cs="Times New Roman" w:eastAsia="Times New Roman" w:hAnsi="Times New Roman"/>
          <w:sz w:val="12"/>
          <w:szCs w:val="12"/>
          <w:color w:val="auto"/>
        </w:rPr>
        <w:t>AVRO, Tectonic and their respective directors and executive officers may be deemed to be participants in the solicitation of proxies from stockholders in connection with the proposed transaction. Information about AVRO’s directors and executive officers including a description of their interests in AVRO is included in AVRO’s most recent Annual Report on Form 10-K, including any information incorporated therein by reference, as filed with the SEC.</w:t>
      </w:r>
    </w:p>
    <w:p>
      <w:pPr>
        <w:jc w:val="both"/>
        <w:ind w:left="640" w:right="659"/>
        <w:spacing w:after="0" w:line="287" w:lineRule="auto"/>
        <w:rPr>
          <w:sz w:val="20"/>
          <w:szCs w:val="20"/>
          <w:color w:val="auto"/>
        </w:rPr>
      </w:pPr>
      <w:r>
        <w:rPr>
          <w:rFonts w:ascii="Times New Roman" w:cs="Times New Roman" w:eastAsia="Times New Roman" w:hAnsi="Times New Roman"/>
          <w:sz w:val="12"/>
          <w:szCs w:val="12"/>
          <w:color w:val="auto"/>
        </w:rPr>
        <w:t>Additional information regarding these persons and their interests in the proposed transaction will be included in the proxy statement/prospectus relating to the proposed transaction when it is filed with the SEC. These documents can be obtained free of charge from the sources indicated above.</w:t>
      </w:r>
    </w:p>
    <w:p>
      <w:pPr>
        <w:spacing w:after="0" w:line="214"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78" w:lineRule="exact"/>
        <w:rPr>
          <w:sz w:val="20"/>
          <w:szCs w:val="20"/>
          <w:color w:val="auto"/>
        </w:rPr>
      </w:pPr>
    </w:p>
    <w:p>
      <w:pPr>
        <w:ind w:left="820" w:hanging="183"/>
        <w:spacing w:after="0"/>
        <w:tabs>
          <w:tab w:leader="none" w:pos="8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Exhibits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900" w:type="dxa"/>
            <w:vAlign w:val="bottom"/>
          </w:tcPr>
          <w:p>
            <w:pPr>
              <w:spacing w:after="0"/>
              <w:rPr>
                <w:sz w:val="10"/>
                <w:szCs w:val="10"/>
                <w:color w:val="auto"/>
              </w:rPr>
            </w:pPr>
          </w:p>
        </w:tc>
      </w:tr>
      <w:tr>
        <w:trPr>
          <w:trHeight w:val="12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5"/>
              </w:rPr>
              <w:t>   No. </w:t>
            </w:r>
          </w:p>
        </w:tc>
        <w:tc>
          <w:tcPr>
            <w:tcW w:w="690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1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  2.1*</w:t>
            </w:r>
          </w:p>
        </w:tc>
        <w:tc>
          <w:tcPr>
            <w:tcW w:w="690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6"/>
              </w:rPr>
              <w:t>Agreement and Plan of Merger, dated as of January 30, 2024, by and among AVRO, Aspen Merger Subsidiary, Inc. and Tectonic.</w:t>
            </w: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6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Form of Tectonic Support Agreement</w:t>
            </w: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6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Form of AVRO Support Agreement</w:t>
            </w: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6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Form of Lock-Up Agreement</w:t>
            </w: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Form of Contingent Value Rights Agreement</w:t>
            </w: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6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Joint Press Release, issued on January 30, 2024</w:t>
            </w: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158" w:lineRule="exact"/>
        <w:rPr>
          <w:sz w:val="20"/>
          <w:szCs w:val="20"/>
          <w:color w:val="auto"/>
        </w:rPr>
      </w:pPr>
    </w:p>
    <w:p>
      <w:pPr>
        <w:ind w:left="780" w:right="959" w:hanging="143"/>
        <w:spacing w:after="0" w:line="255" w:lineRule="auto"/>
        <w:tabs>
          <w:tab w:leader="none" w:pos="7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Exhibits and/or schedules have been omitted pursuant to Item 601(a)(5) of Regulation S-K. The registrant hereby undertakes to furnish supplementally copies of any of the omitted exhibits and schedules upon request by the SEC;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registrant may request confidential treatment pursuant to Rule 24b-2 under the Exchange Act for any exhibits or schedules so furnished.</w:t>
      </w:r>
    </w:p>
    <w:p>
      <w:pPr>
        <w:sectPr>
          <w:pgSz w:w="11900" w:h="16838" w:orient="portrait"/>
          <w:cols w:equalWidth="0" w:num="1">
            <w:col w:w="9019"/>
          </w:cols>
          <w:pgMar w:left="1440" w:top="229"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AVROBIO,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January 30,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Erik Ostrowski</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2"/>
          <w:szCs w:val="12"/>
          <w:color w:val="auto"/>
        </w:rPr>
        <w:t>President, Interim Chief Executive Officer, Chief Financial Officer</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and Treasurer</w:t>
      </w:r>
    </w:p>
    <w:p>
      <w:pPr>
        <w:sectPr>
          <w:pgSz w:w="11900" w:h="16838" w:orient="portrait"/>
          <w:cols w:equalWidth="0" w:num="1">
            <w:col w:w="9019"/>
          </w:cols>
          <w:pgMar w:left="1440" w:top="229" w:right="1440" w:bottom="1440" w:gutter="0" w:footer="0" w:header="0"/>
        </w:sectPr>
      </w:pPr>
    </w:p>
    <w:bookmarkStart w:id="8" w:name="page9"/>
    <w:bookmarkEnd w:id="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AGREEMENT AND PLAN OF MERGER AND REORGANIZATION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among: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AVROBIO, INC.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ALPINE MERGER SUBSIDIARY, INC.</w:t>
      </w:r>
      <w:r>
        <w:rPr>
          <w:rFonts w:ascii="Times New Roman" w:cs="Times New Roman" w:eastAsia="Times New Roman" w:hAnsi="Times New Roman"/>
          <w:sz w:val="13"/>
          <w:szCs w:val="13"/>
          <w:color w:val="auto"/>
        </w:rPr>
        <w:t>; 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TECTONIC THERAPEUTIC, INC.</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Dated as of 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4910455"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10455" cy="1206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9" w:name="page10"/>
    <w:bookmarkEnd w:id="9"/>
    <w:tbl>
      <w:tblPr>
        <w:tblLayout w:type="fixed"/>
        <w:tblInd w:w="640" w:type="dxa"/>
        <w:tblCellMar>
          <w:top w:w="0" w:type="dxa"/>
          <w:left w:w="0" w:type="dxa"/>
          <w:bottom w:w="0" w:type="dxa"/>
          <w:right w:w="0" w:type="dxa"/>
        </w:tblCellMar>
      </w:tblPr>
      <w:tr>
        <w:trPr>
          <w:trHeight w:val="167"/>
        </w:trPr>
        <w:tc>
          <w:tcPr>
            <w:tcW w:w="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360" w:type="dxa"/>
            <w:vAlign w:val="bottom"/>
          </w:tcPr>
          <w:p>
            <w:pPr>
              <w:jc w:val="right"/>
              <w:ind w:right="3297"/>
              <w:spacing w:after="0"/>
              <w:rPr>
                <w:sz w:val="20"/>
                <w:szCs w:val="20"/>
                <w:color w:val="auto"/>
              </w:rPr>
            </w:pPr>
            <w:r>
              <w:rPr>
                <w:rFonts w:ascii="Times New Roman" w:cs="Times New Roman" w:eastAsia="Times New Roman" w:hAnsi="Times New Roman"/>
                <w:sz w:val="13"/>
                <w:szCs w:val="13"/>
                <w:b w:val="1"/>
                <w:bCs w:val="1"/>
                <w:color w:val="auto"/>
                <w:w w:val="98"/>
              </w:rPr>
              <w:t>Table of Contents</w:t>
            </w:r>
          </w:p>
        </w:tc>
      </w:tr>
      <w:tr>
        <w:trPr>
          <w:trHeight w:val="322"/>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1. Definitions and Interpretative Provisions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Definitions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Definitional and Interpretative Provisions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27"/>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2. Description of Transaction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The Merger</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2.2</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Effects of the Merger</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2.3</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Closing; Effective Time</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2.4</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Organizational Documents; Directors and Officers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2.5</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Conversion of Company Equity Securities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2.6</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Contingent Value Right</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2.7</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Closing of the Company’s Transfer Books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2.8</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Surrender of Company Capital Stock</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2.9</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7"/>
              </w:rPr>
              <w:t>Calculation of Net Cash and Company Equity Value.</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2.10</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Further Action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2.11</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Intended Tax Treatment</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2.12</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Withholding</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2.13</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Appraisal Rights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27"/>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3. Representations and Warranties of the Company</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Organizational Documents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3.3</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3.4</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Vote Required</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3.5</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3.6</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Capitalization.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3.7</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Financial Statements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3.8</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Absence of Changes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3.9</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3.10</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Title to Assets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3.11</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Real Property; Leasehold</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3.12</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Intellectual Property</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3.13</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Agreements, Contracts and Commitments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3.14</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3.15</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Legal Proceedings; Orders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3.16</w:t>
            </w:r>
          </w:p>
        </w:tc>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Tax Matters</w:t>
            </w:r>
          </w:p>
        </w:tc>
        <w:tc>
          <w:tcPr>
            <w:tcW w:w="4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56"/>
        </w:trPr>
        <w:tc>
          <w:tcPr>
            <w:tcW w:w="5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360" w:type="dxa"/>
            <w:vAlign w:val="bottom"/>
          </w:tcPr>
          <w:p>
            <w:pPr>
              <w:jc w:val="right"/>
              <w:ind w:right="3757"/>
              <w:spacing w:after="0"/>
              <w:rPr>
                <w:sz w:val="20"/>
                <w:szCs w:val="20"/>
                <w:color w:val="auto"/>
              </w:rPr>
            </w:pPr>
            <w:r>
              <w:rPr>
                <w:rFonts w:ascii="Times New Roman" w:cs="Times New Roman" w:eastAsia="Times New Roman" w:hAnsi="Times New Roman"/>
                <w:sz w:val="13"/>
                <w:szCs w:val="13"/>
                <w:color w:val="auto"/>
              </w:rPr>
              <w:t>i</w:t>
            </w:r>
          </w:p>
        </w:tc>
      </w:tr>
    </w:tbl>
    <w:p>
      <w:pPr>
        <w:jc w:val="right"/>
        <w:ind w:right="3757"/>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 w:name="page11"/>
    <w:bookmarkEnd w:id="10"/>
    <w:tbl>
      <w:tblPr>
        <w:tblLayout w:type="fixed"/>
        <w:tblInd w:w="640" w:type="dxa"/>
        <w:tblCellMar>
          <w:top w:w="0" w:type="dxa"/>
          <w:left w:w="0" w:type="dxa"/>
          <w:bottom w:w="0" w:type="dxa"/>
          <w:right w:w="0" w:type="dxa"/>
        </w:tblCellMar>
      </w:tblPr>
      <w:tr>
        <w:trPr>
          <w:trHeight w:val="165"/>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3.17</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3.18</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Environmental Matters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3.19</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Insurance</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3.20</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 Financial Advisors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3.21</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3.22</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3.23</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Anti-Corruption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3.24</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Sanctions Laws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3.25</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227"/>
        </w:trPr>
        <w:tc>
          <w:tcPr>
            <w:tcW w:w="3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8"/>
              </w:rPr>
              <w:t>Section 4. Representations and Warranties of Aspen and Merger Sub</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Organizational Documents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4.3</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4.4</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Vote Required</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4.5</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4.6</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Capitalization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4.7</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 Filings; Financial Statements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4.8</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Absence of Changes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4.9</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4.10</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Title to Assets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4.11</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Real Property; Leasehold</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4.12</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Intellectual Property</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4.13</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Agreements, Contracts and Commitments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4.14</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4.15</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Legal Proceedings; Orders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4.16</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Tax Matters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4.17</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4.18</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Environmental Matters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4.19</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Insurance</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4.20</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4.21</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 Financial Advisors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4.22</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Valid Issuance</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4.23</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4.24</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Anti-Corruption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4.25</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Sanctions Laws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4.26</w:t>
            </w:r>
          </w:p>
        </w:tc>
        <w:tc>
          <w:tcPr>
            <w:tcW w:w="3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56"/>
        </w:trPr>
        <w:tc>
          <w:tcPr>
            <w:tcW w:w="5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920" w:type="dxa"/>
            <w:vAlign w:val="bottom"/>
          </w:tcPr>
          <w:p>
            <w:pPr>
              <w:jc w:val="right"/>
              <w:ind w:right="3737"/>
              <w:spacing w:after="0"/>
              <w:rPr>
                <w:sz w:val="20"/>
                <w:szCs w:val="20"/>
                <w:color w:val="auto"/>
              </w:rPr>
            </w:pPr>
            <w:r>
              <w:rPr>
                <w:rFonts w:ascii="Times New Roman" w:cs="Times New Roman" w:eastAsia="Times New Roman" w:hAnsi="Times New Roman"/>
                <w:sz w:val="13"/>
                <w:szCs w:val="13"/>
                <w:color w:val="auto"/>
              </w:rPr>
              <w:t>ii</w:t>
            </w:r>
          </w:p>
        </w:tc>
      </w:tr>
    </w:tbl>
    <w:p>
      <w:pPr>
        <w:jc w:val="right"/>
        <w:ind w:right="3737"/>
        <w:spacing w:after="0"/>
        <w:rPr>
          <w:sz w:val="20"/>
          <w:szCs w:val="20"/>
          <w:color w:val="auto"/>
        </w:rPr>
        <w:sectPr>
          <w:pgSz w:w="11900" w:h="16838" w:orient="portrait"/>
          <w:cols w:equalWidth="0" w:num="1">
            <w:col w:w="9019"/>
          </w:cols>
          <w:pgMar w:left="1440" w:top="307"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1" w:name="page12"/>
    <w:bookmarkEnd w:id="11"/>
    <w:tbl>
      <w:tblPr>
        <w:tblLayout w:type="fixed"/>
        <w:tblInd w:w="640" w:type="dxa"/>
        <w:tblCellMar>
          <w:top w:w="0" w:type="dxa"/>
          <w:left w:w="0" w:type="dxa"/>
          <w:bottom w:w="0" w:type="dxa"/>
          <w:right w:w="0" w:type="dxa"/>
        </w:tblCellMar>
      </w:tblPr>
      <w:tr>
        <w:trPr>
          <w:trHeight w:val="16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5. Certain Covenants of the Parties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Operation of Aspen’s Business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Operation of the Company’s Business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5.3</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Access and Investigation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5.4</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 Solicitation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5.5</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6. Additional Agreements of the Parties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Registration Statement, Proxy Statement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6.2</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Company Stockholder Written Consent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6.3</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Aspen Stockholder Meeting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6.4</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Efforts; Regulatory Approvals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6.5</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Company Options; Company Restricted Stock Units; Company Warrants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6.6</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Benefits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6.7</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Aspen Equity Awards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6.8</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Indemnification of Officers and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6.9</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Disclosure</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6.10</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Listing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6.11</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Tax Matters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6.12</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Legends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6.13</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Officers and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6.14</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Termination of Certain Agreements and Rights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6.15</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Section 16 Matters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6.16</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Allocation Certificate</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6.17</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Obligations of Merger Sub</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6.18</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Covenants Regarding Concurrent Investment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7. Conditions Precedent to Obligations of Each Party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Effectiveness of Registration Statement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7.2</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 Restraints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7.3</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Stockholder Approval</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7.4</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Listing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7.5</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Lock-Up Agreements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8. Additional Conditions Precedent to Obligations of Aspen and Merger Sub</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8.2</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Performance of Covenants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8.3</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Documents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27"/>
        </w:trPr>
        <w:tc>
          <w:tcPr>
            <w:tcW w:w="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8.4</w:t>
            </w:r>
          </w:p>
        </w:tc>
        <w:tc>
          <w:tcPr>
            <w:tcW w:w="5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 Company Material Adverse Effect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56"/>
        </w:trPr>
        <w:tc>
          <w:tcPr>
            <w:tcW w:w="540" w:type="dxa"/>
            <w:vAlign w:val="bottom"/>
          </w:tcPr>
          <w:p>
            <w:pPr>
              <w:spacing w:after="0"/>
              <w:rPr>
                <w:sz w:val="22"/>
                <w:szCs w:val="22"/>
                <w:color w:val="auto"/>
              </w:rPr>
            </w:pPr>
          </w:p>
        </w:tc>
        <w:tc>
          <w:tcPr>
            <w:tcW w:w="5500" w:type="dxa"/>
            <w:vAlign w:val="bottom"/>
          </w:tcPr>
          <w:p>
            <w:pPr>
              <w:ind w:left="3280"/>
              <w:spacing w:after="0"/>
              <w:rPr>
                <w:sz w:val="20"/>
                <w:szCs w:val="20"/>
                <w:color w:val="auto"/>
              </w:rPr>
            </w:pPr>
            <w:r>
              <w:rPr>
                <w:rFonts w:ascii="Times New Roman" w:cs="Times New Roman" w:eastAsia="Times New Roman" w:hAnsi="Times New Roman"/>
                <w:sz w:val="13"/>
                <w:szCs w:val="13"/>
                <w:color w:val="auto"/>
              </w:rPr>
              <w:t>iii</w:t>
            </w:r>
          </w:p>
        </w:tc>
        <w:tc>
          <w:tcPr>
            <w:tcW w:w="166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305"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2" w:name="page13"/>
    <w:bookmarkEnd w:id="12"/>
    <w:tbl>
      <w:tblPr>
        <w:tblLayout w:type="fixed"/>
        <w:tblInd w:w="640" w:type="dxa"/>
        <w:tblCellMar>
          <w:top w:w="0" w:type="dxa"/>
          <w:left w:w="0" w:type="dxa"/>
          <w:bottom w:w="0" w:type="dxa"/>
          <w:right w:w="0" w:type="dxa"/>
        </w:tblCellMar>
      </w:tblPr>
      <w:tr>
        <w:trPr>
          <w:trHeight w:val="165"/>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8.5</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Stockholder Written Consent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8.6</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Concurrent Investment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8.7</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FIRPTA Certificate</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27"/>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9. Additional Conditions Precedent to Obligation of the Company</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9.2</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Performance of Covenants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9.3</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Documents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9.4</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Aspen Material Adverse Effect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27"/>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10. Termination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Termination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10.3</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Expenses; Termination Fees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27"/>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 11. Miscellaneous Provisions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Non-Survival of Representations and Warranties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11.2</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Amendment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11.3</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Waiver</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11.4</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Entire Agreement; Counterparts; Exchanges by Electronic Transmission or Facsimile</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11.5</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Applicable Law; Jurisdiction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11.6</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Assignability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11.7</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Notices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11.8</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Cooperation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11.9</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Severability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11.10</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Remedies; Specific Performance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227"/>
        </w:trPr>
        <w:tc>
          <w:tcPr>
            <w:tcW w:w="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11.11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Third-Party Beneficiaries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379"/>
        </w:trPr>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Exhibits:</w:t>
            </w:r>
          </w:p>
        </w:tc>
        <w:tc>
          <w:tcPr>
            <w:tcW w:w="5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8"/>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Exhibit A-1</w:t>
            </w:r>
          </w:p>
        </w:tc>
        <w:tc>
          <w:tcPr>
            <w:tcW w:w="56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Form of Aspen Stockholder Support Agreement</w:t>
            </w:r>
          </w:p>
        </w:tc>
        <w:tc>
          <w:tcPr>
            <w:tcW w:w="1420" w:type="dxa"/>
            <w:vAlign w:val="bottom"/>
          </w:tcPr>
          <w:p>
            <w:pPr>
              <w:spacing w:after="0"/>
              <w:rPr>
                <w:sz w:val="24"/>
                <w:szCs w:val="24"/>
                <w:color w:val="auto"/>
              </w:rPr>
            </w:pPr>
          </w:p>
        </w:tc>
      </w:tr>
      <w:tr>
        <w:trPr>
          <w:trHeight w:val="227"/>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Exhibit A-2</w:t>
            </w:r>
          </w:p>
        </w:tc>
        <w:tc>
          <w:tcPr>
            <w:tcW w:w="56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Form of Company Stockholder Support Agreement</w:t>
            </w:r>
          </w:p>
        </w:tc>
        <w:tc>
          <w:tcPr>
            <w:tcW w:w="1420" w:type="dxa"/>
            <w:vAlign w:val="bottom"/>
          </w:tcPr>
          <w:p>
            <w:pPr>
              <w:spacing w:after="0"/>
              <w:rPr>
                <w:sz w:val="19"/>
                <w:szCs w:val="19"/>
                <w:color w:val="auto"/>
              </w:rPr>
            </w:pPr>
          </w:p>
        </w:tc>
      </w:tr>
      <w:tr>
        <w:trPr>
          <w:trHeight w:val="227"/>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Exhibit B</w:t>
            </w:r>
          </w:p>
        </w:tc>
        <w:tc>
          <w:tcPr>
            <w:tcW w:w="56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Form of Lock-Up Agreement</w:t>
            </w:r>
          </w:p>
        </w:tc>
        <w:tc>
          <w:tcPr>
            <w:tcW w:w="1420" w:type="dxa"/>
            <w:vAlign w:val="bottom"/>
          </w:tcPr>
          <w:p>
            <w:pPr>
              <w:spacing w:after="0"/>
              <w:rPr>
                <w:sz w:val="19"/>
                <w:szCs w:val="19"/>
                <w:color w:val="auto"/>
              </w:rPr>
            </w:pPr>
          </w:p>
        </w:tc>
      </w:tr>
      <w:tr>
        <w:trPr>
          <w:trHeight w:val="227"/>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Exhibit C</w:t>
            </w:r>
          </w:p>
        </w:tc>
        <w:tc>
          <w:tcPr>
            <w:tcW w:w="56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Form of Subscription Agreement</w:t>
            </w:r>
          </w:p>
        </w:tc>
        <w:tc>
          <w:tcPr>
            <w:tcW w:w="1420" w:type="dxa"/>
            <w:vAlign w:val="bottom"/>
          </w:tcPr>
          <w:p>
            <w:pPr>
              <w:spacing w:after="0"/>
              <w:rPr>
                <w:sz w:val="19"/>
                <w:szCs w:val="19"/>
                <w:color w:val="auto"/>
              </w:rPr>
            </w:pPr>
          </w:p>
        </w:tc>
      </w:tr>
      <w:tr>
        <w:trPr>
          <w:trHeight w:val="227"/>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Exhibit D</w:t>
            </w:r>
          </w:p>
        </w:tc>
        <w:tc>
          <w:tcPr>
            <w:tcW w:w="56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Form of CVR Agreement</w:t>
            </w:r>
          </w:p>
        </w:tc>
        <w:tc>
          <w:tcPr>
            <w:tcW w:w="1420" w:type="dxa"/>
            <w:vAlign w:val="bottom"/>
          </w:tcPr>
          <w:p>
            <w:pPr>
              <w:spacing w:after="0"/>
              <w:rPr>
                <w:sz w:val="19"/>
                <w:szCs w:val="19"/>
                <w:color w:val="auto"/>
              </w:rPr>
            </w:pPr>
          </w:p>
        </w:tc>
      </w:tr>
      <w:tr>
        <w:trPr>
          <w:trHeight w:val="227"/>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Exhibit E</w:t>
            </w:r>
          </w:p>
        </w:tc>
        <w:tc>
          <w:tcPr>
            <w:tcW w:w="56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Form of FIRPTA Certificate</w:t>
            </w:r>
          </w:p>
        </w:tc>
        <w:tc>
          <w:tcPr>
            <w:tcW w:w="1420" w:type="dxa"/>
            <w:vAlign w:val="bottom"/>
          </w:tcPr>
          <w:p>
            <w:pPr>
              <w:spacing w:after="0"/>
              <w:rPr>
                <w:sz w:val="19"/>
                <w:szCs w:val="19"/>
                <w:color w:val="auto"/>
              </w:rPr>
            </w:pPr>
          </w:p>
        </w:tc>
      </w:tr>
      <w:tr>
        <w:trPr>
          <w:trHeight w:val="256"/>
        </w:trPr>
        <w:tc>
          <w:tcPr>
            <w:tcW w:w="640" w:type="dxa"/>
            <w:vAlign w:val="bottom"/>
          </w:tcPr>
          <w:p>
            <w:pPr>
              <w:spacing w:after="0"/>
              <w:rPr>
                <w:sz w:val="22"/>
                <w:szCs w:val="22"/>
                <w:color w:val="auto"/>
              </w:rPr>
            </w:pPr>
          </w:p>
        </w:tc>
        <w:tc>
          <w:tcPr>
            <w:tcW w:w="5640" w:type="dxa"/>
            <w:vAlign w:val="bottom"/>
          </w:tcPr>
          <w:p>
            <w:pPr>
              <w:ind w:left="3180"/>
              <w:spacing w:after="0"/>
              <w:rPr>
                <w:sz w:val="20"/>
                <w:szCs w:val="20"/>
                <w:color w:val="auto"/>
              </w:rPr>
            </w:pPr>
            <w:r>
              <w:rPr>
                <w:rFonts w:ascii="Times New Roman" w:cs="Times New Roman" w:eastAsia="Times New Roman" w:hAnsi="Times New Roman"/>
                <w:sz w:val="13"/>
                <w:szCs w:val="13"/>
                <w:color w:val="auto"/>
              </w:rPr>
              <w:t>iv</w:t>
            </w:r>
          </w:p>
        </w:tc>
        <w:tc>
          <w:tcPr>
            <w:tcW w:w="142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307"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 AND REORGANIZATION</w:t>
      </w:r>
    </w:p>
    <w:p>
      <w:pPr>
        <w:spacing w:after="0" w:line="154"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HIS</w:t>
      </w:r>
      <w:r>
        <w:rPr>
          <w:rFonts w:ascii="Times New Roman" w:cs="Times New Roman" w:eastAsia="Times New Roman" w:hAnsi="Times New Roman"/>
          <w:sz w:val="13"/>
          <w:szCs w:val="13"/>
          <w:b w:val="1"/>
          <w:bCs w:val="1"/>
          <w:color w:val="auto"/>
        </w:rPr>
        <w:t xml:space="preserve"> A</w:t>
      </w:r>
      <w:r>
        <w:rPr>
          <w:rFonts w:ascii="Times New Roman" w:cs="Times New Roman" w:eastAsia="Times New Roman" w:hAnsi="Times New Roman"/>
          <w:sz w:val="10"/>
          <w:szCs w:val="10"/>
          <w:b w:val="1"/>
          <w:bCs w:val="1"/>
          <w:color w:val="auto"/>
        </w:rPr>
        <w:t>GREEMENT AND</w:t>
      </w:r>
      <w:r>
        <w:rPr>
          <w:rFonts w:ascii="Times New Roman" w:cs="Times New Roman" w:eastAsia="Times New Roman" w:hAnsi="Times New Roman"/>
          <w:sz w:val="13"/>
          <w:szCs w:val="13"/>
          <w:b w:val="1"/>
          <w:bCs w:val="1"/>
          <w:color w:val="auto"/>
        </w:rPr>
        <w:t xml:space="preserve"> P</w:t>
      </w:r>
      <w:r>
        <w:rPr>
          <w:rFonts w:ascii="Times New Roman" w:cs="Times New Roman" w:eastAsia="Times New Roman" w:hAnsi="Times New Roman"/>
          <w:sz w:val="10"/>
          <w:szCs w:val="10"/>
          <w:b w:val="1"/>
          <w:bCs w:val="1"/>
          <w:color w:val="auto"/>
        </w:rPr>
        <w:t>LAN OF</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10"/>
          <w:szCs w:val="10"/>
          <w:b w:val="1"/>
          <w:bCs w:val="1"/>
          <w:color w:val="auto"/>
        </w:rPr>
        <w:t>ERGER AND</w:t>
      </w:r>
      <w:r>
        <w:rPr>
          <w:rFonts w:ascii="Times New Roman" w:cs="Times New Roman" w:eastAsia="Times New Roman" w:hAnsi="Times New Roman"/>
          <w:sz w:val="13"/>
          <w:szCs w:val="13"/>
          <w:b w:val="1"/>
          <w:bCs w:val="1"/>
          <w:color w:val="auto"/>
        </w:rPr>
        <w:t xml:space="preserve"> R</w:t>
      </w:r>
      <w:r>
        <w:rPr>
          <w:rFonts w:ascii="Times New Roman" w:cs="Times New Roman" w:eastAsia="Times New Roman" w:hAnsi="Times New Roman"/>
          <w:sz w:val="10"/>
          <w:szCs w:val="10"/>
          <w:b w:val="1"/>
          <w:bCs w:val="1"/>
          <w:color w:val="auto"/>
        </w:rPr>
        <w:t>EORGANIZATION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made and entered into as of January 30, 2024,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and among </w:t>
      </w:r>
      <w:r>
        <w:rPr>
          <w:rFonts w:ascii="Times New Roman" w:cs="Times New Roman" w:eastAsia="Times New Roman" w:hAnsi="Times New Roman"/>
          <w:sz w:val="13"/>
          <w:szCs w:val="13"/>
          <w:b w:val="1"/>
          <w:bCs w:val="1"/>
          <w:color w:val="auto"/>
        </w:rPr>
        <w:t>AVROBIO, Inc.</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color w:val="auto"/>
        </w:rPr>
        <w:t>Aspen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0"/>
          <w:szCs w:val="10"/>
          <w:b w:val="1"/>
          <w:bCs w:val="1"/>
          <w:color w:val="auto"/>
        </w:rPr>
        <w:t>LPINE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0"/>
          <w:szCs w:val="10"/>
          <w:b w:val="1"/>
          <w:bCs w:val="1"/>
          <w:color w:val="auto"/>
        </w:rPr>
        <w:t>UBSIDIARY</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a Delaware corporation and wholly owned subsidiary of Aspen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ECTONIC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HERAPEUTIC</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Certain capitalized terms used in this Agreement are defined in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0"/>
          <w:szCs w:val="10"/>
          <w:b w:val="1"/>
          <w:bCs w:val="1"/>
          <w:color w:val="auto"/>
        </w:rPr>
        <w:t>ECITALS</w:t>
      </w:r>
    </w:p>
    <w:p>
      <w:pPr>
        <w:spacing w:after="0" w:line="154"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A. Aspen and the Company intend to effect a merger of Merger Sub with and into the Company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in accordance with this Agreement and the DGCL. Upon consummation of the Merger, Merger Sub will cease to exist and the Company will become a wholly owned subsidiary of Aspen.</w:t>
      </w:r>
    </w:p>
    <w:p>
      <w:pPr>
        <w:spacing w:after="0" w:line="128"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B. The Parties intend that, for U.S. federal (and applicable state and local) income Tax purposes, the Merger qualifies as a “reorganization” within the meaning of Section 368(a) of the Code and the Treasury Regulations, and that this Agreement be, and hereby is, adopted as a “plan of reorganization” for the purposes of Section 368 of the Code and Treasury Regulations Sections 1.368-2(g) and 1.368-3.</w:t>
      </w:r>
    </w:p>
    <w:p>
      <w:pPr>
        <w:spacing w:after="0" w:line="130"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C. The Aspen Board has (i) determined that the Contemplated Transactions are fair to, advisable and in the best interests of Aspen and its stockholders, (ii) approved and declared advisable this Agreement and the Contemplated Transactions, including the issuance of shares of Aspen Common Stock to the stockholders of the Company pursuant to the terms of this Agreement, and (iii) determined to recommend, upon the terms and subject to the conditions set forth in this Agreement, that the stockholders of Aspen vote (A) to approve the issuance of shares of Aspen Common Stock to the stockholders of the Company pursuant to the terms of this Agreement, (B) to approve an amendment to the Aspen Charter to effect the Nasdaq Reverse Split and (C) to approve an amendment to the Aspen Charter to provide for the exculpation of officers (the matters in clauses (A) through (C), together with Aspen stockholder action to approve the Equity Plan Proposals when approved by the Aspen Board in accordance with the terms of the definition thereof, the “</w:t>
      </w:r>
      <w:r>
        <w:rPr>
          <w:rFonts w:ascii="Times New Roman" w:cs="Times New Roman" w:eastAsia="Times New Roman" w:hAnsi="Times New Roman"/>
          <w:sz w:val="13"/>
          <w:szCs w:val="13"/>
          <w:b w:val="1"/>
          <w:bCs w:val="1"/>
          <w:color w:val="auto"/>
        </w:rPr>
        <w:t>Aspen Stockholder Matters</w:t>
      </w:r>
      <w:r>
        <w:rPr>
          <w:rFonts w:ascii="Times New Roman" w:cs="Times New Roman" w:eastAsia="Times New Roman" w:hAnsi="Times New Roman"/>
          <w:sz w:val="13"/>
          <w:szCs w:val="13"/>
          <w:color w:val="auto"/>
        </w:rPr>
        <w:t>”, with the Aspen Stockholder Matters set forth in clauses (A) and (B) only being the “</w:t>
      </w:r>
      <w:r>
        <w:rPr>
          <w:rFonts w:ascii="Times New Roman" w:cs="Times New Roman" w:eastAsia="Times New Roman" w:hAnsi="Times New Roman"/>
          <w:sz w:val="13"/>
          <w:szCs w:val="13"/>
          <w:b w:val="1"/>
          <w:bCs w:val="1"/>
          <w:color w:val="auto"/>
        </w:rPr>
        <w:t>Specified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Aspen Stockholder Matters</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w:t>
      </w:r>
    </w:p>
    <w:p>
      <w:pPr>
        <w:spacing w:after="0" w:line="133" w:lineRule="exact"/>
        <w:rPr>
          <w:sz w:val="20"/>
          <w:szCs w:val="20"/>
          <w:color w:val="auto"/>
        </w:rPr>
      </w:pPr>
    </w:p>
    <w:p>
      <w:pPr>
        <w:jc w:val="both"/>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33"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F. Concurrently with the execution and delivery of this Agreement and as a condition and inducement to the Company’s willingness to enter into this Agreement, each of the officers, directors and stockholders set forth on </w:t>
      </w:r>
      <w:r>
        <w:rPr>
          <w:rFonts w:ascii="Times New Roman" w:cs="Times New Roman" w:eastAsia="Times New Roman" w:hAnsi="Times New Roman"/>
          <w:sz w:val="13"/>
          <w:szCs w:val="13"/>
          <w:u w:val="single" w:color="auto"/>
          <w:color w:val="auto"/>
        </w:rPr>
        <w:t>Section A</w:t>
      </w:r>
      <w:r>
        <w:rPr>
          <w:rFonts w:ascii="Times New Roman" w:cs="Times New Roman" w:eastAsia="Times New Roman" w:hAnsi="Times New Roman"/>
          <w:sz w:val="13"/>
          <w:szCs w:val="13"/>
          <w:color w:val="auto"/>
        </w:rPr>
        <w:t xml:space="preserve"> of the Aspen Disclosure Schedule (solely in their capacity as stockholders of Aspen) are executing support agreements in favor of the Company in substantially the form attached hereto as Exhibit A-1 (the “</w:t>
      </w:r>
      <w:r>
        <w:rPr>
          <w:rFonts w:ascii="Times New Roman" w:cs="Times New Roman" w:eastAsia="Times New Roman" w:hAnsi="Times New Roman"/>
          <w:sz w:val="13"/>
          <w:szCs w:val="13"/>
          <w:b w:val="1"/>
          <w:bCs w:val="1"/>
          <w:color w:val="auto"/>
        </w:rPr>
        <w:t>Aspen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Stockholder Support Agreement</w:t>
      </w:r>
      <w:r>
        <w:rPr>
          <w:rFonts w:ascii="Times New Roman" w:cs="Times New Roman" w:eastAsia="Times New Roman" w:hAnsi="Times New Roman"/>
          <w:sz w:val="13"/>
          <w:szCs w:val="13"/>
          <w:color w:val="auto"/>
        </w:rPr>
        <w:t>”), pursuant to which such Persons have, subject to the terms and conditions set forth therein, agreed to vote all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their shares of capital stock of Aspen (a) to approve the Aspen Stockholder Matters and (b) against any Acquisition Proposal.</w:t>
      </w:r>
    </w:p>
    <w:p>
      <w:pPr>
        <w:sectPr>
          <w:pgSz w:w="11900" w:h="16838" w:orient="portrait"/>
          <w:cols w:equalWidth="0" w:num="1">
            <w:col w:w="9019"/>
          </w:cols>
          <w:pgMar w:left="1440" w:top="229" w:right="1440" w:bottom="1440" w:gutter="0" w:footer="0" w:header="0"/>
        </w:sectPr>
      </w:pPr>
    </w:p>
    <w:bookmarkStart w:id="14" w:name="page15"/>
    <w:bookmarkEnd w:id="14"/>
    <w:p>
      <w:pPr>
        <w:ind w:left="640" w:right="679" w:firstLine="30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G. Concurrently with the execution and delivery of this Agreement and as a condition and inducement to Aspen’s willingness to enter into this Agreement, each of the Persons set forth on </w:t>
      </w:r>
      <w:r>
        <w:rPr>
          <w:rFonts w:ascii="Times New Roman" w:cs="Times New Roman" w:eastAsia="Times New Roman" w:hAnsi="Times New Roman"/>
          <w:sz w:val="12"/>
          <w:szCs w:val="12"/>
          <w:u w:val="single" w:color="auto"/>
          <w:color w:val="auto"/>
        </w:rPr>
        <w:t>Section A</w:t>
      </w:r>
      <w:r>
        <w:rPr>
          <w:rFonts w:ascii="Times New Roman" w:cs="Times New Roman" w:eastAsia="Times New Roman" w:hAnsi="Times New Roman"/>
          <w:sz w:val="12"/>
          <w:szCs w:val="12"/>
          <w:color w:val="auto"/>
        </w:rPr>
        <w:t xml:space="preserve"> of the Company Disclosure Schedule, who collectively hold shares of Company Capital Stock sufficient to adopt and approve this Agreement and the Merger as required under the DGCL and the Organizational Documents of the Company and represent no less than 88% of the voting power of the Company, are executing (solely in their capacity as stockholders of the Company) support agreements in favor of Aspen in substantially the form attached hereto as </w:t>
      </w:r>
      <w:r>
        <w:rPr>
          <w:rFonts w:ascii="Times New Roman" w:cs="Times New Roman" w:eastAsia="Times New Roman" w:hAnsi="Times New Roman"/>
          <w:sz w:val="12"/>
          <w:szCs w:val="12"/>
          <w:u w:val="single" w:color="auto"/>
          <w:color w:val="auto"/>
        </w:rPr>
        <w:t>Exhibit A-2</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b w:val="1"/>
          <w:bCs w:val="1"/>
          <w:color w:val="auto"/>
        </w:rPr>
        <w:t>Company Stockholder Support Agreement</w:t>
      </w:r>
      <w:r>
        <w:rPr>
          <w:rFonts w:ascii="Times New Roman" w:cs="Times New Roman" w:eastAsia="Times New Roman" w:hAnsi="Times New Roman"/>
          <w:sz w:val="12"/>
          <w:szCs w:val="12"/>
          <w:color w:val="auto"/>
        </w:rPr>
        <w:t>”), pursuant to which such Persons have, subject to the terms and conditions set forth therein, agreed to vote all of their shares of Company Capital Stock (A) to adopt and approve the Merger Agreement, (B) to approve the Contemplated Transactions, (C) to approve an amendment to the Company’ certificate of incorporation to effect the Company Authorized Share Increase, (D) to the extent such Person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w:t>
      </w:r>
    </w:p>
    <w:p>
      <w:pPr>
        <w:spacing w:after="0" w:line="129"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H. Concurrently with the execution and delivery of this Agreement and as a condition and inducement to Aspen’s and the Company’s willingness to enter into this Agreement, the Persons listed on </w:t>
      </w:r>
      <w:r>
        <w:rPr>
          <w:rFonts w:ascii="Times New Roman" w:cs="Times New Roman" w:eastAsia="Times New Roman" w:hAnsi="Times New Roman"/>
          <w:sz w:val="13"/>
          <w:szCs w:val="13"/>
          <w:u w:val="single" w:color="auto"/>
          <w:color w:val="auto"/>
        </w:rPr>
        <w:t>Section B</w:t>
      </w:r>
      <w:r>
        <w:rPr>
          <w:rFonts w:ascii="Times New Roman" w:cs="Times New Roman" w:eastAsia="Times New Roman" w:hAnsi="Times New Roman"/>
          <w:sz w:val="13"/>
          <w:szCs w:val="13"/>
          <w:color w:val="auto"/>
        </w:rPr>
        <w:t xml:space="preserve"> of the Company Disclosure Schedule and Section B of the Aspen Disclosure Schedule are executing lock-up agreements in substantially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Lock-Up Agreement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Lock-Up</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I. It is expected that within four (4) Business Days after the Registration Statement is declared effective under the Securities Act, the holders of shares of Company Capital Stock sufficient to adopt and approve this Agreement and the Merger as required under the DGCL and the Organizational Documents of the Company will execute and deliver an action by written consent adopting this Agreement, in form and substance reasonably acceptable to Aspen, in order to obtain the Required Company Stockholder Vote.</w:t>
      </w:r>
    </w:p>
    <w:p>
      <w:pPr>
        <w:spacing w:after="0" w:line="131"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J. Prior to the date of this Agreement, certain investors (the “</w:t>
      </w:r>
      <w:r>
        <w:rPr>
          <w:rFonts w:ascii="Times New Roman" w:cs="Times New Roman" w:eastAsia="Times New Roman" w:hAnsi="Times New Roman"/>
          <w:sz w:val="13"/>
          <w:szCs w:val="13"/>
          <w:b w:val="1"/>
          <w:bCs w:val="1"/>
          <w:color w:val="auto"/>
        </w:rPr>
        <w:t>Company SAFE Concurrent Investors</w:t>
      </w:r>
      <w:r>
        <w:rPr>
          <w:rFonts w:ascii="Times New Roman" w:cs="Times New Roman" w:eastAsia="Times New Roman" w:hAnsi="Times New Roman"/>
          <w:sz w:val="13"/>
          <w:szCs w:val="13"/>
          <w:color w:val="auto"/>
        </w:rPr>
        <w:t>”) have entered into the Company SAFEs with the Company (the investments contemplated by such Company SAFEs, collectively, the “</w:t>
      </w:r>
      <w:r>
        <w:rPr>
          <w:rFonts w:ascii="Times New Roman" w:cs="Times New Roman" w:eastAsia="Times New Roman" w:hAnsi="Times New Roman"/>
          <w:sz w:val="13"/>
          <w:szCs w:val="13"/>
          <w:b w:val="1"/>
          <w:bCs w:val="1"/>
          <w:color w:val="auto"/>
        </w:rPr>
        <w:t>Company SAFE Concurrent Investment</w:t>
      </w:r>
      <w:r>
        <w:rPr>
          <w:rFonts w:ascii="Times New Roman" w:cs="Times New Roman" w:eastAsia="Times New Roman" w:hAnsi="Times New Roman"/>
          <w:sz w:val="13"/>
          <w:szCs w:val="13"/>
          <w:color w:val="auto"/>
        </w:rPr>
        <w:t>”), pursuant to which such Company SAFEs shall automatically convert into shares of Company Common Stock at the same price per share at which the Concurrent Investment Company Shares are sold pursuant to the Subscription Agreement (which shall be the Public Offering/Conversion Price as defined in the Company SAFEs), in connection with the Closing (such shares of Company Common Stock upon issuance to such Company SAFE Concurrent Investors, the (“</w:t>
      </w:r>
      <w:r>
        <w:rPr>
          <w:rFonts w:ascii="Times New Roman" w:cs="Times New Roman" w:eastAsia="Times New Roman" w:hAnsi="Times New Roman"/>
          <w:sz w:val="13"/>
          <w:szCs w:val="13"/>
          <w:b w:val="1"/>
          <w:bCs w:val="1"/>
          <w:color w:val="auto"/>
        </w:rPr>
        <w:t>Company SAFE Concurrent Investment Company Shares</w:t>
      </w:r>
      <w:r>
        <w:rPr>
          <w:rFonts w:ascii="Times New Roman" w:cs="Times New Roman" w:eastAsia="Times New Roman" w:hAnsi="Times New Roman"/>
          <w:sz w:val="13"/>
          <w:szCs w:val="13"/>
          <w:color w:val="auto"/>
        </w:rPr>
        <w:t>”). In addition, concurrently with the execution and delivery of this Agreement, certain investors (the “</w:t>
      </w:r>
      <w:r>
        <w:rPr>
          <w:rFonts w:ascii="Times New Roman" w:cs="Times New Roman" w:eastAsia="Times New Roman" w:hAnsi="Times New Roman"/>
          <w:sz w:val="13"/>
          <w:szCs w:val="13"/>
          <w:b w:val="1"/>
          <w:bCs w:val="1"/>
          <w:color w:val="auto"/>
        </w:rPr>
        <w:t>Subscription Agreement Concurrent Investors</w:t>
      </w:r>
      <w:r>
        <w:rPr>
          <w:rFonts w:ascii="Times New Roman" w:cs="Times New Roman" w:eastAsia="Times New Roman" w:hAnsi="Times New Roman"/>
          <w:sz w:val="13"/>
          <w:szCs w:val="13"/>
          <w:color w:val="auto"/>
        </w:rPr>
        <w:t>” and, together with the Company SAFE Concurrent Investors, the “</w:t>
      </w:r>
      <w:r>
        <w:rPr>
          <w:rFonts w:ascii="Times New Roman" w:cs="Times New Roman" w:eastAsia="Times New Roman" w:hAnsi="Times New Roman"/>
          <w:sz w:val="13"/>
          <w:szCs w:val="13"/>
          <w:b w:val="1"/>
          <w:bCs w:val="1"/>
          <w:color w:val="auto"/>
        </w:rPr>
        <w:t>Concurrent Investors</w:t>
      </w:r>
      <w:r>
        <w:rPr>
          <w:rFonts w:ascii="Times New Roman" w:cs="Times New Roman" w:eastAsia="Times New Roman" w:hAnsi="Times New Roman"/>
          <w:sz w:val="13"/>
          <w:szCs w:val="13"/>
          <w:color w:val="auto"/>
        </w:rPr>
        <w:t>”) have entered into a Subscription Agreement (the “</w:t>
      </w:r>
      <w:r>
        <w:rPr>
          <w:rFonts w:ascii="Times New Roman" w:cs="Times New Roman" w:eastAsia="Times New Roman" w:hAnsi="Times New Roman"/>
          <w:sz w:val="13"/>
          <w:szCs w:val="13"/>
          <w:b w:val="1"/>
          <w:bCs w:val="1"/>
          <w:color w:val="auto"/>
        </w:rPr>
        <w:t>Subscription Agreement</w:t>
      </w:r>
      <w:r>
        <w:rPr>
          <w:rFonts w:ascii="Times New Roman" w:cs="Times New Roman" w:eastAsia="Times New Roman" w:hAnsi="Times New Roman"/>
          <w:sz w:val="13"/>
          <w:szCs w:val="13"/>
          <w:color w:val="auto"/>
        </w:rPr>
        <w:t xml:space="preserve">”)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among the Company and the Persons named therein, pursuant to which such Persons have agreed to purchase in the amounts set forth therein shares of Company Common Stock at the Specified Time (collectively, the “</w:t>
      </w:r>
      <w:r>
        <w:rPr>
          <w:rFonts w:ascii="Times New Roman" w:cs="Times New Roman" w:eastAsia="Times New Roman" w:hAnsi="Times New Roman"/>
          <w:sz w:val="13"/>
          <w:szCs w:val="13"/>
          <w:b w:val="1"/>
          <w:bCs w:val="1"/>
          <w:color w:val="auto"/>
        </w:rPr>
        <w:t>Subscription Agreement Concurrent Investment</w:t>
      </w:r>
      <w:r>
        <w:rPr>
          <w:rFonts w:ascii="Times New Roman" w:cs="Times New Roman" w:eastAsia="Times New Roman" w:hAnsi="Times New Roman"/>
          <w:sz w:val="13"/>
          <w:szCs w:val="13"/>
          <w:color w:val="auto"/>
        </w:rPr>
        <w:t>”). The Company SAFEs and the Subscription Agreement are collectively referred to herein as the “</w:t>
      </w:r>
      <w:r>
        <w:rPr>
          <w:rFonts w:ascii="Times New Roman" w:cs="Times New Roman" w:eastAsia="Times New Roman" w:hAnsi="Times New Roman"/>
          <w:sz w:val="13"/>
          <w:szCs w:val="13"/>
          <w:b w:val="1"/>
          <w:bCs w:val="1"/>
          <w:color w:val="auto"/>
        </w:rPr>
        <w:t>Concurrent Investment Agreements</w:t>
      </w:r>
      <w:r>
        <w:rPr>
          <w:rFonts w:ascii="Times New Roman" w:cs="Times New Roman" w:eastAsia="Times New Roman" w:hAnsi="Times New Roman"/>
          <w:sz w:val="13"/>
          <w:szCs w:val="13"/>
          <w:color w:val="auto"/>
        </w:rPr>
        <w:t>”. The Company SAFE Concurrent Investment and the Subscription Agreement Concurrent Investment are collectively referred to herein as the “</w:t>
      </w:r>
      <w:r>
        <w:rPr>
          <w:rFonts w:ascii="Times New Roman" w:cs="Times New Roman" w:eastAsia="Times New Roman" w:hAnsi="Times New Roman"/>
          <w:sz w:val="13"/>
          <w:szCs w:val="13"/>
          <w:b w:val="1"/>
          <w:bCs w:val="1"/>
          <w:color w:val="auto"/>
        </w:rPr>
        <w:t>Concurrent Investment</w:t>
      </w:r>
      <w:r>
        <w:rPr>
          <w:rFonts w:ascii="Times New Roman" w:cs="Times New Roman" w:eastAsia="Times New Roman" w:hAnsi="Times New Roman"/>
          <w:sz w:val="13"/>
          <w:szCs w:val="13"/>
          <w:color w:val="auto"/>
        </w:rPr>
        <w:t>”. The shares of Company Common Stock so issued to Company SAFE Concurrent Investors upon the automatic conversion of their Company SAFEs and to Subscription Agreement Concurrent Investors in accordance with the Subscription Agreement are referred to collectively herein as the “</w:t>
      </w:r>
      <w:r>
        <w:rPr>
          <w:rFonts w:ascii="Times New Roman" w:cs="Times New Roman" w:eastAsia="Times New Roman" w:hAnsi="Times New Roman"/>
          <w:sz w:val="13"/>
          <w:szCs w:val="13"/>
          <w:b w:val="1"/>
          <w:bCs w:val="1"/>
          <w:color w:val="auto"/>
        </w:rPr>
        <w:t>Concurrent Investment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Company Shares</w:t>
      </w:r>
      <w:r>
        <w:rPr>
          <w:rFonts w:ascii="Times New Roman" w:cs="Times New Roman" w:eastAsia="Times New Roman" w:hAnsi="Times New Roman"/>
          <w:sz w:val="13"/>
          <w:szCs w:val="13"/>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5" w:name="page16"/>
    <w:bookmarkEnd w:id="15"/>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w:t>
      </w:r>
      <w:r>
        <w:rPr>
          <w:rFonts w:ascii="Times New Roman" w:cs="Times New Roman" w:eastAsia="Times New Roman" w:hAnsi="Times New Roman"/>
          <w:sz w:val="10"/>
          <w:szCs w:val="10"/>
          <w:b w:val="1"/>
          <w:bCs w:val="1"/>
          <w:color w:val="auto"/>
        </w:rPr>
        <w:t>GREEMENT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Parties, intending to be legally bound, agree as follows: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Definitions and Interpretative Provisions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 xml:space="preserve">(a) For purposes of this Agreement (including this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Acceptable Confidentiality Agreement</w:t>
      </w:r>
      <w:r>
        <w:rPr>
          <w:rFonts w:ascii="Times New Roman" w:cs="Times New Roman" w:eastAsia="Times New Roman" w:hAnsi="Times New Roman"/>
          <w:sz w:val="13"/>
          <w:szCs w:val="13"/>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no-hire provisions. Notwithstanding the foregoing, a Person who has previously entered into a confidentiality agreement with Aspen relating to a potential Acquisition Proposal on terms that are not materially less restrictive than the Confidentiality Agreement, in the aggregate, shall not be required to enter into a new or revised confidentiality agreement, and such existing confidentiality agreement shall be deemed to be an Acceptable Confidentiality Agreement.</w:t>
      </w:r>
    </w:p>
    <w:p>
      <w:pPr>
        <w:spacing w:after="0" w:line="135"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Inquiry</w:t>
      </w:r>
      <w:r>
        <w:rPr>
          <w:rFonts w:ascii="Times New Roman" w:cs="Times New Roman" w:eastAsia="Times New Roman" w:hAnsi="Times New Roman"/>
          <w:sz w:val="13"/>
          <w:szCs w:val="13"/>
          <w:color w:val="auto"/>
        </w:rPr>
        <w:t>” means, with respect to a Party, an inquiry, indication of interest or request for information (other than an inquiry, indication of interest or request for information made or submitted by the Company, on the one hand, or Aspen, on the other hand, to the other Party) that could reasonably be expected to lead to an Acquisition Proposal.</w:t>
      </w:r>
    </w:p>
    <w:p>
      <w:pPr>
        <w:spacing w:after="0" w:line="126"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Proposal</w:t>
      </w:r>
      <w:r>
        <w:rPr>
          <w:rFonts w:ascii="Times New Roman" w:cs="Times New Roman" w:eastAsia="Times New Roman" w:hAnsi="Times New Roman"/>
          <w:sz w:val="13"/>
          <w:szCs w:val="13"/>
          <w:color w:val="auto"/>
        </w:rPr>
        <w:t>” means, with respect to a Party, any offer or proposal, whether written or oral, contemplating or otherwise relating to any Acquisition Transaction with such Party.</w:t>
      </w:r>
    </w:p>
    <w:p>
      <w:pPr>
        <w:spacing w:after="0" w:line="119" w:lineRule="exact"/>
        <w:rPr>
          <w:sz w:val="20"/>
          <w:szCs w:val="20"/>
          <w:color w:val="auto"/>
        </w:rPr>
      </w:pPr>
    </w:p>
    <w:p>
      <w:pPr>
        <w:ind w:left="640" w:right="11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Transaction</w:t>
      </w:r>
      <w:r>
        <w:rPr>
          <w:rFonts w:ascii="Times New Roman" w:cs="Times New Roman" w:eastAsia="Times New Roman" w:hAnsi="Times New Roman"/>
          <w:sz w:val="13"/>
          <w:szCs w:val="13"/>
          <w:color w:val="auto"/>
        </w:rPr>
        <w:t>” means, with respect to a Party, any transaction or series of related transactions (other than the Contemplated Transactions and, with respect to Aspen, any Aspen Pre-Closing Transaction) involving:</w:t>
      </w:r>
    </w:p>
    <w:p>
      <w:pPr>
        <w:spacing w:after="0" w:line="121" w:lineRule="exact"/>
        <w:rPr>
          <w:sz w:val="20"/>
          <w:szCs w:val="20"/>
          <w:color w:val="auto"/>
        </w:rPr>
      </w:pPr>
    </w:p>
    <w:p>
      <w:pPr>
        <w:ind w:left="640" w:right="739" w:firstLine="307"/>
        <w:spacing w:after="0" w:line="248" w:lineRule="auto"/>
        <w:tabs>
          <w:tab w:leader="none" w:pos="112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consolidation, amalgamation, share exchange, business combination, issuance of securities, acquisition of securities, reorganization, recapitalization, tender offer, exchange offer or other similar transaction: (i) in which such Party is a constituent Entity, (ii) in which a Person or “group” (as defined in the Exchange Act and the rules promulgated thereunder) of Persons directly or indirectly acquires beneficial or record ownership of securities representing 20% or more of the outstanding shares of Aspen Common Stock (in the case of Aspen) or Company Capital Stock (in the case of the Company) or (iii) in which such Party or any of its Subsidiaries issues securities representing 20% or more of the outstanding shares of Aspen Common Stock (in the case of Aspen) or Company Capital Stock (in the case of the Company); or</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55" w:lineRule="auto"/>
        <w:tabs>
          <w:tab w:leader="none" w:pos="112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sale, lease, exchange, transfer, license, acquisition or disposition of any business or businesses or assets that constitute or account for 20% or more of the fair market value of the assets of such Party and its Subsidiaries, taken as a whole (as determined by such Party’s board of directors or a committee thereof).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6" w:name="page17"/>
    <w:bookmarkEnd w:id="16"/>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 the avoidance of doubt, any transactions, series of related transactions, agreement or discussion entered into or proposed to enter into by the Company for purposes of raising capital that is otherwise in accordance with the terms of this Agreement shall not be deemed an Acquisition Transaction.</w:t>
      </w:r>
    </w:p>
    <w:p>
      <w:pPr>
        <w:spacing w:after="0" w:line="128" w:lineRule="exact"/>
        <w:rPr>
          <w:sz w:val="20"/>
          <w:szCs w:val="20"/>
          <w:color w:val="auto"/>
        </w:rPr>
      </w:pPr>
    </w:p>
    <w:p>
      <w:pPr>
        <w:ind w:left="640" w:right="75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with respect to any Person, any other Person that directly or indirectly, through one or more intermediaries, controls, is controlled by, or is under common control with, such first Person. As used in this definition, the term “control” (including, with correlative meanings, the terms “controlling,” “controlled by” and “under common control with”) means possession, directly or indirectly, of the power to direct or cause the direction of the management and policies of a Person, whether through the ownership of voting securities, by contract or otherwise.</w:t>
      </w:r>
    </w:p>
    <w:p>
      <w:pPr>
        <w:spacing w:after="0" w:line="114" w:lineRule="exact"/>
        <w:rPr>
          <w:sz w:val="20"/>
          <w:szCs w:val="20"/>
          <w:color w:val="auto"/>
        </w:rPr>
      </w:pPr>
    </w:p>
    <w:p>
      <w:pPr>
        <w:ind w:left="640" w:right="83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Anti-Corruption Laws</w:t>
      </w:r>
      <w:r>
        <w:rPr>
          <w:rFonts w:ascii="Times New Roman" w:cs="Times New Roman" w:eastAsia="Times New Roman" w:hAnsi="Times New Roman"/>
          <w:sz w:val="13"/>
          <w:szCs w:val="13"/>
          <w:color w:val="auto"/>
        </w:rPr>
        <w:t>” means (i) the Foreign Corrupt Practices Act of 1977, as amended, the Anti-Kickback Act of 1986 and all other applicable Laws of similar effect, and the related rules, regulations and published interpretations thereunder, (ii) all applicable anti-money laundering laws, and the related rules, regulations and published interpretations thereunder, and (iii) all applicable anti-terrorism financing laws, and the related rules, regulations and published interpretations thereunder.</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Anticipated Closing Date</w:t>
      </w:r>
      <w:r>
        <w:rPr>
          <w:rFonts w:ascii="Times New Roman" w:cs="Times New Roman" w:eastAsia="Times New Roman" w:hAnsi="Times New Roman"/>
          <w:sz w:val="13"/>
          <w:szCs w:val="13"/>
          <w:color w:val="auto"/>
        </w:rPr>
        <w:t>” means the anticipated Closing Date, as agreed upon in good faith by Aspen and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Associate</w:t>
      </w:r>
      <w:r>
        <w:rPr>
          <w:rFonts w:ascii="Times New Roman" w:cs="Times New Roman" w:eastAsia="Times New Roman" w:hAnsi="Times New Roman"/>
          <w:sz w:val="13"/>
          <w:szCs w:val="13"/>
          <w:color w:val="auto"/>
        </w:rPr>
        <w:t>” means any current or former employee, independent contractor, officer or director of Aspen or any of its Subsidiaries.</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Balance Sheet</w:t>
      </w:r>
      <w:r>
        <w:rPr>
          <w:rFonts w:ascii="Times New Roman" w:cs="Times New Roman" w:eastAsia="Times New Roman" w:hAnsi="Times New Roman"/>
          <w:sz w:val="13"/>
          <w:szCs w:val="13"/>
          <w:color w:val="auto"/>
        </w:rPr>
        <w:t>” means the audited balance sheet of Aspen as of December 31, 2022, included in Aspen’s Annual Report on Form 10-K for the year ended December 31, 2022, as filed with the SEC.</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Board</w:t>
      </w:r>
      <w:r>
        <w:rPr>
          <w:rFonts w:ascii="Times New Roman" w:cs="Times New Roman" w:eastAsia="Times New Roman" w:hAnsi="Times New Roman"/>
          <w:sz w:val="13"/>
          <w:szCs w:val="13"/>
          <w:color w:val="auto"/>
        </w:rPr>
        <w:t>” means the board of directors of Aspen.</w:t>
      </w:r>
    </w:p>
    <w:p>
      <w:pPr>
        <w:spacing w:after="0" w:line="154"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Capitalization Representations</w:t>
      </w:r>
      <w:r>
        <w:rPr>
          <w:rFonts w:ascii="Times New Roman" w:cs="Times New Roman" w:eastAsia="Times New Roman" w:hAnsi="Times New Roman"/>
          <w:sz w:val="13"/>
          <w:szCs w:val="13"/>
          <w:color w:val="auto"/>
        </w:rPr>
        <w:t xml:space="preserve">” means the representations and warranties of Aspen and Merger Sub set forth in </w:t>
      </w:r>
      <w:r>
        <w:rPr>
          <w:rFonts w:ascii="Times New Roman" w:cs="Times New Roman" w:eastAsia="Times New Roman" w:hAnsi="Times New Roman"/>
          <w:sz w:val="13"/>
          <w:szCs w:val="13"/>
          <w:u w:val="single" w:color="auto"/>
          <w:color w:val="auto"/>
        </w:rPr>
        <w:t>Sections 4.6(a)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4.6(d)</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Charter</w:t>
      </w:r>
      <w:r>
        <w:rPr>
          <w:rFonts w:ascii="Times New Roman" w:cs="Times New Roman" w:eastAsia="Times New Roman" w:hAnsi="Times New Roman"/>
          <w:sz w:val="13"/>
          <w:szCs w:val="13"/>
          <w:color w:val="auto"/>
        </w:rPr>
        <w:t>” means the Fourth Amended and Restated Certificate of Incorporation of Aspen effective as of June 25, 2018.</w:t>
      </w:r>
    </w:p>
    <w:p>
      <w:pPr>
        <w:spacing w:after="0" w:line="154" w:lineRule="exact"/>
        <w:rPr>
          <w:sz w:val="20"/>
          <w:szCs w:val="20"/>
          <w:color w:val="auto"/>
        </w:rPr>
      </w:pPr>
    </w:p>
    <w:p>
      <w:pPr>
        <w:ind w:left="640" w:right="9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Closing Price</w:t>
      </w:r>
      <w:r>
        <w:rPr>
          <w:rFonts w:ascii="Times New Roman" w:cs="Times New Roman" w:eastAsia="Times New Roman" w:hAnsi="Times New Roman"/>
          <w:sz w:val="13"/>
          <w:szCs w:val="13"/>
          <w:color w:val="auto"/>
        </w:rPr>
        <w:t>” means the volume weighted average closing trading price of a share of Aspen Common Stock on Nasdaq for the five (5) consecutive trading days ending three (3) trading days immediately prior to the date of the public announcement of this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Common Stock</w:t>
      </w:r>
      <w:r>
        <w:rPr>
          <w:rFonts w:ascii="Times New Roman" w:cs="Times New Roman" w:eastAsia="Times New Roman" w:hAnsi="Times New Roman"/>
          <w:sz w:val="13"/>
          <w:szCs w:val="13"/>
          <w:color w:val="auto"/>
        </w:rPr>
        <w:t>” means the common stock, $0.0001 par value per share, of Aspen.</w:t>
      </w:r>
    </w:p>
    <w:p>
      <w:pPr>
        <w:spacing w:after="0" w:line="154"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Contract</w:t>
      </w:r>
      <w:r>
        <w:rPr>
          <w:rFonts w:ascii="Times New Roman" w:cs="Times New Roman" w:eastAsia="Times New Roman" w:hAnsi="Times New Roman"/>
          <w:sz w:val="13"/>
          <w:szCs w:val="13"/>
          <w:color w:val="auto"/>
        </w:rPr>
        <w:t>” means any Contract: (a) to which Aspen is a party, (b) by which Aspen or any Aspen Intellectual Property or any other asset of Aspen is bound or under which Aspen has any obligation or (c) under which Aspen has or may acquire any right or interest.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Aspen Employee Plan</w:t>
      </w:r>
      <w:r>
        <w:rPr>
          <w:rFonts w:ascii="Times New Roman" w:cs="Times New Roman" w:eastAsia="Times New Roman" w:hAnsi="Times New Roman"/>
          <w:sz w:val="12"/>
          <w:szCs w:val="12"/>
          <w:color w:val="auto"/>
        </w:rPr>
        <w:t>” means any Employee Plan that Aspen or any of its Subsidiaries (i) sponsors, maintains, administers, or contributes to, or</w:t>
      </w:r>
    </w:p>
    <w:p>
      <w:pPr>
        <w:spacing w:after="0" w:line="29" w:lineRule="exact"/>
        <w:rPr>
          <w:sz w:val="20"/>
          <w:szCs w:val="20"/>
          <w:color w:val="auto"/>
        </w:rPr>
      </w:pPr>
    </w:p>
    <w:p>
      <w:pPr>
        <w:ind w:left="640" w:right="739" w:hanging="3"/>
        <w:spacing w:after="0" w:line="245" w:lineRule="auto"/>
        <w:tabs>
          <w:tab w:leader="none" w:pos="826"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Aspen or any of its Subsidiaries (or their spouses, dependents, or beneficiaries).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7" w:name="page18"/>
    <w:bookmarkEnd w:id="17"/>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Aspen Fundamental Representations</w:t>
      </w:r>
      <w:r>
        <w:rPr>
          <w:rFonts w:ascii="Times New Roman" w:cs="Times New Roman" w:eastAsia="Times New Roman" w:hAnsi="Times New Roman"/>
          <w:sz w:val="13"/>
          <w:szCs w:val="13"/>
          <w:color w:val="auto"/>
        </w:rPr>
        <w:t xml:space="preserve">” means the representations and warranties of Aspen and Merger Sub set forth in </w:t>
      </w:r>
      <w:r>
        <w:rPr>
          <w:rFonts w:ascii="Times New Roman" w:cs="Times New Roman" w:eastAsia="Times New Roman" w:hAnsi="Times New Roman"/>
          <w:sz w:val="13"/>
          <w:szCs w:val="13"/>
          <w:u w:val="single" w:color="auto"/>
          <w:color w:val="auto"/>
        </w:rPr>
        <w:t>Sections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4.21</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jc w:val="both"/>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Intellectual Property</w:t>
      </w:r>
      <w:r>
        <w:rPr>
          <w:rFonts w:ascii="Times New Roman" w:cs="Times New Roman" w:eastAsia="Times New Roman" w:hAnsi="Times New Roman"/>
          <w:sz w:val="13"/>
          <w:szCs w:val="13"/>
          <w:color w:val="auto"/>
        </w:rPr>
        <w:t>” means (i) any and all Intellectual Property owned or purported to be owned, solely or jointly, by Aspen (“</w:t>
      </w:r>
      <w:r>
        <w:rPr>
          <w:rFonts w:ascii="Times New Roman" w:cs="Times New Roman" w:eastAsia="Times New Roman" w:hAnsi="Times New Roman"/>
          <w:sz w:val="13"/>
          <w:szCs w:val="13"/>
          <w:b w:val="1"/>
          <w:bCs w:val="1"/>
          <w:color w:val="auto"/>
        </w:rPr>
        <w:t>Aspen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Owned Intellectual Property</w:t>
      </w:r>
      <w:r>
        <w:rPr>
          <w:rFonts w:ascii="Times New Roman" w:cs="Times New Roman" w:eastAsia="Times New Roman" w:hAnsi="Times New Roman"/>
          <w:sz w:val="13"/>
          <w:szCs w:val="13"/>
          <w:color w:val="auto"/>
        </w:rPr>
        <w:t>”), and (ii) any and all Intellectual Property owned by any other Person and licensed or purported to be licensed to Aspen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to which Aspen has or purports to have any other right (“</w:t>
      </w:r>
      <w:r>
        <w:rPr>
          <w:rFonts w:ascii="Times New Roman" w:cs="Times New Roman" w:eastAsia="Times New Roman" w:hAnsi="Times New Roman"/>
          <w:sz w:val="13"/>
          <w:szCs w:val="13"/>
          <w:b w:val="1"/>
          <w:bCs w:val="1"/>
          <w:color w:val="auto"/>
        </w:rPr>
        <w:t>Aspen Licensed Intellectual Property</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Key Employee</w:t>
      </w:r>
      <w:r>
        <w:rPr>
          <w:rFonts w:ascii="Times New Roman" w:cs="Times New Roman" w:eastAsia="Times New Roman" w:hAnsi="Times New Roman"/>
          <w:sz w:val="13"/>
          <w:szCs w:val="13"/>
          <w:color w:val="auto"/>
        </w:rPr>
        <w:t>” means (i) an executive officer of Aspen; and (ii) any employee of Aspen that reports directly to the Aspen Board or to an executive officer of Aspen.</w:t>
      </w:r>
    </w:p>
    <w:p>
      <w:pPr>
        <w:spacing w:after="0" w:line="119" w:lineRule="exact"/>
        <w:rPr>
          <w:sz w:val="20"/>
          <w:szCs w:val="20"/>
          <w:color w:val="auto"/>
        </w:rPr>
      </w:pPr>
    </w:p>
    <w:p>
      <w:pPr>
        <w:ind w:left="640" w:right="8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Pre-Closing Assets</w:t>
      </w:r>
      <w:r>
        <w:rPr>
          <w:rFonts w:ascii="Times New Roman" w:cs="Times New Roman" w:eastAsia="Times New Roman" w:hAnsi="Times New Roman"/>
          <w:sz w:val="13"/>
          <w:szCs w:val="13"/>
          <w:color w:val="auto"/>
        </w:rPr>
        <w:t>” means those assets of Aspen, to the extent existing as of immediately prior to the Closing, relating to (a) Aspen’s plato manufacturing platform, (b) Aspen’s AVR-RD-01 (Fabry), AVR-RD-02 (Gaucher), and/or AVR-RD-03 (Pompe) research and development programs, and (c) Aspen’s Intellectual Property set forth in Section 4.12(a) of the Aspen Disclosure Schedule.</w:t>
      </w:r>
    </w:p>
    <w:p>
      <w:pPr>
        <w:spacing w:after="0" w:line="126"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Aspen Material Adverse Effect</w:t>
      </w:r>
      <w:r>
        <w:rPr>
          <w:rFonts w:ascii="Times New Roman" w:cs="Times New Roman" w:eastAsia="Times New Roman" w:hAnsi="Times New Roman"/>
          <w:sz w:val="12"/>
          <w:szCs w:val="12"/>
          <w:color w:val="auto"/>
        </w:rPr>
        <w:t xml:space="preserve">” means any Effect that, considered together with all other Effects that have occurred prior to the date of determination of the occurrence of the Aspen Material Adverse Effect, has or would reasonably be expected to have a material adverse effect on the business, financial condition, assets, liabilities or results of operations of Aspen or any of its Subsidiaries, taken as a whole;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Effects arising or resulting from the following shall not be taken into account in determining whether there has been an Aspen Material Adverse Effect:</w:t>
      </w:r>
    </w:p>
    <w:p>
      <w:pPr>
        <w:ind w:left="800" w:hanging="163"/>
        <w:spacing w:after="0"/>
        <w:tabs>
          <w:tab w:leader="none" w:pos="8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announcement of this Agreement or the pendency of the Contemplated Transactions, (b) any change in the stock price or trading volume of</w:t>
      </w:r>
    </w:p>
    <w:p>
      <w:pPr>
        <w:spacing w:after="0" w:line="2" w:lineRule="exact"/>
        <w:rPr>
          <w:rFonts w:ascii="Times New Roman" w:cs="Times New Roman" w:eastAsia="Times New Roman" w:hAnsi="Times New Roman"/>
          <w:sz w:val="13"/>
          <w:szCs w:val="13"/>
          <w:color w:val="auto"/>
        </w:rPr>
      </w:pPr>
    </w:p>
    <w:p>
      <w:pPr>
        <w:ind w:left="640" w:right="67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Common Stock (it being understood, however, that any Effect causing or contributing to any change in stock price or trading volume of Aspen Common Stock may be taken into account in determining whether an Aspen Material Adverse Effect has occurred, unless such Effects are otherwise excepted from this definition), (c) the taking of any action, or the failure to take any action, by Aspen that is required to comply with the terms of this Agreement, (d)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Aspen or any of its Subsidiaries operates (other than to the extent contemplated by the succeeding clause (g)), (g) any government shutdown or slowdown, (h) the sale or winding down of the Aspen’s business or operations as they exist prior to the Closing, and the sale, license or other disposition of the Aspen Pre-Closing Assets in compliance with the terms of this Agreement and applicable Law, or (i) any change in the cash position of Aspen and its Subsidiaries which results from operations in the Ordinary Course of Business; except, in each case with respect to clauses (d), (e) and (f), to the extent materially and disproportionately affecting Aspen and any its Subsidiaries, taken as a whole, relative to other similarly situated companies in the industries in which Aspen or any of its Subsidiaries operates.</w:t>
      </w:r>
    </w:p>
    <w:p>
      <w:pPr>
        <w:spacing w:after="0" w:line="141"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Net Cash</w:t>
      </w:r>
      <w:r>
        <w:rPr>
          <w:rFonts w:ascii="Times New Roman" w:cs="Times New Roman" w:eastAsia="Times New Roman" w:hAnsi="Times New Roman"/>
          <w:sz w:val="13"/>
          <w:szCs w:val="13"/>
          <w:color w:val="auto"/>
        </w:rPr>
        <w:t xml:space="preserve">” means, without duplication, (i) Aspen’s cash and cash equivalents and marketable securities as of immediately prior to the Closing and determined in accordance with GAAP, in a manner consistent with the manner in which such items were historically determined and in accordance with Aspen’s financial statements,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 all prepaid expenses or deposits of Aspen and its Subsidiaries set forth on </w:t>
      </w:r>
      <w:r>
        <w:rPr>
          <w:rFonts w:ascii="Times New Roman" w:cs="Times New Roman" w:eastAsia="Times New Roman" w:hAnsi="Times New Roman"/>
          <w:sz w:val="13"/>
          <w:szCs w:val="13"/>
          <w:u w:val="single" w:color="auto"/>
          <w:color w:val="auto"/>
        </w:rPr>
        <w:t>Section 1.1(b)(i)</w:t>
      </w:r>
      <w:r>
        <w:rPr>
          <w:rFonts w:ascii="Times New Roman" w:cs="Times New Roman" w:eastAsia="Times New Roman" w:hAnsi="Times New Roman"/>
          <w:sz w:val="13"/>
          <w:szCs w:val="13"/>
          <w:color w:val="auto"/>
        </w:rPr>
        <w:t xml:space="preserve"> of the Aspen Disclosure Schedule, </w:t>
      </w:r>
      <w:r>
        <w:rPr>
          <w:rFonts w:ascii="Times New Roman" w:cs="Times New Roman" w:eastAsia="Times New Roman" w:hAnsi="Times New Roman"/>
          <w:sz w:val="13"/>
          <w:szCs w:val="13"/>
          <w:i w:val="1"/>
          <w:iCs w:val="1"/>
          <w:u w:val="single" w:color="auto"/>
          <w:color w:val="auto"/>
        </w:rPr>
        <w:t>minus</w:t>
      </w:r>
      <w:r>
        <w:rPr>
          <w:rFonts w:ascii="Times New Roman" w:cs="Times New Roman" w:eastAsia="Times New Roman" w:hAnsi="Times New Roman"/>
          <w:sz w:val="13"/>
          <w:szCs w:val="13"/>
          <w:color w:val="auto"/>
        </w:rPr>
        <w:t xml:space="preserve"> (iii) the sum of all cash payments actually required to be made by Aspen under its contractual obligations as set forth on </w:t>
      </w:r>
      <w:r>
        <w:rPr>
          <w:rFonts w:ascii="Times New Roman" w:cs="Times New Roman" w:eastAsia="Times New Roman" w:hAnsi="Times New Roman"/>
          <w:sz w:val="13"/>
          <w:szCs w:val="13"/>
          <w:u w:val="single" w:color="auto"/>
          <w:color w:val="auto"/>
        </w:rPr>
        <w:t>Section 1.1(b)(ii)</w:t>
      </w:r>
      <w:r>
        <w:rPr>
          <w:rFonts w:ascii="Times New Roman" w:cs="Times New Roman" w:eastAsia="Times New Roman" w:hAnsi="Times New Roman"/>
          <w:sz w:val="13"/>
          <w:szCs w:val="13"/>
          <w:color w:val="auto"/>
        </w:rPr>
        <w:t xml:space="preserve"> of the Aspen Disclosure Schedule to the extent unpaid as of immediately prior to the Closing, </w:t>
      </w:r>
      <w:r>
        <w:rPr>
          <w:rFonts w:ascii="Times New Roman" w:cs="Times New Roman" w:eastAsia="Times New Roman" w:hAnsi="Times New Roman"/>
          <w:sz w:val="13"/>
          <w:szCs w:val="13"/>
          <w:i w:val="1"/>
          <w:iCs w:val="1"/>
          <w:u w:val="single" w:color="auto"/>
          <w:color w:val="auto"/>
        </w:rPr>
        <w:t>minus</w:t>
      </w:r>
      <w:r>
        <w:rPr>
          <w:rFonts w:ascii="Times New Roman" w:cs="Times New Roman" w:eastAsia="Times New Roman" w:hAnsi="Times New Roman"/>
          <w:sz w:val="13"/>
          <w:szCs w:val="13"/>
          <w:color w:val="auto"/>
        </w:rPr>
        <w:t xml:space="preserve"> (iv) all unpaid liabilities accrued at the Closing Date required to be set forth on a balance sheet calculated in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8" w:name="page19"/>
    <w:bookmarkEnd w:id="18"/>
    <w:p>
      <w:pPr>
        <w:ind w:left="640" w:right="679"/>
        <w:spacing w:after="0" w:line="26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accordance with GAAP, in each case determined in accordance with GAAP and, to the extent in accordance with GAAP, in a manner consistent with the manner in which such items were historically determined and in accordance with Aspen’s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Aspen’s property, liabilities for Taxes relating to the disposition of the Aspen Pre-Closing Assets, and any guarantees relating to each of the foregoing),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 the Transaction Expenses of Aspen to the extent unpaid as of the Closing;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(vi) the unpaid cash cost of any change in control payments, severance payments, bonus payments or retention payments payable to employees of Aspen (whether “single” or “double” trigger) (including, without limitation, (a) a reasonable estimate of payment or reimbursement by Aspen for continued coverage under any employee benefit plan in existence immediately prior to the Closing (excluding any such plan contemplated by the Equity Plan Proposals) and (b) including the employer portion of any employment, payroll or similar Taxes with respect to all such compensation),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(vii) all Liabilities with respect to Aspen’s or any of its Subsidiaries’ payment obligations pursuant to real estate leases,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(viii) any unpaid premium of (x) the “D&amp;O tail policy” pursuant to </w:t>
      </w:r>
      <w:r>
        <w:rPr>
          <w:rFonts w:ascii="Times New Roman" w:cs="Times New Roman" w:eastAsia="Times New Roman" w:hAnsi="Times New Roman"/>
          <w:sz w:val="12"/>
          <w:szCs w:val="12"/>
          <w:u w:val="single" w:color="auto"/>
          <w:color w:val="auto"/>
        </w:rPr>
        <w:t>Section 6.8(d)</w:t>
      </w:r>
      <w:r>
        <w:rPr>
          <w:rFonts w:ascii="Times New Roman" w:cs="Times New Roman" w:eastAsia="Times New Roman" w:hAnsi="Times New Roman"/>
          <w:sz w:val="12"/>
          <w:szCs w:val="12"/>
          <w:color w:val="auto"/>
        </w:rPr>
        <w:t xml:space="preserve"> and (y) the clinical trial liability insurance tail policy,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(ix) any unpaid Taxes of Aspen and its Subsidiaries for Tax periods (or portions thereof) ending on or before the Closing and which are accrued in accordance with GAAP as of immediately prior to Closing (unless otherwise required by Law),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(x) all unpaid costs and expenses (including a reasonable estimate of any Taxes) relating to the winding down of any portion of Aspen’s pre-Closing business, which is either not to be held for sale after the Closing Date or subject to the terms of the CVR Agreement,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(xi) 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(xii) all withholding Taxes payable in connection with the distribution of any contingent value rights to any former Aspen shareholder,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(xiii) all amounts paid prior to, or actually incurred as of, the Closing not otherwise already reducing cash and cash equivalents, by Aspen as a result of any Aspen Transaction Litigation, </w:t>
      </w:r>
      <w:r>
        <w:rPr>
          <w:rFonts w:ascii="Times New Roman" w:cs="Times New Roman" w:eastAsia="Times New Roman" w:hAnsi="Times New Roman"/>
          <w:sz w:val="12"/>
          <w:szCs w:val="12"/>
          <w:i w:val="1"/>
          <w:iCs w:val="1"/>
          <w:u w:val="single" w:color="auto"/>
          <w:color w:val="auto"/>
        </w:rPr>
        <w:t>plus</w:t>
      </w:r>
    </w:p>
    <w:p>
      <w:pPr>
        <w:spacing w:after="0" w:line="10" w:lineRule="exact"/>
        <w:rPr>
          <w:sz w:val="20"/>
          <w:szCs w:val="20"/>
          <w:color w:val="auto"/>
        </w:rPr>
      </w:pPr>
    </w:p>
    <w:p>
      <w:pPr>
        <w:ind w:left="640" w:right="739" w:hanging="3"/>
        <w:spacing w:after="0" w:line="246" w:lineRule="auto"/>
        <w:tabs>
          <w:tab w:leader="none" w:pos="917"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amount of Company Portion paid by Aspen or its Subsidiaries prior to the Closing,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(xv) 80% of the IP Expense Fund (as defined in the CVR Agreement).</w:t>
      </w:r>
    </w:p>
    <w:p>
      <w:pPr>
        <w:spacing w:after="0" w:line="134" w:lineRule="exact"/>
        <w:rPr>
          <w:sz w:val="20"/>
          <w:szCs w:val="20"/>
          <w:color w:val="auto"/>
        </w:rPr>
      </w:pPr>
    </w:p>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Options</w:t>
      </w:r>
      <w:r>
        <w:rPr>
          <w:rFonts w:ascii="Times New Roman" w:cs="Times New Roman" w:eastAsia="Times New Roman" w:hAnsi="Times New Roman"/>
          <w:sz w:val="13"/>
          <w:szCs w:val="13"/>
          <w:color w:val="auto"/>
        </w:rPr>
        <w:t>” means options to purchase shares of Aspen Common Stock granted by Aspen whether or not granted pursuant to any Aspen Stock Plan.</w:t>
      </w:r>
    </w:p>
    <w:p>
      <w:pPr>
        <w:spacing w:after="0" w:line="119" w:lineRule="exact"/>
        <w:rPr>
          <w:sz w:val="20"/>
          <w:szCs w:val="20"/>
          <w:color w:val="auto"/>
        </w:rPr>
      </w:pPr>
    </w:p>
    <w:p>
      <w:pPr>
        <w:ind w:left="640" w:right="659" w:firstLine="309"/>
        <w:spacing w:after="0" w:line="27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Aspen Outbound License</w:t>
      </w:r>
      <w:r>
        <w:rPr>
          <w:rFonts w:ascii="Times New Roman" w:cs="Times New Roman" w:eastAsia="Times New Roman" w:hAnsi="Times New Roman"/>
          <w:sz w:val="12"/>
          <w:szCs w:val="12"/>
          <w:color w:val="auto"/>
        </w:rPr>
        <w:t>” means any Aspen Contract pursuant to which Aspen grants any license or any other right or immunity (including any sublicense, option, right of first refusal or other preferential right or covenant not to sue) under any Aspen Intellectual Property that is material to the business of Aspen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Aspen or (ii) incidental to any assays or other materials obtained from third parties under material transfer agreements or other similar contracts, in each case, consistent with industry standard, and (b) agreements between any of Aspen or any Subsidiary thereof and another Subsidiary of Aspen.</w:t>
      </w:r>
    </w:p>
    <w:p>
      <w:pPr>
        <w:spacing w:after="0" w:line="120" w:lineRule="exact"/>
        <w:rPr>
          <w:sz w:val="20"/>
          <w:szCs w:val="20"/>
          <w:color w:val="auto"/>
        </w:rPr>
      </w:pPr>
    </w:p>
    <w:p>
      <w:pPr>
        <w:ind w:left="640" w:right="9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Product</w:t>
      </w:r>
      <w:r>
        <w:rPr>
          <w:rFonts w:ascii="Times New Roman" w:cs="Times New Roman" w:eastAsia="Times New Roman" w:hAnsi="Times New Roman"/>
          <w:sz w:val="13"/>
          <w:szCs w:val="13"/>
          <w:color w:val="auto"/>
        </w:rPr>
        <w:t>” means any pharmaceutical, biological or medicinal therapy, compound, drug, product candidate or product that is being developed, researched, manufactured, tested, licensed, offered, marketed, sold, or distributed by or on behalf of Aspen, including any discovery or clinical programs or platforms and the therapies and compounds made and tested in such programs, including through collaboration with others, or through compassionate use/named patient activities.</w:t>
      </w:r>
    </w:p>
    <w:p>
      <w:pPr>
        <w:spacing w:after="0" w:line="130"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Restricted Stock Units</w:t>
      </w:r>
      <w:r>
        <w:rPr>
          <w:rFonts w:ascii="Times New Roman" w:cs="Times New Roman" w:eastAsia="Times New Roman" w:hAnsi="Times New Roman"/>
          <w:sz w:val="13"/>
          <w:szCs w:val="13"/>
          <w:color w:val="auto"/>
        </w:rPr>
        <w:t>” means any equity award of restricted stock units with respect to Aspen Common Stock that represents the right to receive in the future shares of Aspen Common Stock granted by Aspen whether or not granted pursuant to any Aspen Stock Plan.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9" w:name="page20"/>
    <w:bookmarkEnd w:id="19"/>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Aspen Triggering Event</w:t>
      </w:r>
      <w:r>
        <w:rPr>
          <w:rFonts w:ascii="Times New Roman" w:cs="Times New Roman" w:eastAsia="Times New Roman" w:hAnsi="Times New Roman"/>
          <w:sz w:val="13"/>
          <w:szCs w:val="13"/>
          <w:color w:val="auto"/>
        </w:rPr>
        <w:t xml:space="preserve">” shall be deemed to have occurred if: (a) Aspen shall have failed to include in the Proxy Statement the Aspen Board Recommendation, (b)(i) the Aspen Board or any committee thereof shall have made an Aspen Board Adverse Recommendation Change or (ii) the Aspen Board or any committee thereof shall have approved, endorsed or recommended any Acquisition Proposal with respect to an acquisition of Aspen (other than by the Company or an Affiliate thereof and other than actions made in compliance with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(except for an Aspen Board Adverse Recommendation Change)), (c) Aspen shall have entered into any letter of intent or similar document or any similar Contract relating to any Acquisition Proposal (other than an Acceptable Confidentiality Agreement permitted pursuant to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or (d) upon willful and material breach of Aspen’s obligations set forth in the first sentence of </w:t>
      </w:r>
      <w:r>
        <w:rPr>
          <w:rFonts w:ascii="Times New Roman" w:cs="Times New Roman" w:eastAsia="Times New Roman" w:hAnsi="Times New Roman"/>
          <w:sz w:val="13"/>
          <w:szCs w:val="13"/>
          <w:u w:val="single" w:color="auto"/>
          <w:color w:val="auto"/>
        </w:rPr>
        <w:t>Section 5.4(a)</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other than a day on which banks in the State of New York are authorized or obligated to be closed.</w:t>
      </w:r>
    </w:p>
    <w:p>
      <w:pPr>
        <w:spacing w:after="0" w:line="15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COBRA</w:t>
      </w:r>
      <w:r>
        <w:rPr>
          <w:rFonts w:ascii="Times New Roman" w:cs="Times New Roman" w:eastAsia="Times New Roman" w:hAnsi="Times New Roman"/>
          <w:sz w:val="13"/>
          <w:szCs w:val="13"/>
          <w:color w:val="auto"/>
        </w:rPr>
        <w:t>” means the Consolidated Omnibus Budget Reconciliation Act of 1985, as set forth in Section 4980B of the Code and Section 6 of Title I of ERISA.</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154" w:lineRule="exact"/>
        <w:rPr>
          <w:sz w:val="20"/>
          <w:szCs w:val="20"/>
          <w:color w:val="auto"/>
        </w:rPr>
      </w:pPr>
    </w:p>
    <w:p>
      <w:pPr>
        <w:ind w:left="640" w:right="127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Collaboration Partner</w:t>
      </w:r>
      <w:r>
        <w:rPr>
          <w:rFonts w:ascii="Times New Roman" w:cs="Times New Roman" w:eastAsia="Times New Roman" w:hAnsi="Times New Roman"/>
          <w:sz w:val="12"/>
          <w:szCs w:val="12"/>
          <w:color w:val="auto"/>
        </w:rPr>
        <w:t>” means any research, development, collaboration or similar commercialization partner of the Company or its Subsidiaries with respect to the Company Products or of Aspen or its Subsidiaries with respect to the Aspen Products, as applicable.</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Associate</w:t>
      </w:r>
      <w:r>
        <w:rPr>
          <w:rFonts w:ascii="Times New Roman" w:cs="Times New Roman" w:eastAsia="Times New Roman" w:hAnsi="Times New Roman"/>
          <w:sz w:val="13"/>
          <w:szCs w:val="13"/>
          <w:color w:val="auto"/>
        </w:rPr>
        <w:t>” means any current employee, independent contractor, officer or director of the Company or any of its Subsidiaries.</w:t>
      </w:r>
    </w:p>
    <w:p>
      <w:pPr>
        <w:spacing w:after="0" w:line="154" w:lineRule="exact"/>
        <w:rPr>
          <w:sz w:val="20"/>
          <w:szCs w:val="20"/>
          <w:color w:val="auto"/>
        </w:rPr>
      </w:pPr>
    </w:p>
    <w:p>
      <w:pPr>
        <w:jc w:val="both"/>
        <w:ind w:left="640" w:right="8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Authorized Share Increase</w:t>
      </w:r>
      <w:r>
        <w:rPr>
          <w:rFonts w:ascii="Times New Roman" w:cs="Times New Roman" w:eastAsia="Times New Roman" w:hAnsi="Times New Roman"/>
          <w:sz w:val="13"/>
          <w:szCs w:val="13"/>
          <w:color w:val="auto"/>
        </w:rPr>
        <w:t>” means an increase in the number of authorized shares of Company Common Stock from 11,947,558 shares of Company Common Stock to 30,000,000 shares of Company Common Stock or such other number of shares of Company Common Stock as may be mutually agreed in writing by the Company and Aspen.</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Capital Stock</w:t>
      </w:r>
      <w:r>
        <w:rPr>
          <w:rFonts w:ascii="Times New Roman" w:cs="Times New Roman" w:eastAsia="Times New Roman" w:hAnsi="Times New Roman"/>
          <w:sz w:val="13"/>
          <w:szCs w:val="13"/>
          <w:color w:val="auto"/>
        </w:rPr>
        <w:t>” means the Company Common Stock and the Company Preferred Stock.</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Capitalization Representations</w:t>
      </w:r>
      <w:r>
        <w:rPr>
          <w:rFonts w:ascii="Times New Roman" w:cs="Times New Roman" w:eastAsia="Times New Roman" w:hAnsi="Times New Roman"/>
          <w:sz w:val="12"/>
          <w:szCs w:val="12"/>
          <w:color w:val="auto"/>
        </w:rPr>
        <w:t xml:space="preserve">” means the representations and warranties of the Company set forth in </w:t>
      </w:r>
      <w:r>
        <w:rPr>
          <w:rFonts w:ascii="Times New Roman" w:cs="Times New Roman" w:eastAsia="Times New Roman" w:hAnsi="Times New Roman"/>
          <w:sz w:val="12"/>
          <w:szCs w:val="12"/>
          <w:u w:val="single" w:color="auto"/>
          <w:color w:val="auto"/>
        </w:rPr>
        <w:t>Sections 3.6(a)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3.6(d)</w:t>
      </w:r>
      <w:r>
        <w:rPr>
          <w:rFonts w:ascii="Times New Roman" w:cs="Times New Roman" w:eastAsia="Times New Roman" w:hAnsi="Times New Roman"/>
          <w:sz w:val="12"/>
          <w:szCs w:val="12"/>
          <w:color w:val="auto"/>
        </w:rPr>
        <w:t>.</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means the Common Stock, $0.0001 par value per share, of the Company.</w:t>
      </w:r>
    </w:p>
    <w:p>
      <w:pPr>
        <w:spacing w:after="0" w:line="154"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Contract</w:t>
      </w:r>
      <w:r>
        <w:rPr>
          <w:rFonts w:ascii="Times New Roman" w:cs="Times New Roman" w:eastAsia="Times New Roman" w:hAnsi="Times New Roman"/>
          <w:sz w:val="13"/>
          <w:szCs w:val="13"/>
          <w:color w:val="auto"/>
        </w:rPr>
        <w:t>” means any Contract: (a) to which the Company or any of its Subsidiaries is a Party, (b) by which the Company or any of its Subsidiaries is bound or under which the Company or any of its Subsidiaries has any obligation or (c) under which the Company or any of its Subsidiaries has any right or interest.</w:t>
      </w:r>
    </w:p>
    <w:p>
      <w:pPr>
        <w:spacing w:after="0" w:line="126"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Convertible Notes</w:t>
      </w:r>
      <w:r>
        <w:rPr>
          <w:rFonts w:ascii="Times New Roman" w:cs="Times New Roman" w:eastAsia="Times New Roman" w:hAnsi="Times New Roman"/>
          <w:sz w:val="13"/>
          <w:szCs w:val="13"/>
          <w:color w:val="auto"/>
        </w:rPr>
        <w:t>” means the convertible promissory notes in respect of shares of Company Capital Stock issued by the Company, as amended or supplemented (for the avoidance of doubt, (i) other than Company Options and (ii) including the Company SAFEs).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0" w:name="page21"/>
    <w:bookmarkEnd w:id="20"/>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Employee Plan</w:t>
      </w:r>
      <w:r>
        <w:rPr>
          <w:rFonts w:ascii="Times New Roman" w:cs="Times New Roman" w:eastAsia="Times New Roman" w:hAnsi="Times New Roman"/>
          <w:sz w:val="13"/>
          <w:szCs w:val="13"/>
          <w:color w:val="auto"/>
        </w:rPr>
        <w:t>” means any Employee Plan that the Company or any of its Subsidiaries (i) sponsors, maintains, administers, or contributes to, or (ii) 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the Company or any of its Subsidiaries (or their spouses, dependents, or beneficiaries).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Incentive Plan</w:t>
      </w:r>
      <w:r>
        <w:rPr>
          <w:rFonts w:ascii="Times New Roman" w:cs="Times New Roman" w:eastAsia="Times New Roman" w:hAnsi="Times New Roman"/>
          <w:sz w:val="13"/>
          <w:szCs w:val="13"/>
          <w:color w:val="auto"/>
        </w:rPr>
        <w:t>” means the Company’s 2019 Equity Incentive Plan.</w:t>
      </w:r>
    </w:p>
    <w:p>
      <w:pPr>
        <w:spacing w:after="0" w:line="154" w:lineRule="exact"/>
        <w:rPr>
          <w:sz w:val="20"/>
          <w:szCs w:val="20"/>
          <w:color w:val="auto"/>
        </w:rPr>
      </w:pPr>
    </w:p>
    <w:p>
      <w:pPr>
        <w:jc w:val="both"/>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Exclusively Licensed Intellectual Property</w:t>
      </w:r>
      <w:r>
        <w:rPr>
          <w:rFonts w:ascii="Times New Roman" w:cs="Times New Roman" w:eastAsia="Times New Roman" w:hAnsi="Times New Roman"/>
          <w:sz w:val="13"/>
          <w:szCs w:val="13"/>
          <w:color w:val="auto"/>
        </w:rPr>
        <w:t>” means any and all Company Licensed Intellectual Property that is, or is purported to be, exclusively licensed to the Company, or to which the Company has or purports to have any other exclusive right, but excluding agreements between any of the Company or any Subsidiary thereof and another Subsidiary of the Company.</w:t>
      </w:r>
    </w:p>
    <w:p>
      <w:pPr>
        <w:spacing w:after="0" w:line="126"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Fundamental Representations</w:t>
      </w:r>
      <w:r>
        <w:rPr>
          <w:rFonts w:ascii="Times New Roman" w:cs="Times New Roman" w:eastAsia="Times New Roman" w:hAnsi="Times New Roman"/>
          <w:sz w:val="13"/>
          <w:szCs w:val="13"/>
          <w:color w:val="auto"/>
        </w:rPr>
        <w:t xml:space="preserve">” means the representations and warranties of the Company set forth in </w:t>
      </w:r>
      <w:r>
        <w:rPr>
          <w:rFonts w:ascii="Times New Roman" w:cs="Times New Roman" w:eastAsia="Times New Roman" w:hAnsi="Times New Roman"/>
          <w:sz w:val="13"/>
          <w:szCs w:val="13"/>
          <w:u w:val="single" w:color="auto"/>
          <w:color w:val="auto"/>
        </w:rPr>
        <w:t>Sections 3.1(a)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3.20</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Inbound License</w:t>
      </w:r>
      <w:r>
        <w:rPr>
          <w:rFonts w:ascii="Times New Roman" w:cs="Times New Roman" w:eastAsia="Times New Roman" w:hAnsi="Times New Roman"/>
          <w:sz w:val="12"/>
          <w:szCs w:val="12"/>
          <w:color w:val="auto"/>
        </w:rPr>
        <w:t>” means any Company Contract pursuant to which the Company is granted any license or obtains any other right or immunity (including any sublicense, option, right of first refusal or other preferential right or covenant not to be sued) under (a) any Intellectual Property of any other Person that is material to the business of the Company taken as a whole (or to the further research, development and commercialization of Company Products as currently planned by Company), in each case, other than (i) agreements between the Company and its employees or consultants, with this exception limited to the extent of the assignment of Intellectual Property created by such individuals to the Company thereunder and (ii) agreements for any Third Party non-customized commercially available object code software licensed to the Company on generally available, standard commercial pricing and other terms for less than $250,000; or (b) any Company Exclusively Licensed Intellectual Property.</w:t>
      </w:r>
    </w:p>
    <w:p>
      <w:pPr>
        <w:spacing w:after="0" w:line="118" w:lineRule="exact"/>
        <w:rPr>
          <w:sz w:val="20"/>
          <w:szCs w:val="20"/>
          <w:color w:val="auto"/>
        </w:rPr>
      </w:pPr>
    </w:p>
    <w:p>
      <w:pPr>
        <w:ind w:left="640" w:right="75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Intellectual Property</w:t>
      </w:r>
      <w:r>
        <w:rPr>
          <w:rFonts w:ascii="Times New Roman" w:cs="Times New Roman" w:eastAsia="Times New Roman" w:hAnsi="Times New Roman"/>
          <w:sz w:val="12"/>
          <w:szCs w:val="12"/>
          <w:color w:val="auto"/>
        </w:rPr>
        <w:t>” means (i) any and all Intellectual Property owned or purported to be owned, solely or jointly, by any the Company (“</w:t>
      </w:r>
      <w:r>
        <w:rPr>
          <w:rFonts w:ascii="Times New Roman" w:cs="Times New Roman" w:eastAsia="Times New Roman" w:hAnsi="Times New Roman"/>
          <w:sz w:val="12"/>
          <w:szCs w:val="12"/>
          <w:b w:val="1"/>
          <w:bCs w:val="1"/>
          <w:color w:val="auto"/>
        </w:rPr>
        <w:t>Company Owned Intellectual Property</w:t>
      </w:r>
      <w:r>
        <w:rPr>
          <w:rFonts w:ascii="Times New Roman" w:cs="Times New Roman" w:eastAsia="Times New Roman" w:hAnsi="Times New Roman"/>
          <w:sz w:val="12"/>
          <w:szCs w:val="12"/>
          <w:color w:val="auto"/>
        </w:rPr>
        <w:t>”), and (ii) any and all Intellectual Property owned by any other Person and licensed or purported to be licensed to the Company or to which the Company has or purports to have any other right (“</w:t>
      </w:r>
      <w:r>
        <w:rPr>
          <w:rFonts w:ascii="Times New Roman" w:cs="Times New Roman" w:eastAsia="Times New Roman" w:hAnsi="Times New Roman"/>
          <w:sz w:val="12"/>
          <w:szCs w:val="12"/>
          <w:b w:val="1"/>
          <w:bCs w:val="1"/>
          <w:color w:val="auto"/>
        </w:rPr>
        <w:t>Company Licensed Intellectual Property</w:t>
      </w:r>
      <w:r>
        <w:rPr>
          <w:rFonts w:ascii="Times New Roman" w:cs="Times New Roman" w:eastAsia="Times New Roman" w:hAnsi="Times New Roman"/>
          <w:sz w:val="12"/>
          <w:szCs w:val="12"/>
          <w:color w:val="auto"/>
        </w:rPr>
        <w:t>”).</w:t>
      </w:r>
    </w:p>
    <w:p>
      <w:pPr>
        <w:spacing w:after="0" w:line="110"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Key Employee</w:t>
      </w:r>
      <w:r>
        <w:rPr>
          <w:rFonts w:ascii="Times New Roman" w:cs="Times New Roman" w:eastAsia="Times New Roman" w:hAnsi="Times New Roman"/>
          <w:sz w:val="13"/>
          <w:szCs w:val="13"/>
          <w:color w:val="auto"/>
        </w:rPr>
        <w:t>” means (i) any executive officer of the Company or any of its Subsidiaries; and (ii) any employee of the Company or any of its Subsidiaries that reports directly to the Company Board.</w:t>
      </w:r>
    </w:p>
    <w:p>
      <w:pPr>
        <w:spacing w:after="0" w:line="119"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Material Adverse Effect</w:t>
      </w:r>
      <w:r>
        <w:rPr>
          <w:rFonts w:ascii="Times New Roman" w:cs="Times New Roman" w:eastAsia="Times New Roman" w:hAnsi="Times New Roman"/>
          <w:sz w:val="13"/>
          <w:szCs w:val="13"/>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Effects arising or resulting from the following shall not be taken into account in determining whether there has been a Company Material Adverse Effect: (a) the announcement of this Agreement or the pendency of the Contemplated Transactions, (b) the taking of any action, or the failure to take any action, by the Company that is required to comply with the terms of this Agreement, (c)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GAAP</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29" w:right="1440" w:bottom="1440" w:gutter="0" w:footer="0" w:header="0"/>
        </w:sectPr>
      </w:pPr>
    </w:p>
    <w:bookmarkStart w:id="21" w:name="page22"/>
    <w:bookmarkEnd w:id="21"/>
    <w:p>
      <w:pPr>
        <w:ind w:left="640" w:right="6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applicable Law or the interpretation thereof, (e) any change in the cash position of the Company and its Subsidiaries which results from operations in the Ordinary Course of Business, or (f) general economic or political conditions or conditions generally affecting the industries in which the Company and its Subsidiaries operate; except in each case with respect to clauses (c), (d) and (f), to the extent disproportionately affecting the Company and its Subsidiaries, taken as a whole, relative to other similarly situated companies in the industries in which the Company and its Subsidiaries operate.</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Merger Shares</w:t>
      </w:r>
      <w:r>
        <w:rPr>
          <w:rFonts w:ascii="Times New Roman" w:cs="Times New Roman" w:eastAsia="Times New Roman" w:hAnsi="Times New Roman"/>
          <w:sz w:val="12"/>
          <w:szCs w:val="12"/>
          <w:color w:val="auto"/>
        </w:rPr>
        <w:t xml:space="preserve">” means, subject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the product determined by </w:t>
      </w:r>
      <w:r>
        <w:rPr>
          <w:rFonts w:ascii="Times New Roman" w:cs="Times New Roman" w:eastAsia="Times New Roman" w:hAnsi="Times New Roman"/>
          <w:sz w:val="12"/>
          <w:szCs w:val="12"/>
          <w:i w:val="1"/>
          <w:iCs w:val="1"/>
          <w:u w:val="single" w:color="auto"/>
          <w:color w:val="auto"/>
        </w:rPr>
        <w:t>multiplying</w:t>
      </w:r>
      <w:r>
        <w:rPr>
          <w:rFonts w:ascii="Times New Roman" w:cs="Times New Roman" w:eastAsia="Times New Roman" w:hAnsi="Times New Roman"/>
          <w:sz w:val="12"/>
          <w:szCs w:val="12"/>
          <w:color w:val="auto"/>
        </w:rPr>
        <w:t xml:space="preserve"> (i) the Post-Closing Aspen Shares </w:t>
      </w:r>
      <w:r>
        <w:rPr>
          <w:rFonts w:ascii="Times New Roman" w:cs="Times New Roman" w:eastAsia="Times New Roman" w:hAnsi="Times New Roman"/>
          <w:sz w:val="12"/>
          <w:szCs w:val="12"/>
          <w:i w:val="1"/>
          <w:iCs w:val="1"/>
          <w:u w:val="single" w:color="auto"/>
          <w:color w:val="auto"/>
        </w:rPr>
        <w:t>by</w:t>
      </w:r>
      <w:r>
        <w:rPr>
          <w:rFonts w:ascii="Times New Roman" w:cs="Times New Roman" w:eastAsia="Times New Roman" w:hAnsi="Times New Roman"/>
          <w:sz w:val="12"/>
          <w:szCs w:val="12"/>
          <w:color w:val="auto"/>
        </w:rPr>
        <w:t xml:space="preserve"> (ii) the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 Allocation Percentage, in which:</w:t>
      </w:r>
    </w:p>
    <w:p>
      <w:pPr>
        <w:spacing w:after="0" w:line="73" w:lineRule="exact"/>
        <w:rPr>
          <w:sz w:val="20"/>
          <w:szCs w:val="20"/>
          <w:color w:val="auto"/>
        </w:rPr>
      </w:pPr>
    </w:p>
    <w:p>
      <w:pPr>
        <w:ind w:left="1640" w:hanging="235"/>
        <w:spacing w:after="0"/>
        <w:tabs>
          <w:tab w:leader="none" w:pos="16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Valuation</w:t>
      </w:r>
      <w:r>
        <w:rPr>
          <w:rFonts w:ascii="Times New Roman" w:cs="Times New Roman" w:eastAsia="Times New Roman" w:hAnsi="Times New Roman"/>
          <w:sz w:val="13"/>
          <w:szCs w:val="13"/>
          <w:color w:val="auto"/>
        </w:rPr>
        <w:t xml:space="preserve">” means the sum of (i) the Company Valuation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 the Aspen Valuation.</w:t>
      </w:r>
    </w:p>
    <w:p>
      <w:pPr>
        <w:spacing w:after="0" w:line="87" w:lineRule="exact"/>
        <w:rPr>
          <w:rFonts w:ascii="Times New Roman" w:cs="Times New Roman" w:eastAsia="Times New Roman" w:hAnsi="Times New Roman"/>
          <w:sz w:val="13"/>
          <w:szCs w:val="13"/>
          <w:color w:val="auto"/>
        </w:rPr>
      </w:pPr>
    </w:p>
    <w:p>
      <w:pPr>
        <w:ind w:left="1640" w:right="719" w:hanging="235"/>
        <w:spacing w:after="0" w:line="270" w:lineRule="auto"/>
        <w:tabs>
          <w:tab w:leader="none" w:pos="16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Allocation Percentage</w:t>
      </w:r>
      <w:r>
        <w:rPr>
          <w:rFonts w:ascii="Times New Roman" w:cs="Times New Roman" w:eastAsia="Times New Roman" w:hAnsi="Times New Roman"/>
          <w:sz w:val="13"/>
          <w:szCs w:val="13"/>
          <w:color w:val="auto"/>
        </w:rPr>
        <w:t xml:space="preserve">” means the quotient (expressed as a percentage and rounded to eight decimal places) determined by </w:t>
      </w:r>
      <w:r>
        <w:rPr>
          <w:rFonts w:ascii="Times New Roman" w:cs="Times New Roman" w:eastAsia="Times New Roman" w:hAnsi="Times New Roman"/>
          <w:sz w:val="13"/>
          <w:szCs w:val="13"/>
          <w:i w:val="1"/>
          <w:iCs w:val="1"/>
          <w:u w:val="single" w:color="auto"/>
          <w:color w:val="auto"/>
        </w:rPr>
        <w:t>dividing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 the Aspen Valuation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i w:val="1"/>
          <w:iCs w:val="1"/>
          <w:u w:val="single" w:color="auto"/>
          <w:color w:val="auto"/>
        </w:rPr>
        <w:t>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(ii) the Aggregate Valuation.</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Equity Value</w:t>
      </w:r>
      <w:r>
        <w:rPr>
          <w:rFonts w:ascii="Times New Roman" w:cs="Times New Roman" w:eastAsia="Times New Roman" w:hAnsi="Times New Roman"/>
          <w:sz w:val="13"/>
          <w:szCs w:val="13"/>
          <w:color w:val="auto"/>
        </w:rPr>
        <w:t>” means $77,500,000.</w:t>
      </w:r>
    </w:p>
    <w:p>
      <w:pPr>
        <w:spacing w:after="0" w:line="87" w:lineRule="exact"/>
        <w:rPr>
          <w:rFonts w:ascii="Times New Roman" w:cs="Times New Roman" w:eastAsia="Times New Roman" w:hAnsi="Times New Roman"/>
          <w:sz w:val="13"/>
          <w:szCs w:val="13"/>
          <w:color w:val="auto"/>
        </w:rPr>
      </w:pPr>
    </w:p>
    <w:p>
      <w:pPr>
        <w:ind w:left="1640" w:right="659" w:hanging="235"/>
        <w:spacing w:after="0" w:line="268" w:lineRule="auto"/>
        <w:tabs>
          <w:tab w:leader="none" w:pos="16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Aspen Outstanding Shares</w:t>
      </w:r>
      <w:r>
        <w:rPr>
          <w:rFonts w:ascii="Times New Roman" w:cs="Times New Roman" w:eastAsia="Times New Roman" w:hAnsi="Times New Roman"/>
          <w:sz w:val="12"/>
          <w:szCs w:val="12"/>
          <w:color w:val="auto"/>
        </w:rPr>
        <w:t xml:space="preserve">” means, subject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(including, without limitation, the effects of the Nasdaq Reverse Split), the total number of shares of Aspen Common Stock outstanding immediately prior to the Effective Time, expressed on a fully-diluted and as-converted-to-Aspen Common Stock basis, and assuming, without limitation or duplication, (i) the issuance of shares of Aspen Common Stock in respect of all Aspen Options, warrants or other rights to receive shares, whether conditional or unconditional, that will be outstanding as of immediately prior to the Effective Time, calculated on a treasury stock method basis, (ii) the settlement in shares of Aspen Common Stock of Aspen Restricted Stock Units outstanding as of immediately prior to the Effective Time on a net settlement basis as provided in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and (iii) the exclusion of shares of Aspen Common Stock held immediately prior to the Effective Time by Aspen as treasury stock or in connection with any unallocated equity pool or by the Company, any of its Subsidiaries or any Subsidiary of Aspen. Notwithstanding any of the foregoing, no Out of the Money Aspen Options or performance based Aspen Restricted Stock Units for which the performance condition has not been met as of the Effective Time and no shares reserved for issuance under the Equity Plan Proposals shall be included in the total number of shares of Aspen Common Stock outstanding for purposes of determining the Aspen Outstanding Shares.</w:t>
      </w:r>
    </w:p>
    <w:p>
      <w:pPr>
        <w:spacing w:after="0" w:line="55" w:lineRule="exact"/>
        <w:rPr>
          <w:rFonts w:ascii="Times New Roman" w:cs="Times New Roman" w:eastAsia="Times New Roman" w:hAnsi="Times New Roman"/>
          <w:sz w:val="12"/>
          <w:szCs w:val="12"/>
          <w:color w:val="auto"/>
        </w:rPr>
      </w:pPr>
    </w:p>
    <w:p>
      <w:pPr>
        <w:ind w:left="1640" w:right="899" w:hanging="235"/>
        <w:spacing w:after="0" w:line="270" w:lineRule="auto"/>
        <w:tabs>
          <w:tab w:leader="none" w:pos="16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Aspen Valuation</w:t>
      </w:r>
      <w:r>
        <w:rPr>
          <w:rFonts w:ascii="Times New Roman" w:cs="Times New Roman" w:eastAsia="Times New Roman" w:hAnsi="Times New Roman"/>
          <w:sz w:val="13"/>
          <w:szCs w:val="13"/>
          <w:color w:val="auto"/>
        </w:rPr>
        <w:t xml:space="preserve">” means (i) the Aspen Equity Value </w:t>
      </w:r>
      <w:r>
        <w:rPr>
          <w:rFonts w:ascii="Times New Roman" w:cs="Times New Roman" w:eastAsia="Times New Roman" w:hAnsi="Times New Roman"/>
          <w:sz w:val="13"/>
          <w:szCs w:val="13"/>
          <w:i w:val="1"/>
          <w:iCs w:val="1"/>
          <w:u w:val="single" w:color="auto"/>
          <w:color w:val="auto"/>
        </w:rPr>
        <w:t>minus</w:t>
      </w:r>
      <w:r>
        <w:rPr>
          <w:rFonts w:ascii="Times New Roman" w:cs="Times New Roman" w:eastAsia="Times New Roman" w:hAnsi="Times New Roman"/>
          <w:sz w:val="13"/>
          <w:szCs w:val="13"/>
          <w:color w:val="auto"/>
        </w:rPr>
        <w:t xml:space="preserve"> (ii) the Lower Aspen Net Cash Amount (if any)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(iii) the Upper Aspen Net Cash Amount (if any).</w:t>
      </w:r>
    </w:p>
    <w:p>
      <w:pPr>
        <w:spacing w:after="0" w:line="52" w:lineRule="exact"/>
        <w:rPr>
          <w:rFonts w:ascii="Times New Roman" w:cs="Times New Roman" w:eastAsia="Times New Roman" w:hAnsi="Times New Roman"/>
          <w:sz w:val="13"/>
          <w:szCs w:val="13"/>
          <w:color w:val="auto"/>
        </w:rPr>
      </w:pPr>
    </w:p>
    <w:p>
      <w:pPr>
        <w:ind w:left="1640" w:right="679" w:hanging="235"/>
        <w:spacing w:after="0" w:line="270" w:lineRule="auto"/>
        <w:tabs>
          <w:tab w:leader="none" w:pos="16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Allocation Percentage</w:t>
      </w:r>
      <w:r>
        <w:rPr>
          <w:rFonts w:ascii="Times New Roman" w:cs="Times New Roman" w:eastAsia="Times New Roman" w:hAnsi="Times New Roman"/>
          <w:sz w:val="13"/>
          <w:szCs w:val="13"/>
          <w:color w:val="auto"/>
        </w:rPr>
        <w:t xml:space="preserve">” means the quotient (expressed as a percentage and rounded to eight decimal places) determined by </w:t>
      </w:r>
      <w:r>
        <w:rPr>
          <w:rFonts w:ascii="Times New Roman" w:cs="Times New Roman" w:eastAsia="Times New Roman" w:hAnsi="Times New Roman"/>
          <w:sz w:val="13"/>
          <w:szCs w:val="13"/>
          <w:i w:val="1"/>
          <w:iCs w:val="1"/>
          <w:u w:val="single" w:color="auto"/>
          <w:color w:val="auto"/>
        </w:rPr>
        <w:t>subtracting</w:t>
      </w:r>
      <w:r>
        <w:rPr>
          <w:rFonts w:ascii="Times New Roman" w:cs="Times New Roman" w:eastAsia="Times New Roman" w:hAnsi="Times New Roman"/>
          <w:sz w:val="13"/>
          <w:szCs w:val="13"/>
          <w:color w:val="auto"/>
        </w:rPr>
        <w:t xml:space="preserve"> (i) the Aspen Allocation Percentage </w:t>
      </w:r>
      <w:r>
        <w:rPr>
          <w:rFonts w:ascii="Times New Roman" w:cs="Times New Roman" w:eastAsia="Times New Roman" w:hAnsi="Times New Roman"/>
          <w:sz w:val="13"/>
          <w:szCs w:val="13"/>
          <w:i w:val="1"/>
          <w:iCs w:val="1"/>
          <w:u w:val="single" w:color="auto"/>
          <w:color w:val="auto"/>
        </w:rPr>
        <w:t>from</w:t>
      </w:r>
      <w:r>
        <w:rPr>
          <w:rFonts w:ascii="Times New Roman" w:cs="Times New Roman" w:eastAsia="Times New Roman" w:hAnsi="Times New Roman"/>
          <w:sz w:val="13"/>
          <w:szCs w:val="13"/>
          <w:color w:val="auto"/>
        </w:rPr>
        <w:t xml:space="preserve"> (ii) 100 percent.</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Value</w:t>
      </w:r>
      <w:r>
        <w:rPr>
          <w:rFonts w:ascii="Times New Roman" w:cs="Times New Roman" w:eastAsia="Times New Roman" w:hAnsi="Times New Roman"/>
          <w:sz w:val="13"/>
          <w:szCs w:val="13"/>
          <w:color w:val="auto"/>
        </w:rPr>
        <w:t>” means $140,000,000.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2" w:name="page23"/>
    <w:bookmarkEnd w:id="22"/>
    <w:p>
      <w:pPr>
        <w:ind w:left="1640" w:right="719" w:hanging="235"/>
        <w:spacing w:after="0" w:line="246" w:lineRule="auto"/>
        <w:tabs>
          <w:tab w:leader="none" w:pos="16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Outstanding Shares</w:t>
      </w:r>
      <w:r>
        <w:rPr>
          <w:rFonts w:ascii="Times New Roman" w:cs="Times New Roman" w:eastAsia="Times New Roman" w:hAnsi="Times New Roman"/>
          <w:sz w:val="13"/>
          <w:szCs w:val="13"/>
          <w:color w:val="auto"/>
        </w:rPr>
        <w:t xml:space="preserve">” means, subject to </w:t>
      </w:r>
      <w:r>
        <w:rPr>
          <w:rFonts w:ascii="Times New Roman" w:cs="Times New Roman" w:eastAsia="Times New Roman" w:hAnsi="Times New Roman"/>
          <w:sz w:val="13"/>
          <w:szCs w:val="13"/>
          <w:u w:val="single" w:color="auto"/>
          <w:color w:val="auto"/>
        </w:rPr>
        <w:t>Section 2.5(f)</w:t>
      </w:r>
      <w:r>
        <w:rPr>
          <w:rFonts w:ascii="Times New Roman" w:cs="Times New Roman" w:eastAsia="Times New Roman" w:hAnsi="Times New Roman"/>
          <w:sz w:val="13"/>
          <w:szCs w:val="13"/>
          <w:color w:val="auto"/>
        </w:rPr>
        <w:t>, the total number of shares of Company Common Stock outstanding immediately prior to the Effective Time, expressed on a fully-diluted and as-converted-to-Company Common Stock basis (including, without limitation, after giving effect to the Company SAFEs Conversion and the Company Preferred Stock Conversion), and assuming, without limitation or duplication, (i) the inclusion of Concurrent Investment Company Shares, (ii) the issuance of shares of Company Common Stock in respect of all Company Options, or other rights to receive shares, whether conditional or unconditional, that will be outstanding as of immediately prior to the Effective Time, calculated on a treasury stock method basis, and (iii) the exclusion of shares of Company Common Stock held immediately prior to the Effective Time by the Company as treasury stock or in connection with any unallocated equity pool or by Aspen, any of its Subsidiaries or any Subsidiary of the Company.</w:t>
      </w:r>
    </w:p>
    <w:p>
      <w:pPr>
        <w:spacing w:after="0" w:line="70"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Valuation</w:t>
      </w:r>
      <w:r>
        <w:rPr>
          <w:rFonts w:ascii="Times New Roman" w:cs="Times New Roman" w:eastAsia="Times New Roman" w:hAnsi="Times New Roman"/>
          <w:sz w:val="13"/>
          <w:szCs w:val="13"/>
          <w:color w:val="auto"/>
        </w:rPr>
        <w:t xml:space="preserve">” means (i) the Company Equity Value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 the Concurrent Investment Proceeds.</w:t>
      </w:r>
    </w:p>
    <w:p>
      <w:pPr>
        <w:spacing w:after="0" w:line="87" w:lineRule="exact"/>
        <w:rPr>
          <w:rFonts w:ascii="Times New Roman" w:cs="Times New Roman" w:eastAsia="Times New Roman" w:hAnsi="Times New Roman"/>
          <w:sz w:val="13"/>
          <w:szCs w:val="13"/>
          <w:color w:val="auto"/>
        </w:rPr>
      </w:pPr>
    </w:p>
    <w:p>
      <w:pPr>
        <w:ind w:left="1640" w:right="899" w:hanging="235"/>
        <w:spacing w:after="0" w:line="270" w:lineRule="auto"/>
        <w:tabs>
          <w:tab w:leader="none" w:pos="16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Ratio</w:t>
      </w:r>
      <w:r>
        <w:rPr>
          <w:rFonts w:ascii="Times New Roman" w:cs="Times New Roman" w:eastAsia="Times New Roman" w:hAnsi="Times New Roman"/>
          <w:sz w:val="13"/>
          <w:szCs w:val="13"/>
          <w:color w:val="auto"/>
        </w:rPr>
        <w:t>” means the ratio (rounded to eight decimal places) equal to the quotient obtained by dividing (i) the Company Merger Shares by (ii) the Company Outstanding Shares.</w:t>
      </w:r>
    </w:p>
    <w:p>
      <w:pPr>
        <w:spacing w:after="0" w:line="52" w:lineRule="exact"/>
        <w:rPr>
          <w:rFonts w:ascii="Times New Roman" w:cs="Times New Roman" w:eastAsia="Times New Roman" w:hAnsi="Times New Roman"/>
          <w:sz w:val="13"/>
          <w:szCs w:val="13"/>
          <w:color w:val="auto"/>
        </w:rPr>
      </w:pPr>
    </w:p>
    <w:p>
      <w:pPr>
        <w:ind w:left="1640" w:right="859" w:hanging="235"/>
        <w:spacing w:after="0" w:line="270" w:lineRule="auto"/>
        <w:tabs>
          <w:tab w:leader="none" w:pos="16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Lower Aspen Net Cash Amount</w:t>
      </w:r>
      <w:r>
        <w:rPr>
          <w:rFonts w:ascii="Times New Roman" w:cs="Times New Roman" w:eastAsia="Times New Roman" w:hAnsi="Times New Roman"/>
          <w:sz w:val="13"/>
          <w:szCs w:val="13"/>
          <w:color w:val="auto"/>
        </w:rPr>
        <w:t>” means, if Aspen Net Cash is less than the Lower Target Aspen Net Cash, then the amount, if any, that the Target Aspen Net Cash exceeds the Aspen Net Cash.</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Lower Target Aspen Net Cash</w:t>
      </w:r>
      <w:r>
        <w:rPr>
          <w:rFonts w:ascii="Times New Roman" w:cs="Times New Roman" w:eastAsia="Times New Roman" w:hAnsi="Times New Roman"/>
          <w:sz w:val="13"/>
          <w:szCs w:val="13"/>
          <w:color w:val="auto"/>
        </w:rPr>
        <w:t>” means $64,500,000.</w:t>
      </w:r>
    </w:p>
    <w:p>
      <w:pPr>
        <w:spacing w:after="0" w:line="87" w:lineRule="exact"/>
        <w:rPr>
          <w:rFonts w:ascii="Times New Roman" w:cs="Times New Roman" w:eastAsia="Times New Roman" w:hAnsi="Times New Roman"/>
          <w:sz w:val="13"/>
          <w:szCs w:val="13"/>
          <w:color w:val="auto"/>
        </w:rPr>
      </w:pPr>
    </w:p>
    <w:p>
      <w:pPr>
        <w:ind w:left="1640" w:right="1059" w:hanging="235"/>
        <w:spacing w:after="0" w:line="270" w:lineRule="auto"/>
        <w:tabs>
          <w:tab w:leader="none" w:pos="16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Post-Closing Aspen Shares</w:t>
      </w:r>
      <w:r>
        <w:rPr>
          <w:rFonts w:ascii="Times New Roman" w:cs="Times New Roman" w:eastAsia="Times New Roman" w:hAnsi="Times New Roman"/>
          <w:sz w:val="13"/>
          <w:szCs w:val="13"/>
          <w:color w:val="auto"/>
        </w:rPr>
        <w:t xml:space="preserve">” means the quotient determined by </w:t>
      </w:r>
      <w:r>
        <w:rPr>
          <w:rFonts w:ascii="Times New Roman" w:cs="Times New Roman" w:eastAsia="Times New Roman" w:hAnsi="Times New Roman"/>
          <w:sz w:val="13"/>
          <w:szCs w:val="13"/>
          <w:i w:val="1"/>
          <w:iCs w:val="1"/>
          <w:u w:val="single" w:color="auto"/>
          <w:color w:val="auto"/>
        </w:rPr>
        <w:t>dividing</w:t>
      </w:r>
      <w:r>
        <w:rPr>
          <w:rFonts w:ascii="Times New Roman" w:cs="Times New Roman" w:eastAsia="Times New Roman" w:hAnsi="Times New Roman"/>
          <w:sz w:val="13"/>
          <w:szCs w:val="13"/>
          <w:color w:val="auto"/>
        </w:rPr>
        <w:t xml:space="preserve"> (i) the Aspen Outstanding Shares </w:t>
      </w:r>
      <w:r>
        <w:rPr>
          <w:rFonts w:ascii="Times New Roman" w:cs="Times New Roman" w:eastAsia="Times New Roman" w:hAnsi="Times New Roman"/>
          <w:sz w:val="13"/>
          <w:szCs w:val="13"/>
          <w:i w:val="1"/>
          <w:iCs w:val="1"/>
          <w:u w:val="single" w:color="auto"/>
          <w:color w:val="auto"/>
        </w:rPr>
        <w:t>by</w:t>
      </w:r>
      <w:r>
        <w:rPr>
          <w:rFonts w:ascii="Times New Roman" w:cs="Times New Roman" w:eastAsia="Times New Roman" w:hAnsi="Times New Roman"/>
          <w:sz w:val="13"/>
          <w:szCs w:val="13"/>
          <w:color w:val="auto"/>
        </w:rPr>
        <w:t xml:space="preserve"> (ii) the Aspen Allocation Percentage.</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Target Aspen Net Cash</w:t>
      </w:r>
      <w:r>
        <w:rPr>
          <w:rFonts w:ascii="Times New Roman" w:cs="Times New Roman" w:eastAsia="Times New Roman" w:hAnsi="Times New Roman"/>
          <w:sz w:val="13"/>
          <w:szCs w:val="13"/>
          <w:color w:val="auto"/>
        </w:rPr>
        <w:t>” means $65,000,000.</w:t>
      </w:r>
    </w:p>
    <w:p>
      <w:pPr>
        <w:spacing w:after="0" w:line="87" w:lineRule="exact"/>
        <w:rPr>
          <w:rFonts w:ascii="Times New Roman" w:cs="Times New Roman" w:eastAsia="Times New Roman" w:hAnsi="Times New Roman"/>
          <w:sz w:val="13"/>
          <w:szCs w:val="13"/>
          <w:color w:val="auto"/>
        </w:rPr>
      </w:pPr>
    </w:p>
    <w:p>
      <w:pPr>
        <w:ind w:left="1640" w:right="719" w:hanging="235"/>
        <w:spacing w:after="0" w:line="270" w:lineRule="auto"/>
        <w:tabs>
          <w:tab w:leader="none" w:pos="16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Upper Aspen Net Cash Amount</w:t>
      </w:r>
      <w:r>
        <w:rPr>
          <w:rFonts w:ascii="Times New Roman" w:cs="Times New Roman" w:eastAsia="Times New Roman" w:hAnsi="Times New Roman"/>
          <w:sz w:val="13"/>
          <w:szCs w:val="13"/>
          <w:color w:val="auto"/>
        </w:rPr>
        <w:t>” means, if Aspen Net Cash is greater than the Upper Target Aspen Net Cash, then the amount, if any, that the Aspen Net Cash exceeds the Target Aspen Net Cash.</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Upper Target Aspen Net Cash</w:t>
      </w:r>
      <w:r>
        <w:rPr>
          <w:rFonts w:ascii="Times New Roman" w:cs="Times New Roman" w:eastAsia="Times New Roman" w:hAnsi="Times New Roman"/>
          <w:sz w:val="13"/>
          <w:szCs w:val="13"/>
          <w:color w:val="auto"/>
        </w:rPr>
        <w:t>” means $65,500,000.</w:t>
      </w:r>
    </w:p>
    <w:p>
      <w:pPr>
        <w:spacing w:after="0" w:line="156"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For the avoidance of doubt, the Concurrent Investment Proceeds shall not be included in the calculation or determination of the Company Equity Value, the Aspen Valuation or any component thereof. Set forth on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 xml:space="preserve"> attached hereto is an illustrative example of the calculation of Company Merger Shares.</w:t>
      </w:r>
    </w:p>
    <w:p>
      <w:pPr>
        <w:spacing w:after="0" w:line="128"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Options</w:t>
      </w:r>
      <w:r>
        <w:rPr>
          <w:rFonts w:ascii="Times New Roman" w:cs="Times New Roman" w:eastAsia="Times New Roman" w:hAnsi="Times New Roman"/>
          <w:sz w:val="13"/>
          <w:szCs w:val="13"/>
          <w:color w:val="auto"/>
        </w:rPr>
        <w:t>” means options to purchase shares of Company Capital Stock issued by the Company pursuant to the Company Equity Incentive Plan (for the avoidance of doubt, other than Company Convertible Notes).</w:t>
      </w:r>
    </w:p>
    <w:p>
      <w:pPr>
        <w:spacing w:after="0" w:line="119"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Outbound License</w:t>
      </w:r>
      <w:r>
        <w:rPr>
          <w:rFonts w:ascii="Times New Roman" w:cs="Times New Roman" w:eastAsia="Times New Roman" w:hAnsi="Times New Roman"/>
          <w:sz w:val="13"/>
          <w:szCs w:val="13"/>
          <w:color w:val="auto"/>
        </w:rPr>
        <w:t>” means any Company Contract pursuant to which the Company grants any license or any other right or immunity (including any sublicense, option, right of first refusal or other preferential right or covenant not to sue) under any Company Intellectual Property that is material to the business of the Company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the Company or (ii) incidental to any assays or other materials obtained from third parties under material transfer agreements or other similar contracts, in each case, consistent with industry standard, and (b) agreements between any of the Company or any Subsidiary thereof and another Subsidiary of the Company.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23" w:name="page24"/>
    <w:bookmarkEnd w:id="2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Preferred Stock</w:t>
      </w:r>
      <w:r>
        <w:rPr>
          <w:rFonts w:ascii="Times New Roman" w:cs="Times New Roman" w:eastAsia="Times New Roman" w:hAnsi="Times New Roman"/>
          <w:sz w:val="13"/>
          <w:szCs w:val="13"/>
          <w:color w:val="auto"/>
        </w:rPr>
        <w:t>” means the Preferred Stock, $0.0001 par value per share, of the Company.</w:t>
      </w:r>
    </w:p>
    <w:p>
      <w:pPr>
        <w:spacing w:after="0" w:line="154" w:lineRule="exact"/>
        <w:rPr>
          <w:sz w:val="20"/>
          <w:szCs w:val="20"/>
          <w:color w:val="auto"/>
        </w:rPr>
      </w:pPr>
    </w:p>
    <w:p>
      <w:pPr>
        <w:ind w:left="640" w:right="8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Product</w:t>
      </w:r>
      <w:r>
        <w:rPr>
          <w:rFonts w:ascii="Times New Roman" w:cs="Times New Roman" w:eastAsia="Times New Roman" w:hAnsi="Times New Roman"/>
          <w:sz w:val="13"/>
          <w:szCs w:val="13"/>
          <w:color w:val="auto"/>
        </w:rPr>
        <w:t>” means any pharmaceutical, biological or medicinal therapy, compound, drug, product candidate or product that is being developed, researched, manufactured, tested, licensed, offered, marketed, sold, or distributed by or on behalf of the Company or its Subsidiaries, including any discovery or clinical programs or platforms and the therapies and compounds made and tested in such programs, including through collaboration with others, or through compassionate use/named patient activities.</w:t>
      </w:r>
    </w:p>
    <w:p>
      <w:pPr>
        <w:spacing w:after="0" w:line="130" w:lineRule="exact"/>
        <w:rPr>
          <w:sz w:val="20"/>
          <w:szCs w:val="20"/>
          <w:color w:val="auto"/>
        </w:rPr>
      </w:pPr>
    </w:p>
    <w:p>
      <w:pPr>
        <w:ind w:left="640" w:right="97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Restricted Stock</w:t>
      </w:r>
      <w:r>
        <w:rPr>
          <w:rFonts w:ascii="Times New Roman" w:cs="Times New Roman" w:eastAsia="Times New Roman" w:hAnsi="Times New Roman"/>
          <w:sz w:val="12"/>
          <w:szCs w:val="12"/>
          <w:color w:val="auto"/>
        </w:rPr>
        <w:t>” means any shares of Company Common Stock that are unvested or are subject to a repurchase option, risk of forfeiture or other condition on title or ownership under any applicable restricted stock purchase agreement or other Company Material Contract.</w:t>
      </w:r>
    </w:p>
    <w:p>
      <w:pPr>
        <w:spacing w:after="0" w:line="95"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Restricted Stock Unit</w:t>
      </w:r>
      <w:r>
        <w:rPr>
          <w:rFonts w:ascii="Times New Roman" w:cs="Times New Roman" w:eastAsia="Times New Roman" w:hAnsi="Times New Roman"/>
          <w:sz w:val="13"/>
          <w:szCs w:val="13"/>
          <w:color w:val="auto"/>
        </w:rPr>
        <w:t>” means a restricted stock unit of the Company, whether issued pursuant to the Company Equity Incentive Plan or otherwise (for the avoidance of doubt, other than Company Convertible Notes, Company Options or Company Warrants).</w:t>
      </w:r>
    </w:p>
    <w:p>
      <w:pPr>
        <w:spacing w:after="0" w:line="119" w:lineRule="exact"/>
        <w:rPr>
          <w:sz w:val="20"/>
          <w:szCs w:val="20"/>
          <w:color w:val="auto"/>
        </w:rPr>
      </w:pPr>
    </w:p>
    <w:p>
      <w:pPr>
        <w:ind w:left="640" w:right="83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SAFEs”</w:t>
      </w:r>
      <w:r>
        <w:rPr>
          <w:rFonts w:ascii="Times New Roman" w:cs="Times New Roman" w:eastAsia="Times New Roman" w:hAnsi="Times New Roman"/>
          <w:sz w:val="12"/>
          <w:szCs w:val="12"/>
          <w:color w:val="auto"/>
        </w:rPr>
        <w:t xml:space="preserve"> means those certain simple agreements for future equity by and between the Company and the holders party thereto in the aggregate principal amount of $34,125,000 and listed as part of the definition of “Safes” in Subsection 3.21 of the Company Disclosure Schedule.</w:t>
      </w:r>
    </w:p>
    <w:p>
      <w:pPr>
        <w:spacing w:after="0" w:line="95" w:lineRule="exact"/>
        <w:rPr>
          <w:sz w:val="20"/>
          <w:szCs w:val="20"/>
          <w:color w:val="auto"/>
        </w:rPr>
      </w:pPr>
    </w:p>
    <w:p>
      <w:pPr>
        <w:ind w:left="640" w:right="7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Triggering Event</w:t>
      </w:r>
      <w:r>
        <w:rPr>
          <w:rFonts w:ascii="Times New Roman" w:cs="Times New Roman" w:eastAsia="Times New Roman" w:hAnsi="Times New Roman"/>
          <w:sz w:val="13"/>
          <w:szCs w:val="13"/>
          <w:color w:val="auto"/>
        </w:rPr>
        <w:t xml:space="preserve">” shall be deemed to have occurred if: (a) the Company Board or any committee thereof shall have made a Company Board Adverse Recommendation Change or approved, endorsed or recommended any Acquisition Proposal with respect to the Company (other than by Aspen or an Affiliate thereof and other than actions made in compliance with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(b) the Company shall have entered into any letter of intent or similar document or any Contract relating to any Acquisition Proposal with respect to the Company (other than an Acceptable Confidentiality Agreement permitted pursuant to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or (c) upon willful and material breach of the Company’s obligations set forth in the first sentence of </w:t>
      </w:r>
      <w:r>
        <w:rPr>
          <w:rFonts w:ascii="Times New Roman" w:cs="Times New Roman" w:eastAsia="Times New Roman" w:hAnsi="Times New Roman"/>
          <w:sz w:val="13"/>
          <w:szCs w:val="13"/>
          <w:u w:val="single" w:color="auto"/>
          <w:color w:val="auto"/>
        </w:rPr>
        <w:t>Section 5.4(a)</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Warrants</w:t>
      </w:r>
      <w:r>
        <w:rPr>
          <w:rFonts w:ascii="Times New Roman" w:cs="Times New Roman" w:eastAsia="Times New Roman" w:hAnsi="Times New Roman"/>
          <w:sz w:val="13"/>
          <w:szCs w:val="13"/>
          <w:color w:val="auto"/>
        </w:rPr>
        <w:t>” means warrants to purchase shares of Company Capital Stock issued by the Company (for the avoidance of doubt, other than Company Convertible Notes, Company Restricted Stock Units or Company Options).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Concurrent Investment Amount</w:t>
      </w:r>
      <w:r>
        <w:rPr>
          <w:rFonts w:ascii="Times New Roman" w:cs="Times New Roman" w:eastAsia="Times New Roman" w:hAnsi="Times New Roman"/>
          <w:sz w:val="13"/>
          <w:szCs w:val="13"/>
          <w:color w:val="auto"/>
        </w:rPr>
        <w:t>” means $114,500,000.</w:t>
      </w:r>
    </w:p>
    <w:p>
      <w:pPr>
        <w:spacing w:after="0" w:line="154"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Concurrent Investment Proceeds</w:t>
      </w:r>
      <w:r>
        <w:rPr>
          <w:rFonts w:ascii="Times New Roman" w:cs="Times New Roman" w:eastAsia="Times New Roman" w:hAnsi="Times New Roman"/>
          <w:sz w:val="13"/>
          <w:szCs w:val="13"/>
          <w:color w:val="auto"/>
        </w:rPr>
        <w:t>” means the collective proceeds actually resulting from (i) the Subscription Agreement Concurrent Investment and (ii) the Company SAFE Concurrent Investment.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means the Confidentiality Agreement, dated as of October 24, 2023, between the Company and Aspen.</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w:t>
      </w:r>
      <w:r>
        <w:rPr>
          <w:rFonts w:ascii="Times New Roman" w:cs="Times New Roman" w:eastAsia="Times New Roman" w:hAnsi="Times New Roman"/>
          <w:sz w:val="13"/>
          <w:szCs w:val="13"/>
          <w:color w:val="auto"/>
        </w:rPr>
        <w:t>” means any approval, consent, ratification, permission, waiver or authorization (including any Governmental Authorization).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4" w:name="page25"/>
    <w:bookmarkEnd w:id="24"/>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Contemplated Transactions</w:t>
      </w:r>
      <w:r>
        <w:rPr>
          <w:rFonts w:ascii="Times New Roman" w:cs="Times New Roman" w:eastAsia="Times New Roman" w:hAnsi="Times New Roman"/>
          <w:sz w:val="13"/>
          <w:szCs w:val="13"/>
          <w:color w:val="auto"/>
        </w:rPr>
        <w:t>” means the Merger and the other transactions contemplated by this Agreement, including the CVR Agreement, any Aspen Pre-Closing Transaction and the Concurrent Investment.</w:t>
      </w:r>
    </w:p>
    <w:p>
      <w:pPr>
        <w:spacing w:after="0" w:line="119"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means the General Corporation Law of the State of Delaware.</w:t>
      </w:r>
    </w:p>
    <w:p>
      <w:pPr>
        <w:spacing w:after="0" w:line="154" w:lineRule="exact"/>
        <w:rPr>
          <w:sz w:val="20"/>
          <w:szCs w:val="20"/>
          <w:color w:val="auto"/>
        </w:rPr>
      </w:pPr>
    </w:p>
    <w:p>
      <w:pPr>
        <w:ind w:left="640" w:right="73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Drug Governmental Authority</w:t>
      </w:r>
      <w:r>
        <w:rPr>
          <w:rFonts w:ascii="Times New Roman" w:cs="Times New Roman" w:eastAsia="Times New Roman" w:hAnsi="Times New Roman"/>
          <w:sz w:val="12"/>
          <w:szCs w:val="12"/>
          <w:color w:val="auto"/>
        </w:rPr>
        <w:t>” means any Governmental Authority having jurisdiction over the safety, efficacy, approval, research, development, testing, labeling, manufacture, packaging, import, export, storage, sale, commercialization or distribution of Company Products or Aspen Products, such as the FDA, the European Medicines Agency, or the United Kingdom Medicines and Healthcare Products Regulatory Agency.</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w:t>
      </w:r>
      <w:r>
        <w:rPr>
          <w:rFonts w:ascii="Times New Roman" w:cs="Times New Roman" w:eastAsia="Times New Roman" w:hAnsi="Times New Roman"/>
          <w:sz w:val="13"/>
          <w:szCs w:val="13"/>
          <w:color w:val="auto"/>
        </w:rPr>
        <w:t>” means any effect, change, event, circumstance, or development.</w:t>
      </w:r>
    </w:p>
    <w:p>
      <w:pPr>
        <w:spacing w:after="0" w:line="154"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Employee Plan</w:t>
      </w:r>
      <w:r>
        <w:rPr>
          <w:rFonts w:ascii="Times New Roman" w:cs="Times New Roman" w:eastAsia="Times New Roman" w:hAnsi="Times New Roman"/>
          <w:sz w:val="13"/>
          <w:szCs w:val="13"/>
          <w:color w:val="auto"/>
        </w:rPr>
        <w:t>” means (i) each “employee benefit plan,” as defined in Section 3(3) of ERISA (whether or not subject to ERISA), (ii) each compensation, severance, termination protection, change in control, transaction bonus, retention or similar contract, plan, program, arrangement, policy or guidelines, and (iii) each other plan, program, arrangement or policy providing for compensation (including variable cash compensation and commissions), bonuses, profit-sharing, stock option or other stock-related rights or other forms of incentive or deferred compensation, tax gross-up, vacation benefits, insurance (including any self-insured arrangement), health, medical, dental, vision, prescription or fringe benefits, life insurance, relocation or expatriate benefits, perquisites, employee assistance program, disability or sick leave benefits, workers’ compensation, supplemental unemployment benefits, severance benefits or post-employment or retirement benefits (including compensation, pension, health, medical or life insurance benefits), in each case whether or not written.</w:t>
      </w:r>
    </w:p>
    <w:p>
      <w:pPr>
        <w:spacing w:after="0" w:line="134" w:lineRule="exact"/>
        <w:rPr>
          <w:sz w:val="20"/>
          <w:szCs w:val="20"/>
          <w:color w:val="auto"/>
        </w:rPr>
      </w:pPr>
    </w:p>
    <w:p>
      <w:pPr>
        <w:ind w:left="640" w:right="7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Encumbrance</w:t>
      </w:r>
      <w:r>
        <w:rPr>
          <w:rFonts w:ascii="Times New Roman" w:cs="Times New Roman" w:eastAsia="Times New Roman" w:hAnsi="Times New Roman"/>
          <w:sz w:val="13"/>
          <w:szCs w:val="13"/>
          <w:color w:val="auto"/>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31"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Enforceability Exceptions</w:t>
      </w:r>
      <w:r>
        <w:rPr>
          <w:rFonts w:ascii="Times New Roman" w:cs="Times New Roman" w:eastAsia="Times New Roman" w:hAnsi="Times New Roman"/>
          <w:sz w:val="13"/>
          <w:szCs w:val="13"/>
          <w:color w:val="auto"/>
        </w:rPr>
        <w:t>” means the (a) Laws of general application relating to bankruptcy, insolvency and the relief of debtors and (b) rules of law governing specific performance, injunctive relief and other equitable remedies.</w:t>
      </w:r>
    </w:p>
    <w:p>
      <w:pPr>
        <w:spacing w:after="0" w:line="119" w:lineRule="exact"/>
        <w:rPr>
          <w:sz w:val="20"/>
          <w:szCs w:val="20"/>
          <w:color w:val="auto"/>
        </w:rPr>
      </w:pPr>
    </w:p>
    <w:p>
      <w:pPr>
        <w:jc w:val="both"/>
        <w:ind w:left="640" w:right="8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Entity</w:t>
      </w:r>
      <w:r>
        <w:rPr>
          <w:rFonts w:ascii="Times New Roman" w:cs="Times New Roman" w:eastAsia="Times New Roman" w:hAnsi="Times New Roman"/>
          <w:sz w:val="13"/>
          <w:szCs w:val="13"/>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26"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w:t>
      </w:r>
      <w:r>
        <w:rPr>
          <w:rFonts w:ascii="Times New Roman" w:cs="Times New Roman" w:eastAsia="Times New Roman" w:hAnsi="Times New Roman"/>
          <w:sz w:val="13"/>
          <w:szCs w:val="13"/>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25" w:name="page26"/>
    <w:bookmarkEnd w:id="25"/>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Equity Plan Proposals</w:t>
      </w:r>
      <w:r>
        <w:rPr>
          <w:rFonts w:ascii="Times New Roman" w:cs="Times New Roman" w:eastAsia="Times New Roman" w:hAnsi="Times New Roman"/>
          <w:sz w:val="13"/>
          <w:szCs w:val="13"/>
          <w:color w:val="auto"/>
        </w:rPr>
        <w:t>” means, collectively, the 2024 Equity Incentive Plan (the “</w:t>
      </w:r>
      <w:r>
        <w:rPr>
          <w:rFonts w:ascii="Times New Roman" w:cs="Times New Roman" w:eastAsia="Times New Roman" w:hAnsi="Times New Roman"/>
          <w:sz w:val="13"/>
          <w:szCs w:val="13"/>
          <w:b w:val="1"/>
          <w:bCs w:val="1"/>
          <w:color w:val="auto"/>
        </w:rPr>
        <w:t>2024 Plan</w:t>
      </w:r>
      <w:r>
        <w:rPr>
          <w:rFonts w:ascii="Times New Roman" w:cs="Times New Roman" w:eastAsia="Times New Roman" w:hAnsi="Times New Roman"/>
          <w:sz w:val="13"/>
          <w:szCs w:val="13"/>
          <w:color w:val="auto"/>
        </w:rPr>
        <w:t>”) and the 2024 Employee Stock Purchase Plan (the “</w:t>
      </w:r>
      <w:r>
        <w:rPr>
          <w:rFonts w:ascii="Times New Roman" w:cs="Times New Roman" w:eastAsia="Times New Roman" w:hAnsi="Times New Roman"/>
          <w:sz w:val="13"/>
          <w:szCs w:val="13"/>
          <w:b w:val="1"/>
          <w:bCs w:val="1"/>
          <w:color w:val="auto"/>
        </w:rPr>
        <w:t>2024 ESPP</w:t>
      </w:r>
      <w:r>
        <w:rPr>
          <w:rFonts w:ascii="Times New Roman" w:cs="Times New Roman" w:eastAsia="Times New Roman" w:hAnsi="Times New Roman"/>
          <w:sz w:val="13"/>
          <w:szCs w:val="13"/>
          <w:color w:val="auto"/>
        </w:rPr>
        <w:t>”), in a form reasonably acceptable to Aspen.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Employee Retirement Income Security Act of 1974, as amended.</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means, with respect to any Entity, any other Person that would be treated as a single employer with such Entity or part of the same “controlled group” as such Entity under Sections 414(b),(c),(m) or (o) of the Code.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FDA</w:t>
      </w:r>
      <w:r>
        <w:rPr>
          <w:rFonts w:ascii="Times New Roman" w:cs="Times New Roman" w:eastAsia="Times New Roman" w:hAnsi="Times New Roman"/>
          <w:sz w:val="13"/>
          <w:szCs w:val="13"/>
          <w:color w:val="auto"/>
        </w:rPr>
        <w:t>” means the United States Food and Drug Administration and any successor agency thereto.</w:t>
      </w:r>
    </w:p>
    <w:p>
      <w:pPr>
        <w:spacing w:after="0" w:line="154" w:lineRule="exact"/>
        <w:rPr>
          <w:sz w:val="20"/>
          <w:szCs w:val="20"/>
          <w:color w:val="auto"/>
        </w:rPr>
      </w:pPr>
    </w:p>
    <w:p>
      <w:pPr>
        <w:jc w:val="both"/>
        <w:ind w:left="640" w:right="9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Good Clinical Practices</w:t>
      </w:r>
      <w:r>
        <w:rPr>
          <w:rFonts w:ascii="Times New Roman" w:cs="Times New Roman" w:eastAsia="Times New Roman" w:hAnsi="Times New Roman"/>
          <w:sz w:val="13"/>
          <w:szCs w:val="13"/>
          <w:color w:val="auto"/>
        </w:rPr>
        <w:t>” means the FDA’s standards for the design, conduct, performance, monitoring, auditing, recording, analysis, and reporting of clinical trials, including those standards contained in 21 C.F.R. Parts 11, 50, 54, 56 and 312 and all comparable standards of any other applicable Drug Governmental Authority.</w:t>
      </w:r>
    </w:p>
    <w:p>
      <w:pPr>
        <w:spacing w:after="0" w:line="126"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Good Laboratory Practices</w:t>
      </w:r>
      <w:r>
        <w:rPr>
          <w:rFonts w:ascii="Times New Roman" w:cs="Times New Roman" w:eastAsia="Times New Roman" w:hAnsi="Times New Roman"/>
          <w:sz w:val="13"/>
          <w:szCs w:val="13"/>
          <w:color w:val="auto"/>
        </w:rPr>
        <w:t>” means the FDA’s standards for conducting non-clinical laboratory studies, including those standards contained in 21 C.F.R. Parts 11 and 58, and all comparable standards of any other applicable Drug Governmental Authority.</w:t>
      </w:r>
    </w:p>
    <w:p>
      <w:pPr>
        <w:spacing w:after="0" w:line="119"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Good Manufacturing Practices</w:t>
      </w:r>
      <w:r>
        <w:rPr>
          <w:rFonts w:ascii="Times New Roman" w:cs="Times New Roman" w:eastAsia="Times New Roman" w:hAnsi="Times New Roman"/>
          <w:sz w:val="13"/>
          <w:szCs w:val="13"/>
          <w:color w:val="auto"/>
        </w:rPr>
        <w:t>” means the requirements set forth at 21 U.S.C. § 351(a)(2)(B) and in the regulations for drugs contained in 21 C.F.R. Parts 11, 210, 211 and 600-680, and all comparable standards of any other applicable Drug Governmental Authority.</w:t>
      </w:r>
    </w:p>
    <w:p>
      <w:pPr>
        <w:spacing w:after="0" w:line="119"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31"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w:t>
      </w:r>
      <w:r>
        <w:rPr>
          <w:rFonts w:ascii="Times New Roman" w:cs="Times New Roman" w:eastAsia="Times New Roman" w:hAnsi="Times New Roman"/>
          <w:sz w:val="13"/>
          <w:szCs w:val="13"/>
          <w:color w:val="auto"/>
        </w:rPr>
        <w:t>”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26" w:lineRule="exact"/>
        <w:rPr>
          <w:sz w:val="20"/>
          <w:szCs w:val="20"/>
          <w:color w:val="auto"/>
        </w:rPr>
      </w:pPr>
    </w:p>
    <w:p>
      <w:pPr>
        <w:ind w:left="640" w:right="67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Hazardous Materials</w:t>
      </w:r>
      <w:r>
        <w:rPr>
          <w:rFonts w:ascii="Times New Roman" w:cs="Times New Roman" w:eastAsia="Times New Roman" w:hAnsi="Times New Roman"/>
          <w:sz w:val="12"/>
          <w:szCs w:val="12"/>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10" w:lineRule="exact"/>
        <w:rPr>
          <w:sz w:val="20"/>
          <w:szCs w:val="20"/>
          <w:color w:val="auto"/>
        </w:rPr>
      </w:pPr>
    </w:p>
    <w:p>
      <w:pPr>
        <w:jc w:val="both"/>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Healthcare Laws</w:t>
      </w:r>
      <w:r>
        <w:rPr>
          <w:rFonts w:ascii="Times New Roman" w:cs="Times New Roman" w:eastAsia="Times New Roman" w:hAnsi="Times New Roman"/>
          <w:sz w:val="13"/>
          <w:szCs w:val="13"/>
          <w:color w:val="auto"/>
        </w:rPr>
        <w:t>” means all applicable health care Laws, including (i) any and all federal, state and local fraud and abuse Laws, including the federal Anti-Kickback Statute (42 U.S.C. § 1320a-7b(b)), the civil False Claims Act (31 U.S.C. §§ 3729 et seq.), the administrative False Claims Law (42 U.S.C. § 1320a-7b(a)) and the regulations promulgated pursuant to such statutes and equivalent non-U.S. statutory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6" w:name="page27"/>
    <w:bookmarkEnd w:id="2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regulatory provisions; (ii) the Federal Food, Drug, and Cosmetic Act (21 U.S.C. §§ 301 et seq.) and the regulations promulgated thereunder and equivalent non-U.S. statutory and regulatory provisions; (iii) the health care fraud and false statement provisions of HIPAA; (iv) applicable Laws which are cause for exclusion from any federal health care program and the regulations promulgated pursuant to such statutes and equivalent non-U.S. statutory and regulatory provisions; (v) the federal health care program civil monetary penalty (42 U.S.C. § 1320a-7a) and exclusion authorities (42 U.S.C. § 1320a-7) and the regulations promulgated pursuant to such statutes; (vi) the Public Health Service Act (42 U.S.C. §§ 201 et seq.) and the regulations promulgated thereunder and equivalent non-U.S. statutory and regulatory provisions; and (vii) all applicable Laws, rules, regulations, orders, judgments, decrees and injunctions administered by the FDA and other applicable regulatory authorities, including those governing recordkeeping, manufacturing, testing, development and approval of any Company Product or Aspen Product, including but not limited to FDA’s regulations at 21 C.F.R. Parts 11, 50, 54, 56, 58, 210, 211, 312, 600 and 610, each as may be amended from time to time and equivalent non-U.S. statutory and regulatory provisions.</w:t>
      </w:r>
    </w:p>
    <w:p>
      <w:pPr>
        <w:spacing w:after="0" w:line="134"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Healthcare Submissions</w:t>
      </w:r>
      <w:r>
        <w:rPr>
          <w:rFonts w:ascii="Times New Roman" w:cs="Times New Roman" w:eastAsia="Times New Roman" w:hAnsi="Times New Roman"/>
          <w:sz w:val="13"/>
          <w:szCs w:val="13"/>
          <w:color w:val="auto"/>
        </w:rPr>
        <w:t>” means all required material filings, declarations, listings, registrations, reports or submissions, including adverse event reports.</w:t>
      </w:r>
    </w:p>
    <w:p>
      <w:pPr>
        <w:spacing w:after="0" w:line="119"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means collectively the Health Insurance Portability and Accountability Act (42 U.S.C. §§ 1320d et seq.), as amended by the Health Information Technology for Economic and Clinical Health Act (42 U.S.C. §§ 17921 et seq.) and their implementing regulations.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 the Money Aspen Options</w:t>
      </w:r>
      <w:r>
        <w:rPr>
          <w:rFonts w:ascii="Times New Roman" w:cs="Times New Roman" w:eastAsia="Times New Roman" w:hAnsi="Times New Roman"/>
          <w:sz w:val="13"/>
          <w:szCs w:val="13"/>
          <w:color w:val="auto"/>
        </w:rPr>
        <w:t>” shall mean Aspen Options with an exercise price less than the Aspen Closing Price</w:t>
      </w:r>
    </w:p>
    <w:p>
      <w:pPr>
        <w:spacing w:after="0" w:line="154"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means any and all intellectual property or proprietary rights of any kind or nature throughout the world, including all (i) patents and patent applications, including all provisionals, nonprovisionals, continuations, continuations-in-part, divisionals, reissues, extensions, re-examinations, and substitutions thereof and the equivalents of any of the foregoing in any jurisdiction, and all inventions disclosed in each such patent or patent application (collectively, “</w:t>
      </w:r>
      <w:r>
        <w:rPr>
          <w:rFonts w:ascii="Times New Roman" w:cs="Times New Roman" w:eastAsia="Times New Roman" w:hAnsi="Times New Roman"/>
          <w:sz w:val="12"/>
          <w:szCs w:val="12"/>
          <w:b w:val="1"/>
          <w:bCs w:val="1"/>
          <w:color w:val="auto"/>
        </w:rPr>
        <w:t>Patents</w:t>
      </w:r>
      <w:r>
        <w:rPr>
          <w:rFonts w:ascii="Times New Roman" w:cs="Times New Roman" w:eastAsia="Times New Roman" w:hAnsi="Times New Roman"/>
          <w:sz w:val="12"/>
          <w:szCs w:val="12"/>
          <w:color w:val="auto"/>
        </w:rPr>
        <w:t>”); (ii) trade names, trade dress, logos, slogans, Internet domain names, registered and unregistered trademarks and service marks, and related registrations and applications for registration of any of the foregoing, and all goodwill associated with any of the foregoing (collectively, “</w:t>
      </w:r>
      <w:r>
        <w:rPr>
          <w:rFonts w:ascii="Times New Roman" w:cs="Times New Roman" w:eastAsia="Times New Roman" w:hAnsi="Times New Roman"/>
          <w:sz w:val="12"/>
          <w:szCs w:val="12"/>
          <w:b w:val="1"/>
          <w:bCs w:val="1"/>
          <w:color w:val="auto"/>
        </w:rPr>
        <w:t>Marks</w:t>
      </w:r>
      <w:r>
        <w:rPr>
          <w:rFonts w:ascii="Times New Roman" w:cs="Times New Roman" w:eastAsia="Times New Roman" w:hAnsi="Times New Roman"/>
          <w:sz w:val="12"/>
          <w:szCs w:val="12"/>
          <w:color w:val="auto"/>
        </w:rPr>
        <w:t>”); (iii) copyrights in both published and unpublished works, including all compilations, databases and computer programs, manuals and other documentation and all copyright registrations and applications (collectively, “</w:t>
      </w:r>
      <w:r>
        <w:rPr>
          <w:rFonts w:ascii="Times New Roman" w:cs="Times New Roman" w:eastAsia="Times New Roman" w:hAnsi="Times New Roman"/>
          <w:sz w:val="12"/>
          <w:szCs w:val="12"/>
          <w:b w:val="1"/>
          <w:bCs w:val="1"/>
          <w:color w:val="auto"/>
        </w:rPr>
        <w:t>Copyrights</w:t>
      </w:r>
      <w:r>
        <w:rPr>
          <w:rFonts w:ascii="Times New Roman" w:cs="Times New Roman" w:eastAsia="Times New Roman" w:hAnsi="Times New Roman"/>
          <w:sz w:val="12"/>
          <w:szCs w:val="12"/>
          <w:color w:val="auto"/>
        </w:rPr>
        <w:t>”); (iv) trade secrets, know-how, inventions (including as disclosed in invention disclosures and discoveries) and confidential information, including manufacturing information, methods and processes, assays, materials, engineering and other manuals and drawings, operating procedures, regulatory, chemical, pharmacological, toxicological, pharmaceutical, physical and analytical, safety, quality assurance, quality control and clinical data and similar data and information (collectively, “</w:t>
      </w:r>
      <w:r>
        <w:rPr>
          <w:rFonts w:ascii="Times New Roman" w:cs="Times New Roman" w:eastAsia="Times New Roman" w:hAnsi="Times New Roman"/>
          <w:sz w:val="12"/>
          <w:szCs w:val="12"/>
          <w:b w:val="1"/>
          <w:bCs w:val="1"/>
          <w:color w:val="auto"/>
        </w:rPr>
        <w:t>Trade Secrets</w:t>
      </w:r>
      <w:r>
        <w:rPr>
          <w:rFonts w:ascii="Times New Roman" w:cs="Times New Roman" w:eastAsia="Times New Roman" w:hAnsi="Times New Roman"/>
          <w:sz w:val="12"/>
          <w:szCs w:val="12"/>
          <w:color w:val="auto"/>
        </w:rPr>
        <w:t>”); (v) rights of privacy or publicity; (vi) rights in software, data and databases, and industrial property rights;</w:t>
      </w:r>
    </w:p>
    <w:p>
      <w:pPr>
        <w:spacing w:after="0" w:line="1" w:lineRule="exact"/>
        <w:rPr>
          <w:sz w:val="20"/>
          <w:szCs w:val="20"/>
          <w:color w:val="auto"/>
        </w:rPr>
      </w:pPr>
    </w:p>
    <w:p>
      <w:pPr>
        <w:ind w:left="640" w:right="959" w:hanging="3"/>
        <w:spacing w:after="0" w:line="246" w:lineRule="auto"/>
        <w:tabs>
          <w:tab w:leader="none" w:pos="889"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embodiments of any of the foregoing, and (viii) rights to assert, claim, enforce or sue and collect damages or seek other remedies for any past, present or future infringement, misappropriation or other violation of any of the foregoing.</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means the United States Internal Revenue Service.</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Knowledge</w:t>
      </w:r>
      <w:r>
        <w:rPr>
          <w:rFonts w:ascii="Times New Roman" w:cs="Times New Roman" w:eastAsia="Times New Roman" w:hAnsi="Times New Roman"/>
          <w:sz w:val="13"/>
          <w:szCs w:val="13"/>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7" w:name="page28"/>
    <w:bookmarkEnd w:id="27"/>
    <w:p>
      <w:pPr>
        <w:ind w:left="640" w:right="759" w:firstLine="309"/>
        <w:spacing w:after="0" w:line="28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For the avoidance of doubt, the term “Law” includes any and all Environmental Laws, Healthcare Laws and Privacy Laws.</w:t>
      </w:r>
    </w:p>
    <w:p>
      <w:pPr>
        <w:spacing w:after="0" w:line="114" w:lineRule="exact"/>
        <w:rPr>
          <w:sz w:val="20"/>
          <w:szCs w:val="20"/>
          <w:color w:val="auto"/>
        </w:rPr>
      </w:pPr>
    </w:p>
    <w:p>
      <w:pPr>
        <w:ind w:left="640" w:right="9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Legal Proceeding</w:t>
      </w:r>
      <w:r>
        <w:rPr>
          <w:rFonts w:ascii="Times New Roman" w:cs="Times New Roman" w:eastAsia="Times New Roman" w:hAnsi="Times New Roman"/>
          <w:sz w:val="13"/>
          <w:szCs w:val="13"/>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 Board</w:t>
      </w:r>
      <w:r>
        <w:rPr>
          <w:rFonts w:ascii="Times New Roman" w:cs="Times New Roman" w:eastAsia="Times New Roman" w:hAnsi="Times New Roman"/>
          <w:sz w:val="13"/>
          <w:szCs w:val="13"/>
          <w:color w:val="auto"/>
        </w:rPr>
        <w:t>” means the board of directors of Merger Sub.</w:t>
      </w:r>
    </w:p>
    <w:p>
      <w:pPr>
        <w:spacing w:after="0" w:line="154"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means the Nasdaq Global Select Market, the Nasdaq Global Market or the Nasdaq Capital Market, as may be applicable to Aspen from time to time.</w:t>
      </w:r>
    </w:p>
    <w:p>
      <w:pPr>
        <w:spacing w:after="0" w:line="119" w:lineRule="exact"/>
        <w:rPr>
          <w:sz w:val="20"/>
          <w:szCs w:val="20"/>
          <w:color w:val="auto"/>
        </w:rPr>
      </w:pPr>
    </w:p>
    <w:p>
      <w:pPr>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 Reverse Split</w:t>
      </w:r>
      <w:r>
        <w:rPr>
          <w:rFonts w:ascii="Times New Roman" w:cs="Times New Roman" w:eastAsia="Times New Roman" w:hAnsi="Times New Roman"/>
          <w:sz w:val="13"/>
          <w:szCs w:val="13"/>
          <w:color w:val="auto"/>
        </w:rPr>
        <w:t>” means a reverse stock split of all outstanding shares of Aspen Common Stock at a reverse stock split ratio mutually agreed to by Aspen and the Company that is effected by Aspen for the purpose of maintaining compliance with Nasdaq listing requirements or of maintaining compliance with Aspen’s authorized share count, or for other purposes as mutually agreed by the parties.</w:t>
      </w:r>
    </w:p>
    <w:p>
      <w:pPr>
        <w:spacing w:after="0" w:line="126"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26" w:lineRule="exact"/>
        <w:rPr>
          <w:sz w:val="20"/>
          <w:szCs w:val="20"/>
          <w:color w:val="auto"/>
        </w:rPr>
      </w:pPr>
    </w:p>
    <w:p>
      <w:pPr>
        <w:ind w:left="640" w:right="73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Ordinary Course of Business</w:t>
      </w:r>
      <w:r>
        <w:rPr>
          <w:rFonts w:ascii="Times New Roman" w:cs="Times New Roman" w:eastAsia="Times New Roman" w:hAnsi="Times New Roman"/>
          <w:sz w:val="13"/>
          <w:szCs w:val="13"/>
          <w:color w:val="auto"/>
        </w:rPr>
        <w:t xml:space="preserve">” means, in the case of each of the Company and Aspen, such actions taken in the ordinary course of its normal operations and consistent with its past practices, as applicable;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during the Pre-Closing Period, the Ordinary Course of Business of Aspen shall also be deemed to include actions required to effect and effecting, in one or more transactions, the sale, divestiture, licensing or winding down of Aspen’s business or operations related to the assets listed on Schedule 1.1 of the Aspen Disclosure Schedule or the sale, license or other disposition of any or all of the Aspen Pre-Closing Assets, including the expenditure of monies in connection therewith.</w:t>
      </w:r>
    </w:p>
    <w:p>
      <w:pPr>
        <w:spacing w:after="0" w:line="131"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Organizational Documents</w:t>
      </w:r>
      <w:r>
        <w:rPr>
          <w:rFonts w:ascii="Times New Roman" w:cs="Times New Roman" w:eastAsia="Times New Roman" w:hAnsi="Times New Roman"/>
          <w:sz w:val="13"/>
          <w:szCs w:val="13"/>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Out of the Money Aspen Options</w:t>
      </w:r>
      <w:r>
        <w:rPr>
          <w:rFonts w:ascii="Times New Roman" w:cs="Times New Roman" w:eastAsia="Times New Roman" w:hAnsi="Times New Roman"/>
          <w:sz w:val="13"/>
          <w:szCs w:val="13"/>
          <w:color w:val="auto"/>
        </w:rPr>
        <w:t>” shall mean Aspen Options with an exercise price greater than the Aspen Closing Price.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means the Company, Merger Sub and Aspen.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29" w:right="1440" w:bottom="1440" w:gutter="0" w:footer="0" w:header="0"/>
        </w:sectPr>
      </w:pPr>
    </w:p>
    <w:bookmarkStart w:id="28" w:name="page29"/>
    <w:bookmarkEnd w:id="28"/>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Permitted Alternative Agreement</w:t>
      </w:r>
      <w:r>
        <w:rPr>
          <w:rFonts w:ascii="Times New Roman" w:cs="Times New Roman" w:eastAsia="Times New Roman" w:hAnsi="Times New Roman"/>
          <w:sz w:val="13"/>
          <w:szCs w:val="13"/>
          <w:color w:val="auto"/>
        </w:rPr>
        <w:t>” means a definitive agreement that contemplates or otherwise relates to an Acquisition Transaction that constitutes a Superior Offer.</w:t>
      </w:r>
    </w:p>
    <w:p>
      <w:pPr>
        <w:spacing w:after="0" w:line="119"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Encumbrance</w:t>
      </w:r>
      <w:r>
        <w:rPr>
          <w:rFonts w:ascii="Times New Roman" w:cs="Times New Roman" w:eastAsia="Times New Roman" w:hAnsi="Times New Roman"/>
          <w:sz w:val="12"/>
          <w:szCs w:val="12"/>
          <w:color w:val="auto"/>
        </w:rPr>
        <w:t>” means (a) any statutory liens for current Taxes not yet due and payable or for Taxes that are being contested in good faith by the appropriate proceedings and for which adequate reserves have been made on the Company Financials or the Aspen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Aspen, as applicable,</w:t>
      </w:r>
    </w:p>
    <w:p>
      <w:pPr>
        <w:ind w:left="640" w:right="859" w:hanging="3"/>
        <w:spacing w:after="0" w:line="244" w:lineRule="auto"/>
        <w:tabs>
          <w:tab w:leader="none" w:pos="812"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liens arising under applicable securities Law.</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Entity or Governmental Authority.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Personal Information</w:t>
      </w:r>
      <w:r>
        <w:rPr>
          <w:rFonts w:ascii="Times New Roman" w:cs="Times New Roman" w:eastAsia="Times New Roman" w:hAnsi="Times New Roman"/>
          <w:sz w:val="12"/>
          <w:szCs w:val="12"/>
          <w:color w:val="auto"/>
        </w:rPr>
        <w:t>” means data and information concerning an identifiable natural person that are subject to regulation by the Privacy Laws.</w:t>
      </w:r>
    </w:p>
    <w:p>
      <w:pPr>
        <w:spacing w:after="0" w:line="165"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Privacy Laws</w:t>
      </w:r>
      <w:r>
        <w:rPr>
          <w:rFonts w:ascii="Times New Roman" w:cs="Times New Roman" w:eastAsia="Times New Roman" w:hAnsi="Times New Roman"/>
          <w:sz w:val="12"/>
          <w:szCs w:val="12"/>
          <w:color w:val="auto"/>
        </w:rPr>
        <w:t>” mean, collectively, (i) all applicable Laws relating to data privacy, data protection, data security, trans-border data flow, data loss, data theft or breach notification with respect to the collection, handling, use, processing, maintenance, storage, disclosure or transfer of Personal Information enacted, adopted, promulgated or applied by any Governmental Authority, including the applicable legally binding requirements set forth in applicable regulations and agreements containing consent orders published by regulatory authorities of competent jurisdiction such as, as applicable, the U.S. Federal Trade Commission, U.S. Federal Communications Commission, and state data protection authorities, including but not limited to HIPAA;</w:t>
      </w:r>
    </w:p>
    <w:p>
      <w:pPr>
        <w:spacing w:after="0" w:line="3" w:lineRule="exact"/>
        <w:rPr>
          <w:sz w:val="20"/>
          <w:szCs w:val="20"/>
          <w:color w:val="auto"/>
        </w:rPr>
      </w:pPr>
    </w:p>
    <w:p>
      <w:pPr>
        <w:ind w:left="820" w:hanging="183"/>
        <w:spacing w:after="0"/>
        <w:tabs>
          <w:tab w:leader="none" w:pos="8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internal privacy policy of the Company and any public statements that the Company has made regarding its privacy policies and practices;</w:t>
      </w:r>
    </w:p>
    <w:p>
      <w:pPr>
        <w:spacing w:after="0" w:line="2" w:lineRule="exact"/>
        <w:rPr>
          <w:rFonts w:ascii="Times New Roman" w:cs="Times New Roman" w:eastAsia="Times New Roman" w:hAnsi="Times New Roman"/>
          <w:sz w:val="13"/>
          <w:szCs w:val="13"/>
          <w:color w:val="auto"/>
        </w:rPr>
      </w:pPr>
    </w:p>
    <w:p>
      <w:pPr>
        <w:ind w:left="640" w:right="679" w:hanging="3"/>
        <w:spacing w:after="0" w:line="244" w:lineRule="auto"/>
        <w:tabs>
          <w:tab w:leader="none" w:pos="861"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 party privacy policies with which the Company has been or is contractually obligated to comply; and (iv) any applicable rules of any applicable self-regulatory organizations in which the Company is or has been a member and/or with which the Company is or has been contractually obligated to comply relating to data privacy, data protection, data security, trans-border data flow, data loss, data theft or breach notification with respect to the collection, handling, use, processing, maintenance, storage, disclosure or transfer of Personal Information.</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means directors, officers, employees, agents, attorneys, accountants, investment bankers, advisors and representatives.</w:t>
      </w:r>
    </w:p>
    <w:p>
      <w:pPr>
        <w:spacing w:after="0" w:line="154"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Sanctioned Country</w:t>
      </w:r>
      <w:r>
        <w:rPr>
          <w:rFonts w:ascii="Times New Roman" w:cs="Times New Roman" w:eastAsia="Times New Roman" w:hAnsi="Times New Roman"/>
          <w:sz w:val="13"/>
          <w:szCs w:val="13"/>
          <w:color w:val="auto"/>
        </w:rPr>
        <w:t>” means any country or region subject to economic sanctions or trade restrictions of the United States that broadly prohibit or restrict dealings with such country or region (currently including Cuba, Iran, North Korea, Syria, the Crimea region of Ukraine, and the so-called Donetsk People’s Republic and Luhansk People’s Republic regions in Ukraine).</w:t>
      </w:r>
    </w:p>
    <w:p>
      <w:pPr>
        <w:spacing w:after="0" w:line="126"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Sanctioned Person</w:t>
      </w:r>
      <w:r>
        <w:rPr>
          <w:rFonts w:ascii="Times New Roman" w:cs="Times New Roman" w:eastAsia="Times New Roman" w:hAnsi="Times New Roman"/>
          <w:sz w:val="12"/>
          <w:szCs w:val="12"/>
          <w:color w:val="auto"/>
        </w:rPr>
        <w:t>” means any Person subject to economic sanctions, trade restrictions or similar restrictions under any Sanctions Laws, including (a) any Person identified in any sanctions list maintained by the U.S. government, including (i) the U.S. Department of the Treasury, Office of Foreign Assets Control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(ii) the U.S. Department of Commerce, Bureau of Industry and Security, and (iii) the U.S. Department of State;</w:t>
      </w:r>
    </w:p>
    <w:p>
      <w:pPr>
        <w:spacing w:after="0" w:line="1" w:lineRule="exact"/>
        <w:rPr>
          <w:sz w:val="20"/>
          <w:szCs w:val="20"/>
          <w:color w:val="auto"/>
        </w:rPr>
      </w:pPr>
    </w:p>
    <w:p>
      <w:pPr>
        <w:jc w:val="both"/>
        <w:ind w:left="640" w:right="799" w:hanging="3"/>
        <w:spacing w:after="0" w:line="245" w:lineRule="auto"/>
        <w:tabs>
          <w:tab w:leader="none" w:pos="819"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located, organized or resident in, or a government instrumentality of, any Sanctioned Country; and (c) any Person directly or indirectly owned fifty percent (50%) or more by, or acting for the benefit or on behalf of, a Person described in the Specially Designated Nationals and Blocked Persons list maintained by OFAC or the foregoing clause (b).</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29" w:right="1440" w:bottom="1440" w:gutter="0" w:footer="0" w:header="0"/>
        </w:sectPr>
      </w:pPr>
    </w:p>
    <w:bookmarkStart w:id="29" w:name="page30"/>
    <w:bookmarkEnd w:id="29"/>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Sanctions Laws</w:t>
      </w:r>
      <w:r>
        <w:rPr>
          <w:rFonts w:ascii="Times New Roman" w:cs="Times New Roman" w:eastAsia="Times New Roman" w:hAnsi="Times New Roman"/>
          <w:sz w:val="13"/>
          <w:szCs w:val="13"/>
          <w:color w:val="auto"/>
        </w:rPr>
        <w:t>” means all applicable Laws concerning embargoes, economic sanctions, export or import controls or restrictions, the ability to make or receive international payments, the ability to export items (including hardware, software, or technology) and/or services, the ability to engage in international transactions, or the ability to take an ownership interest in assets located in a foreign country, including those administered by OFAC, the Bureau of Industry and Security of the U.S. Department of Commerce, the U.S. Department of State, and any other similar Laws of any other jurisdiction.</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Sarbanes-Oxley Act</w:t>
      </w:r>
      <w:r>
        <w:rPr>
          <w:rFonts w:ascii="Times New Roman" w:cs="Times New Roman" w:eastAsia="Times New Roman" w:hAnsi="Times New Roman"/>
          <w:sz w:val="13"/>
          <w:szCs w:val="13"/>
          <w:color w:val="auto"/>
        </w:rPr>
        <w:t>” means the Sarbanes-Oxley Act of 2002.</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means the Securities Act of 1933,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Specified Time</w:t>
      </w:r>
      <w:r>
        <w:rPr>
          <w:rFonts w:ascii="Times New Roman" w:cs="Times New Roman" w:eastAsia="Times New Roman" w:hAnsi="Times New Roman"/>
          <w:sz w:val="13"/>
          <w:szCs w:val="13"/>
          <w:color w:val="auto"/>
        </w:rPr>
        <w:t>” means the time that is immediately prior to the Effective Time.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with respect to an Entity, a Person if such Person directly or indirectly owns or purports to own, beneficially or of record,</w:t>
      </w:r>
    </w:p>
    <w:p>
      <w:pPr>
        <w:spacing w:after="0" w:line="29" w:lineRule="exact"/>
        <w:rPr>
          <w:sz w:val="20"/>
          <w:szCs w:val="20"/>
          <w:color w:val="auto"/>
        </w:rPr>
      </w:pPr>
    </w:p>
    <w:p>
      <w:pPr>
        <w:ind w:left="640" w:right="799" w:hanging="3"/>
        <w:spacing w:after="0" w:line="245" w:lineRule="auto"/>
        <w:tabs>
          <w:tab w:leader="none" w:pos="812"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34"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Superior Offer</w:t>
      </w:r>
      <w:r>
        <w:rPr>
          <w:rFonts w:ascii="Times New Roman" w:cs="Times New Roman" w:eastAsia="Times New Roman" w:hAnsi="Times New Roman"/>
          <w:sz w:val="12"/>
          <w:szCs w:val="12"/>
          <w:color w:val="auto"/>
        </w:rPr>
        <w:t xml:space="preserve">” means an unsolicited bona fide written Acquisition Proposal (with all references to 20% in the definition of Acquisition Transaction being treated as references to 70% for these purposes) that: (a) was not obtained or made as a result of a breach of (or a violation of) </w:t>
      </w:r>
      <w:r>
        <w:rPr>
          <w:rFonts w:ascii="Times New Roman" w:cs="Times New Roman" w:eastAsia="Times New Roman" w:hAnsi="Times New Roman"/>
          <w:sz w:val="12"/>
          <w:szCs w:val="12"/>
          <w:u w:val="single" w:color="auto"/>
          <w:color w:val="auto"/>
        </w:rPr>
        <w:t>Section 5.4(a)</w:t>
      </w:r>
      <w:r>
        <w:rPr>
          <w:rFonts w:ascii="Times New Roman" w:cs="Times New Roman" w:eastAsia="Times New Roman" w:hAnsi="Times New Roman"/>
          <w:sz w:val="12"/>
          <w:szCs w:val="12"/>
          <w:color w:val="auto"/>
        </w:rPr>
        <w:t xml:space="preserve"> by Aspen, (b) is on terms and conditions that the Aspen Board or the Company Board, as applicable (or any committee thereof) determines in good faith, based on such matters that it deems relevant (including the likelihood of consummation thereof and the financing terms thereof), as well as any binding written offer by the other Party to the Agreement to amend the terms of this Agreement, and following consultation with its outside legal counsel and financial advisors, if any, it deems are more favorable, from a financial point of view, to Aspen’s stockholders or the Company’s stockholders, as applicable, than the terms of the Contemplated Transactions, (c) is not subject to any debt financing conditions (and if debt financing is required, such financing is then fully committed to the third party) and (d) is reasonably capable of being completed on the terms proposed.</w:t>
      </w:r>
    </w:p>
    <w:p>
      <w:pPr>
        <w:spacing w:after="0" w:line="12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spacing w:after="0" w:line="135"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Return</w:t>
      </w:r>
      <w:r>
        <w:rPr>
          <w:rFonts w:ascii="Times New Roman" w:cs="Times New Roman" w:eastAsia="Times New Roman" w:hAnsi="Times New Roman"/>
          <w:sz w:val="13"/>
          <w:szCs w:val="13"/>
          <w:color w:val="auto"/>
        </w:rPr>
        <w:t>” means any return (including any information return), report, statement, declaration, claim of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29" w:right="1440" w:bottom="1440" w:gutter="0" w:footer="0" w:header="0"/>
        </w:sectPr>
      </w:pPr>
    </w:p>
    <w:bookmarkStart w:id="30" w:name="page31"/>
    <w:bookmarkEnd w:id="30"/>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Transaction Expenses</w:t>
      </w:r>
      <w:r>
        <w:rPr>
          <w:rFonts w:ascii="Times New Roman" w:cs="Times New Roman" w:eastAsia="Times New Roman" w:hAnsi="Times New Roman"/>
          <w:sz w:val="13"/>
          <w:szCs w:val="13"/>
          <w:color w:val="auto"/>
        </w:rPr>
        <w:t xml:space="preserve">” means, subject to </w:t>
      </w:r>
      <w:r>
        <w:rPr>
          <w:rFonts w:ascii="Times New Roman" w:cs="Times New Roman" w:eastAsia="Times New Roman" w:hAnsi="Times New Roman"/>
          <w:sz w:val="13"/>
          <w:szCs w:val="13"/>
          <w:u w:val="single" w:color="auto"/>
          <w:color w:val="auto"/>
        </w:rPr>
        <w:t>Section 10.3(a)</w:t>
      </w:r>
      <w:r>
        <w:rPr>
          <w:rFonts w:ascii="Times New Roman" w:cs="Times New Roman" w:eastAsia="Times New Roman" w:hAnsi="Times New Roman"/>
          <w:sz w:val="13"/>
          <w:szCs w:val="13"/>
          <w:color w:val="auto"/>
        </w:rPr>
        <w:t xml:space="preserve">, with respect to Aspen, and solely to the extent remaining unpaid at the Cash Determination Time, the aggregate amount (without duplication) of all costs, fees and expenses incurred by Aspen or any of its Subsidiaries (including Merger Sub), or for which Aspen or any of its Subsidiaries are liable in connection with the Contemplated Transactions and the negotiation, preparation and execution of this Agreement or any other agreement, document, instrument, filing, certificate, schedule, exhibit, letter or other document prepared or executed in connection with the Contemplated Transactions, including (a) any fees and expenses of legal counsel and accountants, fees and expenses reasonably expected to be payable to financial advisors, investment bankers, brokers, consultants, tax advisors, transfer agents, proxy solicitor and other advisors of Aspen in connection with the Contemplated Transactions; (b) 50% of the fees paid to the SEC in connection with filing the Registration Statement, the Proxy Statement, and any amendments and supplements thereto, with the SEC; (c) 50% of the fees and expenses in connection with the printing, mailing and distribution of the Registration Statement and any amendments and supplements thereto; (d) 50% of the Nasdaq Fees (as defined in </w:t>
      </w:r>
      <w:r>
        <w:rPr>
          <w:rFonts w:ascii="Times New Roman" w:cs="Times New Roman" w:eastAsia="Times New Roman" w:hAnsi="Times New Roman"/>
          <w:sz w:val="13"/>
          <w:szCs w:val="13"/>
          <w:u w:val="single" w:color="auto"/>
          <w:color w:val="auto"/>
        </w:rPr>
        <w:t>Section 6.10</w:t>
      </w:r>
      <w:r>
        <w:rPr>
          <w:rFonts w:ascii="Times New Roman" w:cs="Times New Roman" w:eastAsia="Times New Roman" w:hAnsi="Times New Roman"/>
          <w:sz w:val="13"/>
          <w:szCs w:val="13"/>
          <w:color w:val="auto"/>
        </w:rPr>
        <w:t xml:space="preserve">); (e) the CVR Fees; and (f) to the extent not included in Aspen Net Cash, any bonus, severance, change-in-control payments or similar payment obligations (including payments with “single-trigger” provisions triggered at and as of the Closing) in effect as of the Closing that are, become, or may become due or payable to any director, officer, employee or consultant of Aspen in connection with, or following, the consummation of the Contemplated Transactions, including the employer portion of any employment, payroll or similar Taxes with respect to such compensation;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Transaction Expenses shall not include any Costs associated with the obtainment of directors and officers insurance pursuant to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With respect to the fees or costs contemplated by clauses (b), (c) and (d) of the preceding sentence, the remaining 50% of each such category of fees or costs is referred to herein as a “</w:t>
      </w:r>
      <w:r>
        <w:rPr>
          <w:rFonts w:ascii="Times New Roman" w:cs="Times New Roman" w:eastAsia="Times New Roman" w:hAnsi="Times New Roman"/>
          <w:sz w:val="13"/>
          <w:szCs w:val="13"/>
          <w:b w:val="1"/>
          <w:bCs w:val="1"/>
          <w:color w:val="auto"/>
        </w:rPr>
        <w:t>Company Portion</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means the United States Treasury regulations promulgated under the Code.</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Each of the following terms is defined in the Section set forth opposite such term:</w:t>
      </w:r>
    </w:p>
    <w:p>
      <w:pPr>
        <w:spacing w:after="0" w:line="169"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20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140" w:type="dxa"/>
            <w:vAlign w:val="bottom"/>
          </w:tcPr>
          <w:p>
            <w:pPr>
              <w:spacing w:after="0"/>
              <w:rPr>
                <w:sz w:val="10"/>
                <w:szCs w:val="10"/>
                <w:color w:val="auto"/>
              </w:rPr>
            </w:pPr>
          </w:p>
        </w:tc>
      </w:tr>
      <w:tr>
        <w:trPr>
          <w:trHeight w:val="217"/>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Agreement</w:t>
            </w:r>
          </w:p>
        </w:tc>
        <w:tc>
          <w:tcPr>
            <w:tcW w:w="13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89"/>
              </w:rPr>
              <w:t>Preamble</w:t>
            </w:r>
          </w:p>
        </w:tc>
      </w:tr>
      <w:tr>
        <w:trPr>
          <w:trHeight w:val="227"/>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w:t>
            </w:r>
          </w:p>
        </w:tc>
        <w:tc>
          <w:tcPr>
            <w:tcW w:w="132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89"/>
              </w:rPr>
              <w:t>Preamble</w:t>
            </w:r>
          </w:p>
        </w:tc>
      </w:tr>
      <w:tr>
        <w:trPr>
          <w:trHeight w:val="227"/>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Board Recommendation</w:t>
            </w:r>
          </w:p>
        </w:tc>
        <w:tc>
          <w:tcPr>
            <w:tcW w:w="132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6.3(b)</w:t>
            </w:r>
          </w:p>
        </w:tc>
      </w:tr>
      <w:tr>
        <w:trPr>
          <w:trHeight w:val="227"/>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Disclosure Schedule</w:t>
            </w: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9"/>
                <w:szCs w:val="19"/>
                <w:color w:val="auto"/>
              </w:rPr>
            </w:pPr>
          </w:p>
        </w:tc>
      </w:tr>
      <w:tr>
        <w:trPr>
          <w:trHeight w:val="227"/>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ESPP</w:t>
            </w:r>
          </w:p>
        </w:tc>
        <w:tc>
          <w:tcPr>
            <w:tcW w:w="132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4.6(c)</w:t>
            </w:r>
          </w:p>
        </w:tc>
      </w:tr>
      <w:tr>
        <w:trPr>
          <w:trHeight w:val="227"/>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Grant Date</w:t>
            </w:r>
          </w:p>
        </w:tc>
        <w:tc>
          <w:tcPr>
            <w:tcW w:w="132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4.6(f)</w:t>
            </w:r>
          </w:p>
        </w:tc>
      </w:tr>
      <w:tr>
        <w:trPr>
          <w:trHeight w:val="227"/>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Material Contract</w:t>
            </w:r>
          </w:p>
        </w:tc>
        <w:tc>
          <w:tcPr>
            <w:tcW w:w="132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4.13(a)</w:t>
            </w:r>
          </w:p>
        </w:tc>
      </w:tr>
      <w:tr>
        <w:trPr>
          <w:trHeight w:val="256"/>
        </w:trPr>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32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18</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ectPr>
          <w:pgSz w:w="11900" w:h="16838" w:orient="portrait"/>
          <w:cols w:equalWidth="0" w:num="1">
            <w:col w:w="9019"/>
          </w:cols>
          <w:pgMar w:left="1440" w:top="229" w:right="1440"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156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2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140" w:type="dxa"/>
            <w:vAlign w:val="bottom"/>
          </w:tcPr>
          <w:p>
            <w:pPr>
              <w:spacing w:after="0"/>
              <w:rPr>
                <w:sz w:val="10"/>
                <w:szCs w:val="10"/>
                <w:color w:val="auto"/>
              </w:rPr>
            </w:pPr>
          </w:p>
        </w:tc>
      </w:tr>
      <w:tr>
        <w:trPr>
          <w:trHeight w:val="21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Net Cash Calculation</w:t>
            </w:r>
          </w:p>
        </w:tc>
        <w:tc>
          <w:tcPr>
            <w:tcW w:w="1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2.9(a)</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Net Cash Schedule</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2.9(a)</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Real Estate Leases</w:t>
            </w:r>
          </w:p>
        </w:tc>
        <w:tc>
          <w:tcPr>
            <w:tcW w:w="14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4.11</w:t>
            </w:r>
          </w:p>
        </w:tc>
        <w:tc>
          <w:tcPr>
            <w:tcW w:w="140" w:type="dxa"/>
            <w:vAlign w:val="bottom"/>
          </w:tcPr>
          <w:p>
            <w:pPr>
              <w:spacing w:after="0"/>
              <w:rPr>
                <w:sz w:val="19"/>
                <w:szCs w:val="19"/>
                <w:color w:val="auto"/>
              </w:rPr>
            </w:pP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SEC Documents</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4.7(a)</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Stock Plans</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4.6(c)</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Stockholder Matters</w:t>
            </w:r>
          </w:p>
        </w:tc>
        <w:tc>
          <w:tcPr>
            <w:tcW w:w="110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3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Aspen Stockholder Meeting</w:t>
            </w:r>
          </w:p>
        </w:tc>
        <w:tc>
          <w:tcPr>
            <w:tcW w:w="14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20"/>
                <w:szCs w:val="20"/>
                <w:color w:val="auto"/>
              </w:rPr>
            </w:pPr>
          </w:p>
        </w:tc>
      </w:tr>
      <w:tr>
        <w:trPr>
          <w:trHeight w:val="23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Capitalization Date</w:t>
            </w:r>
          </w:p>
        </w:tc>
        <w:tc>
          <w:tcPr>
            <w:tcW w:w="11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4.6(a)</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Determination Time</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2.9(a)</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Certificate of Merger</w:t>
            </w:r>
          </w:p>
        </w:tc>
        <w:tc>
          <w:tcPr>
            <w:tcW w:w="14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9"/>
                <w:szCs w:val="19"/>
                <w:color w:val="auto"/>
              </w:rPr>
            </w:pP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Certifications</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4.7(a)</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w:t>
            </w:r>
          </w:p>
        </w:tc>
        <w:tc>
          <w:tcPr>
            <w:tcW w:w="14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9"/>
                <w:szCs w:val="19"/>
                <w:color w:val="auto"/>
              </w:rPr>
            </w:pP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14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9"/>
                <w:szCs w:val="19"/>
                <w:color w:val="auto"/>
              </w:rPr>
            </w:pP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 Distribution</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2.6(a)</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w:t>
            </w:r>
          </w:p>
        </w:tc>
        <w:tc>
          <w:tcPr>
            <w:tcW w:w="110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89"/>
              </w:rPr>
              <w:t>Preamble</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Disclosure Schedule</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9"/>
                <w:szCs w:val="19"/>
                <w:color w:val="auto"/>
              </w:rPr>
            </w:pP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Financials</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3.7(a)</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Material Contract</w:t>
            </w:r>
          </w:p>
        </w:tc>
        <w:tc>
          <w:tcPr>
            <w:tcW w:w="11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3.13(a)</w:t>
            </w:r>
          </w:p>
        </w:tc>
      </w:tr>
      <w:tr>
        <w:trPr>
          <w:trHeight w:val="227"/>
        </w:trPr>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Stockholder Written Consents</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6.2(a)</w:t>
            </w:r>
          </w:p>
        </w:tc>
      </w:tr>
      <w:tr>
        <w:trPr>
          <w:trHeight w:val="256"/>
        </w:trPr>
        <w:tc>
          <w:tcPr>
            <w:tcW w:w="2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19</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156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2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140" w:type="dxa"/>
            <w:vAlign w:val="bottom"/>
          </w:tcPr>
          <w:p>
            <w:pPr>
              <w:spacing w:after="0"/>
              <w:rPr>
                <w:sz w:val="10"/>
                <w:szCs w:val="10"/>
                <w:color w:val="auto"/>
              </w:rPr>
            </w:pPr>
          </w:p>
        </w:tc>
      </w:tr>
      <w:tr>
        <w:trPr>
          <w:trHeight w:val="21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Preferred Stock Conversion</w:t>
            </w:r>
          </w:p>
        </w:tc>
        <w:tc>
          <w:tcPr>
            <w:tcW w:w="11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88"/>
              </w:rPr>
              <w:t>2.5(h)</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Real Estate Leases</w:t>
            </w: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3"/>
                <w:szCs w:val="13"/>
                <w:color w:val="auto"/>
              </w:rPr>
              <w:t>3.11</w:t>
            </w:r>
          </w:p>
        </w:tc>
        <w:tc>
          <w:tcPr>
            <w:tcW w:w="140" w:type="dxa"/>
            <w:vAlign w:val="bottom"/>
          </w:tcPr>
          <w:p>
            <w:pPr>
              <w:spacing w:after="0"/>
              <w:rPr>
                <w:sz w:val="19"/>
                <w:szCs w:val="19"/>
                <w:color w:val="auto"/>
              </w:rPr>
            </w:pP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 Certificate</w:t>
            </w:r>
          </w:p>
        </w:tc>
        <w:tc>
          <w:tcPr>
            <w:tcW w:w="14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9"/>
                <w:szCs w:val="19"/>
                <w:color w:val="auto"/>
              </w:rPr>
            </w:pP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Costs</w:t>
            </w:r>
          </w:p>
        </w:tc>
        <w:tc>
          <w:tcPr>
            <w:tcW w:w="14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6.8</w:t>
            </w:r>
          </w:p>
        </w:tc>
        <w:tc>
          <w:tcPr>
            <w:tcW w:w="140" w:type="dxa"/>
            <w:vAlign w:val="bottom"/>
          </w:tcPr>
          <w:p>
            <w:pPr>
              <w:spacing w:after="0"/>
              <w:rPr>
                <w:sz w:val="19"/>
                <w:szCs w:val="19"/>
                <w:color w:val="auto"/>
              </w:rPr>
            </w:pPr>
          </w:p>
        </w:tc>
      </w:tr>
      <w:tr>
        <w:trPr>
          <w:trHeight w:val="23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w:t>
            </w:r>
          </w:p>
        </w:tc>
        <w:tc>
          <w:tcPr>
            <w:tcW w:w="116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2.6(a)</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 Agreement</w:t>
            </w:r>
          </w:p>
        </w:tc>
        <w:tc>
          <w:tcPr>
            <w:tcW w:w="11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2.6(a)</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 Fees</w:t>
            </w:r>
          </w:p>
        </w:tc>
        <w:tc>
          <w:tcPr>
            <w:tcW w:w="11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2.6(c)</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D&amp;O Indemnified Parties</w:t>
            </w:r>
          </w:p>
        </w:tc>
        <w:tc>
          <w:tcPr>
            <w:tcW w:w="11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6.8(a)</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Effective Time</w:t>
            </w:r>
          </w:p>
        </w:tc>
        <w:tc>
          <w:tcPr>
            <w:tcW w:w="14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9"/>
                <w:szCs w:val="19"/>
                <w:color w:val="auto"/>
              </w:rPr>
            </w:pP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14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9"/>
                <w:szCs w:val="19"/>
                <w:color w:val="auto"/>
              </w:rPr>
            </w:pP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FDA</w:t>
            </w:r>
          </w:p>
        </w:tc>
        <w:tc>
          <w:tcPr>
            <w:tcW w:w="11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1.1(a)</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Final Offering</w:t>
            </w:r>
          </w:p>
        </w:tc>
        <w:tc>
          <w:tcPr>
            <w:tcW w:w="11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6.7(c)</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GAAP</w:t>
            </w:r>
          </w:p>
        </w:tc>
        <w:tc>
          <w:tcPr>
            <w:tcW w:w="11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84"/>
              </w:rPr>
              <w:t>3.7(a)</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Liability</w:t>
            </w:r>
          </w:p>
        </w:tc>
        <w:tc>
          <w:tcPr>
            <w:tcW w:w="14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19"/>
                <w:szCs w:val="19"/>
                <w:color w:val="auto"/>
              </w:rPr>
            </w:pP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w:t>
            </w:r>
          </w:p>
        </w:tc>
        <w:tc>
          <w:tcPr>
            <w:tcW w:w="116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 Consideration</w:t>
            </w:r>
          </w:p>
        </w:tc>
        <w:tc>
          <w:tcPr>
            <w:tcW w:w="116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4"/>
              </w:rPr>
              <w:t>2.5(a)(ii)</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 Sub</w:t>
            </w:r>
          </w:p>
        </w:tc>
        <w:tc>
          <w:tcPr>
            <w:tcW w:w="116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89"/>
              </w:rPr>
              <w:t>Preamble</w:t>
            </w:r>
          </w:p>
        </w:tc>
      </w:tr>
      <w:tr>
        <w:trPr>
          <w:trHeight w:val="227"/>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Post-Closing Welfare Plan</w:t>
            </w:r>
          </w:p>
        </w:tc>
        <w:tc>
          <w:tcPr>
            <w:tcW w:w="116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88"/>
              </w:rPr>
              <w:t>6.6(b)</w:t>
            </w:r>
          </w:p>
        </w:tc>
      </w:tr>
      <w:tr>
        <w:trPr>
          <w:trHeight w:val="256"/>
        </w:trPr>
        <w:tc>
          <w:tcPr>
            <w:tcW w:w="2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20</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156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332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20" w:type="dxa"/>
            <w:vAlign w:val="bottom"/>
          </w:tcPr>
          <w:p>
            <w:pPr>
              <w:spacing w:after="0"/>
              <w:rPr>
                <w:sz w:val="10"/>
                <w:szCs w:val="10"/>
                <w:color w:val="auto"/>
              </w:rPr>
            </w:pPr>
          </w:p>
        </w:tc>
      </w:tr>
      <w:tr>
        <w:trPr>
          <w:trHeight w:val="217"/>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Privacy Policies</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20" w:type="dxa"/>
            <w:vAlign w:val="bottom"/>
          </w:tcPr>
          <w:p>
            <w:pPr>
              <w:spacing w:after="0"/>
              <w:rPr>
                <w:sz w:val="18"/>
                <w:szCs w:val="18"/>
                <w:color w:val="auto"/>
              </w:rPr>
            </w:pPr>
          </w:p>
        </w:tc>
      </w:tr>
      <w:tr>
        <w:trPr>
          <w:trHeight w:val="227"/>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Proxy Statement</w:t>
            </w: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6.1(a)</w:t>
            </w:r>
          </w:p>
        </w:tc>
      </w:tr>
      <w:tr>
        <w:trPr>
          <w:trHeight w:val="227"/>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Company Stockholder Vote</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9"/>
                <w:szCs w:val="19"/>
                <w:color w:val="auto"/>
              </w:rPr>
            </w:pPr>
          </w:p>
        </w:tc>
      </w:tr>
      <w:tr>
        <w:trPr>
          <w:trHeight w:val="227"/>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Aspen Stockholder Vote</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9"/>
                <w:szCs w:val="19"/>
                <w:color w:val="auto"/>
              </w:rPr>
            </w:pPr>
          </w:p>
        </w:tc>
      </w:tr>
      <w:tr>
        <w:trPr>
          <w:trHeight w:val="227"/>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Specified Aspen Stockholder Matters</w:t>
            </w: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6.3(a)</w:t>
            </w:r>
          </w:p>
        </w:tc>
      </w:tr>
      <w:tr>
        <w:trPr>
          <w:trHeight w:val="227"/>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Surviving Corporation</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9"/>
                <w:szCs w:val="19"/>
                <w:color w:val="auto"/>
              </w:rPr>
            </w:pPr>
          </w:p>
        </w:tc>
      </w:tr>
      <w:tr>
        <w:trPr>
          <w:trHeight w:val="227"/>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 Certificates</w:t>
            </w: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85"/>
              </w:rPr>
              <w:t>6.11(c)</w:t>
            </w:r>
          </w:p>
        </w:tc>
      </w:tr>
    </w:tbl>
    <w:p>
      <w:pPr>
        <w:spacing w:after="0" w:line="139" w:lineRule="exact"/>
        <w:rPr>
          <w:sz w:val="20"/>
          <w:szCs w:val="20"/>
          <w:color w:val="auto"/>
        </w:rPr>
      </w:pPr>
    </w:p>
    <w:p>
      <w:pPr>
        <w:ind w:left="640" w:right="679" w:firstLine="696"/>
        <w:spacing w:after="0" w:line="244"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Other Definitional and Interpretative Provisions</w:t>
      </w:r>
      <w:r>
        <w:rPr>
          <w:rFonts w:ascii="Times New Roman" w:cs="Times New Roman" w:eastAsia="Times New Roman" w:hAnsi="Times New Roman"/>
          <w:sz w:val="13"/>
          <w:szCs w:val="13"/>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Aspen Disclosure Schedule shall be arranged in sections and subsections corresponding to the numbered and lettered sections and subsections contained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respectively. The disclosures in any section or subsection of the Company Disclosure Schedule or the Aspen Disclosure Schedule shall qualify other sections and subsections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respectively, to the extent it is readily apparent from a reading of the disclosure that such disclosure is applicable to such other sections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27" w:right="1440" w:bottom="1440" w:gutter="0" w:footer="0" w:header="0"/>
        </w:sectPr>
      </w:pPr>
    </w:p>
    <w:bookmarkStart w:id="34" w:name="page35"/>
    <w:bookmarkEnd w:id="34"/>
    <w:p>
      <w:pPr>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subsections. The words “delivered” or “made available” mean, with respect to any documentation, (a)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w:t>
      </w:r>
    </w:p>
    <w:p>
      <w:pPr>
        <w:ind w:left="640" w:right="819" w:hanging="3"/>
        <w:spacing w:after="0" w:line="246" w:lineRule="auto"/>
        <w:tabs>
          <w:tab w:leader="none" w:pos="819"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delivered by or on behalf of a Party or its Representatives to the other Party or its Representatives via electronic mail or in hard copy form prior to the execution of this Agreement.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Description of Transaction</w:t>
      </w:r>
    </w:p>
    <w:p>
      <w:pPr>
        <w:spacing w:after="0" w:line="154"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The Merger</w:t>
      </w:r>
      <w:r>
        <w:rPr>
          <w:rFonts w:ascii="Times New Roman" w:cs="Times New Roman" w:eastAsia="Times New Roman" w:hAnsi="Times New Roman"/>
          <w:sz w:val="13"/>
          <w:szCs w:val="13"/>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3"/>
          <w:szCs w:val="13"/>
          <w:b w:val="1"/>
          <w:bCs w:val="1"/>
          <w:color w:val="auto"/>
        </w:rPr>
        <w:t>Surviving Corporation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Effects of the Merger</w:t>
      </w:r>
      <w:r>
        <w:rPr>
          <w:rFonts w:ascii="Times New Roman" w:cs="Times New Roman" w:eastAsia="Times New Roman" w:hAnsi="Times New Roman"/>
          <w:sz w:val="13"/>
          <w:szCs w:val="13"/>
          <w:color w:val="auto"/>
        </w:rPr>
        <w:t>. The Merger shall have the effects set forth in this Agreement and in the applicable provisions of the DGCL. As a result of the Merger, the Company will become a wholly owned subsidiary of Aspen.</w:t>
      </w:r>
    </w:p>
    <w:p>
      <w:pPr>
        <w:spacing w:after="0" w:line="122"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Closing; Effective Time</w:t>
      </w:r>
      <w:r>
        <w:rPr>
          <w:rFonts w:ascii="Times New Roman" w:cs="Times New Roman" w:eastAsia="Times New Roman" w:hAnsi="Times New Roman"/>
          <w:sz w:val="13"/>
          <w:szCs w:val="13"/>
          <w:color w:val="auto"/>
        </w:rPr>
        <w:t xml:space="preserve">. Unless this Agreement is earlier terminated pursuant to the provisions of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and subject to the satisfaction or waiver of the conditions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the consummation of the Merger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other than those conditions that by their nature are to be satisfied at the Closing, but subject to the satisfaction or waiver of each of such conditions), or at such other time, date and place as Aspen and the Company may mutually agree in writing. The date on which the Closing actually takes place is referred to as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At the Closing, the Parties shall cause the Merger to be consummated by executing and filing with the Secretary of State of the State of Delaware a certificate of merger with respect to the Merger, satisfying the applicable requirements of the DGCL and in form and substance as agreed to by the Parties (the “</w:t>
      </w:r>
      <w:r>
        <w:rPr>
          <w:rFonts w:ascii="Times New Roman" w:cs="Times New Roman" w:eastAsia="Times New Roman" w:hAnsi="Times New Roman"/>
          <w:sz w:val="13"/>
          <w:szCs w:val="13"/>
          <w:b w:val="1"/>
          <w:bCs w:val="1"/>
          <w:color w:val="auto"/>
        </w:rPr>
        <w:t>Certificate of Merger</w:t>
      </w:r>
      <w:r>
        <w:rPr>
          <w:rFonts w:ascii="Times New Roman" w:cs="Times New Roman" w:eastAsia="Times New Roman" w:hAnsi="Times New Roman"/>
          <w:sz w:val="13"/>
          <w:szCs w:val="13"/>
          <w:color w:val="auto"/>
        </w:rPr>
        <w:t>”). The Merger shall become effective at the time of the filing of such Certificate of Merger with the Secretary of State of the State of Delaware or at such later time as may be specified in such Certificate of Merger with the consent of Aspen and the Company (the time as of which the Merger becomes effective being referred to as the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u w:val="single" w:color="auto"/>
          <w:color w:val="auto"/>
        </w:rPr>
        <w:t>Organizational Documents; Directors and Officers</w:t>
      </w:r>
      <w:r>
        <w:rPr>
          <w:rFonts w:ascii="Times New Roman" w:cs="Times New Roman" w:eastAsia="Times New Roman" w:hAnsi="Times New Roman"/>
          <w:sz w:val="13"/>
          <w:szCs w:val="13"/>
          <w:color w:val="auto"/>
        </w:rPr>
        <w:t>. At the Effective Time:</w:t>
      </w:r>
    </w:p>
    <w:p>
      <w:pPr>
        <w:spacing w:after="0" w:line="154" w:lineRule="exact"/>
        <w:rPr>
          <w:sz w:val="20"/>
          <w:szCs w:val="20"/>
          <w:color w:val="auto"/>
        </w:rPr>
      </w:pPr>
    </w:p>
    <w:p>
      <w:pPr>
        <w:ind w:left="640" w:right="779" w:firstLine="1003"/>
        <w:spacing w:after="0" w:line="267" w:lineRule="auto"/>
        <w:tabs>
          <w:tab w:leader="none" w:pos="181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 of incorporation of the Surviving Corporation shall be amended and restated in the Merger to read as set forth on Exhibit A to the Certificate of Merger, until thereafter amended as provided by the DGCL and such certificate of incorporation;</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824"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Aspen shall be identical to the certificate of incorporation of Aspen immediately prior to the Effective Time, until thereafter amended as provided by the DGCL and such certificate of incorporation;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at the Effective Time, Aspen shall file an amendment to its certificate of incorporation to (i) change the name of Aspen to “Tectonic Therapeutic, Inc.”, (ii) effect the Nasdaq Reverse Split, and (iii) make such other changes as are mutually agreeable to Aspen and the Company;</w:t>
      </w:r>
    </w:p>
    <w:p>
      <w:pPr>
        <w:spacing w:after="0" w:line="132" w:lineRule="exact"/>
        <w:rPr>
          <w:rFonts w:ascii="Times New Roman" w:cs="Times New Roman" w:eastAsia="Times New Roman" w:hAnsi="Times New Roman"/>
          <w:sz w:val="13"/>
          <w:szCs w:val="13"/>
          <w:color w:val="auto"/>
        </w:rPr>
      </w:pPr>
    </w:p>
    <w:p>
      <w:pPr>
        <w:ind w:left="640" w:right="959" w:firstLine="1003"/>
        <w:spacing w:after="0" w:line="267" w:lineRule="auto"/>
        <w:tabs>
          <w:tab w:leader="none" w:pos="181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bylaws of the Surviving Corporation shall be identical to the bylaws of Merger Sub as in effect immediately prior to the Effective Time, until thereafter amended as provided by the DGCL and such bylaws;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5" w:name="page36"/>
    <w:bookmarkEnd w:id="35"/>
    <w:p>
      <w:pPr>
        <w:ind w:left="640" w:right="759" w:firstLine="1003"/>
        <w:spacing w:after="0" w:line="267" w:lineRule="auto"/>
        <w:tabs>
          <w:tab w:leader="none" w:pos="182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directors and officers of Aspen, each to hold office in accordance with the certificate of incorporation and bylaws of Aspen, shall be as set forth in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 and</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1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and officers of the Surviving Corporation, each to hold office in accordance with the certificate of incorporation and bylaws of Merger Sub, shall be as set forth in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 xml:space="preserve"> after giving effect to the provisions of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 or such other persons as shall be mutually agreed upon by Aspen and the Company.</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Conversion of Company Equity Securities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309" w:lineRule="auto"/>
        <w:tabs>
          <w:tab w:leader="none" w:pos="181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Effective Time (after giving effect to the Company SAFEs Conversion and the Company Preferred Stock Conversion), by virtue of the Merger and without any further action on the part of Aspen, Merger Sub, the Company or any stockholder of the Company or Aspen:</w:t>
      </w:r>
    </w:p>
    <w:p>
      <w:pPr>
        <w:spacing w:after="0" w:line="23" w:lineRule="exact"/>
        <w:rPr>
          <w:rFonts w:ascii="Times New Roman" w:cs="Times New Roman" w:eastAsia="Times New Roman" w:hAnsi="Times New Roman"/>
          <w:sz w:val="12"/>
          <w:szCs w:val="12"/>
          <w:color w:val="auto"/>
        </w:rPr>
      </w:pPr>
    </w:p>
    <w:p>
      <w:pPr>
        <w:ind w:left="940" w:right="779" w:firstLine="972"/>
        <w:spacing w:after="0" w:line="267" w:lineRule="auto"/>
        <w:tabs>
          <w:tab w:leader="none" w:pos="2056" w:val="left"/>
        </w:tabs>
        <w:numPr>
          <w:ilvl w:val="2"/>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Company Capital Stock held as treasury stock immediately prior to the Effective Time shall be canceled and retired and shall cease to exist, and no consideration shall be delivered in exchange therefor; and</w:t>
      </w:r>
    </w:p>
    <w:p>
      <w:pPr>
        <w:spacing w:after="0" w:line="46" w:lineRule="exact"/>
        <w:rPr>
          <w:rFonts w:ascii="Times New Roman" w:cs="Times New Roman" w:eastAsia="Times New Roman" w:hAnsi="Times New Roman"/>
          <w:sz w:val="13"/>
          <w:szCs w:val="13"/>
          <w:color w:val="auto"/>
        </w:rPr>
      </w:pPr>
    </w:p>
    <w:p>
      <w:pPr>
        <w:ind w:left="940" w:right="1059" w:firstLine="972"/>
        <w:spacing w:after="0" w:line="274" w:lineRule="auto"/>
        <w:tabs>
          <w:tab w:leader="none" w:pos="2091" w:val="left"/>
        </w:tabs>
        <w:numPr>
          <w:ilvl w:val="2"/>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2.5(c)</w:t>
      </w:r>
      <w:r>
        <w:rPr>
          <w:rFonts w:ascii="Times New Roman" w:cs="Times New Roman" w:eastAsia="Times New Roman" w:hAnsi="Times New Roman"/>
          <w:sz w:val="12"/>
          <w:szCs w:val="12"/>
          <w:color w:val="auto"/>
        </w:rPr>
        <w:t xml:space="preserve">, each share of Company Capital Stock outstanding immediately prior to the Effective Time (excluding (a) shares to be canceled pursuant to </w:t>
      </w:r>
      <w:r>
        <w:rPr>
          <w:rFonts w:ascii="Times New Roman" w:cs="Times New Roman" w:eastAsia="Times New Roman" w:hAnsi="Times New Roman"/>
          <w:sz w:val="12"/>
          <w:szCs w:val="12"/>
          <w:u w:val="single" w:color="auto"/>
          <w:color w:val="auto"/>
        </w:rPr>
        <w:t>Section 2.5(a)(i)</w:t>
      </w:r>
      <w:r>
        <w:rPr>
          <w:rFonts w:ascii="Times New Roman" w:cs="Times New Roman" w:eastAsia="Times New Roman" w:hAnsi="Times New Roman"/>
          <w:sz w:val="12"/>
          <w:szCs w:val="12"/>
          <w:color w:val="auto"/>
        </w:rPr>
        <w:t>, and (b) Dissenting Shares, but, for the avoidance of doubt, including</w:t>
      </w:r>
    </w:p>
    <w:p>
      <w:pPr>
        <w:spacing w:after="0" w:line="1" w:lineRule="exact"/>
        <w:rPr>
          <w:rFonts w:ascii="Times New Roman" w:cs="Times New Roman" w:eastAsia="Times New Roman" w:hAnsi="Times New Roman"/>
          <w:sz w:val="12"/>
          <w:szCs w:val="12"/>
          <w:color w:val="auto"/>
        </w:rPr>
      </w:pPr>
    </w:p>
    <w:p>
      <w:pPr>
        <w:ind w:left="940" w:right="1039" w:firstLine="7"/>
        <w:spacing w:after="0" w:line="245" w:lineRule="auto"/>
        <w:tabs>
          <w:tab w:leader="none" w:pos="1147"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Concurrent Investment Company Shares and (B) shares of Company Common Stock issued in respect of the Company Preferred Stock Conversion) shall be converted solely into the right to receive a number of shares of Aspen Common Stock equal to the product of (x) the Exchange Ratio </w:t>
      </w:r>
      <w:r>
        <w:rPr>
          <w:rFonts w:ascii="Times New Roman" w:cs="Times New Roman" w:eastAsia="Times New Roman" w:hAnsi="Times New Roman"/>
          <w:sz w:val="13"/>
          <w:szCs w:val="13"/>
          <w:i w:val="1"/>
          <w:iCs w:val="1"/>
          <w:u w:val="single" w:color="auto"/>
          <w:color w:val="auto"/>
        </w:rPr>
        <w:t>multiplied by</w:t>
      </w:r>
      <w:r>
        <w:rPr>
          <w:rFonts w:ascii="Times New Roman" w:cs="Times New Roman" w:eastAsia="Times New Roman" w:hAnsi="Times New Roman"/>
          <w:sz w:val="13"/>
          <w:szCs w:val="13"/>
          <w:color w:val="auto"/>
        </w:rPr>
        <w:t xml:space="preserve"> (y) such share of Company Capital Stock (the “</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24"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are any shares of Company Restricted Stock outstanding immediately prior to the Effective Time, then the shares of Aspen Common Stock issued in exchange for such shares of Company Restricted Stock will to the same extent be unvested and subject to the same repurchase option or risk of forfeiture, and such shares of Aspen Common Stock shall accordingly be marked with appropriate legends. The Company shall take all actions that may be necessary to ensure that, from and after the Effective Time, Aspen is entitled to exercise any such repurchase option or other right set forth in any such restricted stock purchase agreement or other agreement.</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17"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Aspen Common Stock shall be issued in connection with the Merger, and no certificates or scrip for any such fractional shares shall be issued. Any holder of Company Capital Stock (including Concurrent Investors) who would otherwise be entitled to receive a fraction of a share of Aspen Common Stock (after aggregating all fractional shares of Aspen Common Stock issuable to such holder) shall receive from Aspen, in lieu of such fractional share and upon surrender by such holder of a letter of transmittal in accordance with Section 2.8 and any accompanying documents as required therein: (i) one share of Aspen Common Stock if the aggregate amount of fractional shares of Aspen Common Stock such holder of Company Capital Stock would otherwise be entitled to is equal to or exceeds 0.50; or (ii) no shares of Aspen Common Stock if the aggregate amount of fractional shares of Aspen Common Stock such holder of Company Capital Stock would otherwise be entitled to is less than 0.50, with no cash being paid for any fractional share eliminated by such rounding.</w:t>
      </w:r>
    </w:p>
    <w:p>
      <w:pPr>
        <w:spacing w:after="0" w:line="138" w:lineRule="exact"/>
        <w:rPr>
          <w:rFonts w:ascii="Times New Roman" w:cs="Times New Roman" w:eastAsia="Times New Roman" w:hAnsi="Times New Roman"/>
          <w:sz w:val="13"/>
          <w:szCs w:val="13"/>
          <w:color w:val="auto"/>
        </w:rPr>
      </w:pPr>
    </w:p>
    <w:p>
      <w:pPr>
        <w:ind w:left="4440" w:right="859" w:hanging="2797"/>
        <w:spacing w:after="0" w:line="434" w:lineRule="auto"/>
        <w:tabs>
          <w:tab w:leader="none" w:pos="1821"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Company Options outstanding immediately prior to the Effective Time shall be treated in accordance with </w:t>
      </w:r>
      <w:r>
        <w:rPr>
          <w:rFonts w:ascii="Times New Roman" w:cs="Times New Roman" w:eastAsia="Times New Roman" w:hAnsi="Times New Roman"/>
          <w:sz w:val="13"/>
          <w:szCs w:val="13"/>
          <w:u w:val="single" w:color="auto"/>
          <w:color w:val="auto"/>
        </w:rPr>
        <w:t>Section 6.5(a)</w:t>
      </w:r>
      <w:r>
        <w:rPr>
          <w:rFonts w:ascii="Times New Roman" w:cs="Times New Roman" w:eastAsia="Times New Roman" w:hAnsi="Times New Roman"/>
          <w:sz w:val="13"/>
          <w:szCs w:val="13"/>
          <w:color w:val="auto"/>
        </w:rPr>
        <w:t>. 23</w:t>
      </w:r>
    </w:p>
    <w:p>
      <w:pPr>
        <w:sectPr>
          <w:pgSz w:w="11900" w:h="16838" w:orient="portrait"/>
          <w:cols w:equalWidth="0" w:num="1">
            <w:col w:w="9019"/>
          </w:cols>
          <w:pgMar w:left="1440" w:top="231" w:right="1440" w:bottom="1440" w:gutter="0" w:footer="0" w:header="0"/>
        </w:sectPr>
      </w:pPr>
    </w:p>
    <w:bookmarkStart w:id="36" w:name="page37"/>
    <w:bookmarkEnd w:id="36"/>
    <w:p>
      <w:pPr>
        <w:ind w:left="640" w:right="659" w:firstLine="1003"/>
        <w:spacing w:after="0" w:line="251" w:lineRule="auto"/>
        <w:tabs>
          <w:tab w:leader="none" w:pos="1817"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share of common stock, $0.0001 par value per share, of Merger Sub issued and outstanding immediately prior to the Effective Time shall be converted into and exchanged for one validly issued, fully paid and nonassessable share of common stock, $0.0001 par value per share, of the Surviving Corporation. Each book entry share of Merger Sub evidencing ownership of any such shares shall, as of the Effective Time, evidence ownership of such shares of common stock of the Surviving Corporation.</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0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between the date of this Agreement and the Effective Time, the outstanding Company Capital Stock or Aspen Common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and Aspen Common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nothing herein will be construed to permit the Company or Aspen to take any action with respect to Company Capital Stock or Aspen Common Stock, respectively, that is prohibited or not expressly permitted by the terms of this Agreement.</w:t>
      </w:r>
    </w:p>
    <w:p>
      <w:pPr>
        <w:spacing w:after="0" w:line="137" w:lineRule="exact"/>
        <w:rPr>
          <w:rFonts w:ascii="Times New Roman" w:cs="Times New Roman" w:eastAsia="Times New Roman" w:hAnsi="Times New Roman"/>
          <w:sz w:val="13"/>
          <w:szCs w:val="13"/>
          <w:color w:val="auto"/>
        </w:rPr>
      </w:pPr>
    </w:p>
    <w:p>
      <w:pPr>
        <w:ind w:left="640" w:right="659" w:firstLine="1003"/>
        <w:spacing w:after="0" w:line="270" w:lineRule="auto"/>
        <w:tabs>
          <w:tab w:leader="none" w:pos="1824"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Company SAFEs shall be converted, at the same price per share at which the Concurrent Investment Company Shares are sold pursuant to the Subscription Agreement (which shall be the Public Offering/Conversion Price as defined in the Company SAFEs), into Company Common Stock as of immediately following the Company Preferred Stock Conversion and immediately prior to the Subscription Agreement Concurrent Investment and at the Specified Time in accordance with, and otherwise pursuant to the terms and conditions of, the Company SAFEs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SAFEs Conversion</w:t>
      </w:r>
      <w:r>
        <w:rPr>
          <w:rFonts w:ascii="Times New Roman" w:cs="Times New Roman" w:eastAsia="Times New Roman" w:hAnsi="Times New Roman"/>
          <w:sz w:val="12"/>
          <w:szCs w:val="12"/>
          <w:color w:val="auto"/>
        </w:rPr>
        <w:t>”). All of the Company SAFEs so converted into shares of Company Common Stock shall no longer be outstanding and shall cease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to exist, and each holder of Company SAFEs shall thereafter cease to have any rights with respect to Company SAFEs. Following the Company SAFEs Conversion, at the Effective Time and by virtue of the Merger, all shares of Company Common Stock issued in the Company SAFEs Conversion shall be canceled and converted into the right to receive Aspen Common Stock pursuant to this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640" w:right="919" w:firstLine="1003"/>
        <w:spacing w:after="0" w:line="246" w:lineRule="auto"/>
        <w:tabs>
          <w:tab w:leader="none" w:pos="1824"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Company Preferred Stock shall be converted into Company Common Stock as of immediately prior to Company SAFEs Conversion (which Company SAFEs Conversion shall occur immediately prior to the Subscription Agreement Concurrent Investment) and at the Specified Time in accordance with, and pursuant to the terms and conditions of, the Organizational Documents of the Company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Preferred Stock Conversion</w:t>
      </w:r>
      <w:r>
        <w:rPr>
          <w:rFonts w:ascii="Times New Roman" w:cs="Times New Roman" w:eastAsia="Times New Roman" w:hAnsi="Times New Roman"/>
          <w:sz w:val="13"/>
          <w:szCs w:val="13"/>
          <w:color w:val="auto"/>
        </w:rPr>
        <w:t>”). All of the Company Preferred Stock so converted into shares of Company Common Stock shall no longer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outstanding and shall cease to exist, and each holder of Company Preferred Stock shall thereafter cease to have any rights with respect to Company Preferred Stock. Following the Company Preferred Stock Conversion, at the Effective Time and by virtue of the Merger, all shares of Company Common Stock issued in the Company Preferred Stock Conversion shall be canceled and converted into the right to receive Aspen Common Stock pursuant to this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7" w:name="page38"/>
    <w:bookmarkEnd w:id="3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2.6 </w:t>
      </w:r>
      <w:r>
        <w:rPr>
          <w:rFonts w:ascii="Times New Roman" w:cs="Times New Roman" w:eastAsia="Times New Roman" w:hAnsi="Times New Roman"/>
          <w:sz w:val="13"/>
          <w:szCs w:val="13"/>
          <w:u w:val="single" w:color="auto"/>
          <w:color w:val="auto"/>
        </w:rPr>
        <w:t>Contingent Value Right</w:t>
      </w:r>
    </w:p>
    <w:p>
      <w:pPr>
        <w:spacing w:after="0" w:line="152" w:lineRule="exact"/>
        <w:rPr>
          <w:sz w:val="20"/>
          <w:szCs w:val="20"/>
          <w:color w:val="auto"/>
        </w:rPr>
      </w:pPr>
    </w:p>
    <w:p>
      <w:pPr>
        <w:ind w:left="640" w:right="679" w:firstLine="1003"/>
        <w:spacing w:after="0" w:line="246" w:lineRule="auto"/>
        <w:tabs>
          <w:tab w:leader="none" w:pos="1817"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Effective Time, Aspen shall declare a distribution (the “</w:t>
      </w:r>
      <w:r>
        <w:rPr>
          <w:rFonts w:ascii="Times New Roman" w:cs="Times New Roman" w:eastAsia="Times New Roman" w:hAnsi="Times New Roman"/>
          <w:sz w:val="13"/>
          <w:szCs w:val="13"/>
          <w:b w:val="1"/>
          <w:bCs w:val="1"/>
          <w:color w:val="auto"/>
        </w:rPr>
        <w:t>Closing Distribution</w:t>
      </w:r>
      <w:r>
        <w:rPr>
          <w:rFonts w:ascii="Times New Roman" w:cs="Times New Roman" w:eastAsia="Times New Roman" w:hAnsi="Times New Roman"/>
          <w:sz w:val="13"/>
          <w:szCs w:val="13"/>
          <w:color w:val="auto"/>
        </w:rPr>
        <w:t xml:space="preserve">”) to holders of Aspen Common Stock of record as of immediately prior to the Effective Time (including, for the avoidance of doubt, those shares of Aspen Common Stock issued upon settlement of Aspen Restricted Stock Units pursuant to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of the right to receive one contingent value right (each, a “</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xml:space="preserve">”) for each outstanding share of Aspen Common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CVR Agreement</w:t>
      </w:r>
      <w:r>
        <w:rPr>
          <w:rFonts w:ascii="Times New Roman" w:cs="Times New Roman" w:eastAsia="Times New Roman" w:hAnsi="Times New Roman"/>
          <w:sz w:val="13"/>
          <w:szCs w:val="13"/>
          <w:color w:val="auto"/>
        </w:rPr>
        <w:t>”), with such reasonable revisions thereto requested by the Rights Agent that are not individually or in the aggregate materially detrimental to the holders of CVRs and are reasonably acceptable to Aspen and the Company. The record date for the Closing Distribution shall be the close of business on the Business Day immediately prior to the day on which the Effective Time occurs and the payment date for which shall be three (3) Business Days after the Effective Time; provided that the payment of such distribution may be conditioned upon the occurrence of the Effective Time.</w:t>
      </w:r>
    </w:p>
    <w:p>
      <w:pPr>
        <w:spacing w:after="0" w:line="137"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and the Exchange Agent shall, at or prior to the Effective Time, duly authorize, execute and deliver the CVR Agreement, subject to any reasonable revisions to the CVR Agreement that are requested by such Exchange Agent and are reasonably acceptable to the Company and Aspen.</w:t>
      </w:r>
    </w:p>
    <w:p>
      <w:pPr>
        <w:spacing w:after="0" w:line="128"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Aspen shall pay all costs and fees associated with any action contemplated by this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CVR Fees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2.7 </w:t>
      </w:r>
      <w:r>
        <w:rPr>
          <w:rFonts w:ascii="Times New Roman" w:cs="Times New Roman" w:eastAsia="Times New Roman" w:hAnsi="Times New Roman"/>
          <w:sz w:val="13"/>
          <w:szCs w:val="13"/>
          <w:u w:val="single" w:color="auto"/>
          <w:color w:val="auto"/>
        </w:rPr>
        <w:t>Closing of the Company’s Transfer Books</w:t>
      </w:r>
      <w:r>
        <w:rPr>
          <w:rFonts w:ascii="Times New Roman" w:cs="Times New Roman" w:eastAsia="Times New Roman" w:hAnsi="Times New Roman"/>
          <w:sz w:val="13"/>
          <w:szCs w:val="13"/>
          <w:color w:val="auto"/>
        </w:rPr>
        <w:t xml:space="preserve">. At the Effective Time: (a) all Company Capital Stock outstanding immediately prior to the Effective Time shall be treated in accordance with </w:t>
      </w:r>
      <w:r>
        <w:rPr>
          <w:rFonts w:ascii="Times New Roman" w:cs="Times New Roman" w:eastAsia="Times New Roman" w:hAnsi="Times New Roman"/>
          <w:sz w:val="13"/>
          <w:szCs w:val="13"/>
          <w:u w:val="single" w:color="auto"/>
          <w:color w:val="auto"/>
        </w:rPr>
        <w:t>Section 2.5(a)</w:t>
      </w:r>
      <w:r>
        <w:rPr>
          <w:rFonts w:ascii="Times New Roman" w:cs="Times New Roman" w:eastAsia="Times New Roman" w:hAnsi="Times New Roman"/>
          <w:sz w:val="13"/>
          <w:szCs w:val="13"/>
          <w:color w:val="auto"/>
        </w:rPr>
        <w:t xml:space="preserve">, and all holders of certificates representing Company Capital Stock that were outstanding immediately prior to the Effective Time shall cease to have any rights as stockholders of the Company, other than the right to receive the Merger Consideration pursuant to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and (b) the stock transfer books of the Company shall be closed with respect to all Company Capital Stock outstanding immediately prior to the Effective Time. No further transfer of any such Company Capital Stock shall be made on such stock transfer books after the Effective Time.</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u w:val="single" w:color="auto"/>
          <w:color w:val="auto"/>
        </w:rPr>
        <w:t>Surrender of Company Capital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86" w:lineRule="auto"/>
        <w:tabs>
          <w:tab w:leader="none" w:pos="181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Closing Date, Aspen and the Company shall jointly select a reputable bank, transfer agent or trust company to act as exchange agent in the Merger (the “</w:t>
      </w:r>
      <w:r>
        <w:rPr>
          <w:rFonts w:ascii="Times New Roman" w:cs="Times New Roman" w:eastAsia="Times New Roman" w:hAnsi="Times New Roman"/>
          <w:sz w:val="12"/>
          <w:szCs w:val="12"/>
          <w:b w:val="1"/>
          <w:bCs w:val="1"/>
          <w:color w:val="auto"/>
        </w:rPr>
        <w:t>Exchange Agent</w:t>
      </w:r>
      <w:r>
        <w:rPr>
          <w:rFonts w:ascii="Times New Roman" w:cs="Times New Roman" w:eastAsia="Times New Roman" w:hAnsi="Times New Roman"/>
          <w:sz w:val="12"/>
          <w:szCs w:val="12"/>
          <w:color w:val="auto"/>
        </w:rPr>
        <w:t xml:space="preserve">”). At the Effective Time, Aspen shall deposit with the Exchange Agent evidence of book-entry shares representing the shares of Aspen Common Stock issuable pursuant to </w:t>
      </w: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xml:space="preserve"> in exchange for Company Capital Stock.</w:t>
      </w:r>
    </w:p>
    <w:p>
      <w:pPr>
        <w:spacing w:after="0" w:line="113" w:lineRule="exact"/>
        <w:rPr>
          <w:rFonts w:ascii="Times New Roman" w:cs="Times New Roman" w:eastAsia="Times New Roman" w:hAnsi="Times New Roman"/>
          <w:sz w:val="12"/>
          <w:szCs w:val="12"/>
          <w:color w:val="auto"/>
        </w:rPr>
      </w:pPr>
    </w:p>
    <w:p>
      <w:pPr>
        <w:ind w:left="640" w:right="659" w:firstLine="1003"/>
        <w:spacing w:after="0" w:line="267" w:lineRule="auto"/>
        <w:tabs>
          <w:tab w:leader="none" w:pos="1824"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Promptly after the Effective Time, the Parties shall cause the Exchange Agent to transmit to the Persons who were record holders of shares of Company Capital Stock that were converted into the right to receive the Merger Consideration: (i) a letter of transmittal in customary form and containing such provisions as Aspen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or uncertificated shares of Company Capital Stock, in exchange for book-entry shares of Aspen Common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Aspen: (A) the holder of such Company Stock Certificate or uncertificated shares of Company Capital Stock shall be entitled to receive in exchange therefor book-entry shares representing the Merger Consideration (in a number of whole shares of Aspen Common Stock) that such holder has the right to receive pursuant to the provisions of </w:t>
      </w: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xml:space="preserve"> and (B) the Company Stock Certificate or uncertificated shares of Company Capital Stock so surrendered shall be canceled. Until surrendered as contemplated by this </w:t>
      </w:r>
      <w:r>
        <w:rPr>
          <w:rFonts w:ascii="Times New Roman" w:cs="Times New Roman" w:eastAsia="Times New Roman" w:hAnsi="Times New Roman"/>
          <w:sz w:val="12"/>
          <w:szCs w:val="12"/>
          <w:u w:val="single" w:color="auto"/>
          <w:color w:val="auto"/>
        </w:rPr>
        <w:t>Section 2.8(b)</w:t>
      </w:r>
      <w:r>
        <w:rPr>
          <w:rFonts w:ascii="Times New Roman" w:cs="Times New Roman" w:eastAsia="Times New Roman" w:hAnsi="Times New Roman"/>
          <w:sz w:val="12"/>
          <w:szCs w:val="12"/>
          <w:color w:val="auto"/>
        </w:rPr>
        <w:t>, each Company Stock Certificate or uncertificated shares of Company Capital Stock shall be deemed, from and after the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38" w:name="page39"/>
    <w:bookmarkEnd w:id="38"/>
    <w:p>
      <w:pPr>
        <w:ind w:left="640" w:right="7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Effective Time, to represent only the right to receive book-entry shares of Aspen Common Stock representing the Merger Consideration. If any Company Stock Certificate shall have been lost, stolen or destroyed, Aspen may, in its discretion and as a condition precedent to the delivery of any shares of Aspen Common Stock, require the owner of such lost, stolen or destroyed Company Stock Certificate to provide an applicable affidavit with respect to such Company Stock Certificate and post a bond indemnifying Aspen against any claim suffered by Aspen related to the lost, stolen or destroyed Company Stock Certificate or any Aspen Common Stock issued in exchange therefor as Aspen may reasonably request.</w:t>
      </w:r>
    </w:p>
    <w:p>
      <w:pPr>
        <w:spacing w:after="0" w:line="134" w:lineRule="exact"/>
        <w:rPr>
          <w:sz w:val="20"/>
          <w:szCs w:val="20"/>
          <w:color w:val="auto"/>
        </w:rPr>
      </w:pPr>
    </w:p>
    <w:p>
      <w:pPr>
        <w:ind w:left="640" w:right="679" w:firstLine="1003"/>
        <w:spacing w:after="0" w:line="275" w:lineRule="auto"/>
        <w:tabs>
          <w:tab w:leader="none" w:pos="181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 dividends or other distributions declared or made with respect to Aspen Common Stock with a record date after the Effective Time shall be paid to the holder of any unsurrendered Company Stock Certificate with respect to the shares of Aspen Common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 xml:space="preserve"> (at which time such holder shall be entitled, subject to the effect of applicable abandoned property, escheat or similar Laws, to receive all such dividends and distributions, without interest).</w:t>
      </w:r>
    </w:p>
    <w:p>
      <w:pPr>
        <w:spacing w:after="0" w:line="119" w:lineRule="exact"/>
        <w:rPr>
          <w:rFonts w:ascii="Times New Roman" w:cs="Times New Roman" w:eastAsia="Times New Roman" w:hAnsi="Times New Roman"/>
          <w:sz w:val="12"/>
          <w:szCs w:val="12"/>
          <w:color w:val="auto"/>
        </w:rPr>
      </w:pPr>
    </w:p>
    <w:p>
      <w:pPr>
        <w:ind w:left="640" w:right="679" w:firstLine="1003"/>
        <w:spacing w:after="0" w:line="249" w:lineRule="auto"/>
        <w:tabs>
          <w:tab w:leader="none" w:pos="1824"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shares of Aspen Common Stock deposited with the Exchange Agent that remain undistributed to holders of Company Stock Certificates as of the date that is one hundred eighty (180) days after the Closing Date shall be delivered to Aspen upon demand, and any holders of Company Stock Certificates who have not theretofore surrendered their Company Stock Certificates or uncertificated shares of Company Capital Stock in accordance with this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shall thereafter look only to Aspen for satisfaction of their claims for Aspen Common Stock and any dividends or distributions with respect to shares of Aspen Common Stock.</w:t>
      </w:r>
    </w:p>
    <w:p>
      <w:pPr>
        <w:spacing w:after="0" w:line="134"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17"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Party shall be liable to any holder of any Company Stock Certificate or uncertificated shares of Company Capital Stock or to any other Person with respect to any shares of Aspen Common Stock (or dividends or distributions with respect thereto) or for any cash amounts delivered to any public official pursuant to any applicable abandoned property Law, escheat Law or similar Law.</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2.9 </w:t>
      </w:r>
      <w:r>
        <w:rPr>
          <w:rFonts w:ascii="Times New Roman" w:cs="Times New Roman" w:eastAsia="Times New Roman" w:hAnsi="Times New Roman"/>
          <w:sz w:val="13"/>
          <w:szCs w:val="13"/>
          <w:u w:val="single" w:color="auto"/>
          <w:color w:val="auto"/>
        </w:rPr>
        <w:t>Calculation of Net Cash and Company Equity Value</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739" w:firstLine="1003"/>
        <w:spacing w:after="0" w:line="247" w:lineRule="auto"/>
        <w:tabs>
          <w:tab w:leader="none" w:pos="181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five (5) Business Days before the Closing Date, Aspen will deliver to the Company a schedule (the “</w:t>
      </w:r>
      <w:r>
        <w:rPr>
          <w:rFonts w:ascii="Times New Roman" w:cs="Times New Roman" w:eastAsia="Times New Roman" w:hAnsi="Times New Roman"/>
          <w:sz w:val="13"/>
          <w:szCs w:val="13"/>
          <w:b w:val="1"/>
          <w:bCs w:val="1"/>
          <w:color w:val="auto"/>
        </w:rPr>
        <w:t>Aspen Net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Cash Schedule</w:t>
      </w:r>
      <w:r>
        <w:rPr>
          <w:rFonts w:ascii="Times New Roman" w:cs="Times New Roman" w:eastAsia="Times New Roman" w:hAnsi="Times New Roman"/>
          <w:sz w:val="13"/>
          <w:szCs w:val="13"/>
          <w:color w:val="auto"/>
        </w:rPr>
        <w:t>”) setting forth, in reasonable detail, Aspen’s good faith, estimated calculation of Aspen Net Cash (the “</w:t>
      </w:r>
      <w:r>
        <w:rPr>
          <w:rFonts w:ascii="Times New Roman" w:cs="Times New Roman" w:eastAsia="Times New Roman" w:hAnsi="Times New Roman"/>
          <w:sz w:val="13"/>
          <w:szCs w:val="13"/>
          <w:b w:val="1"/>
          <w:bCs w:val="1"/>
          <w:color w:val="auto"/>
        </w:rPr>
        <w:t>Aspen Net Cash Calculation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of 11:59 p.m. on the last Business Day prior to the Anticipated Closing Date (the “</w:t>
      </w:r>
      <w:r>
        <w:rPr>
          <w:rFonts w:ascii="Times New Roman" w:cs="Times New Roman" w:eastAsia="Times New Roman" w:hAnsi="Times New Roman"/>
          <w:sz w:val="13"/>
          <w:szCs w:val="13"/>
          <w:b w:val="1"/>
          <w:bCs w:val="1"/>
          <w:color w:val="auto"/>
        </w:rPr>
        <w:t>Cash Determination Time</w:t>
      </w:r>
      <w:r>
        <w:rPr>
          <w:rFonts w:ascii="Times New Roman" w:cs="Times New Roman" w:eastAsia="Times New Roman" w:hAnsi="Times New Roman"/>
          <w:sz w:val="13"/>
          <w:szCs w:val="13"/>
          <w:color w:val="auto"/>
        </w:rPr>
        <w:t xml:space="preserve">”) prepared and certified by Aspen’s chief financial officer (or if there is no chief financial officer at such time, the principal financial and accounting officer for Aspen). Aspen shall make available to the Company (electronically to the greatest extent possible), as reasonably requested by the Company, the work papers and back-up materials used in preparing the Aspen Net Cash Schedule and, if reasonably requested by the Company, Aspen’s accountants at reasonable times and upon reasonable notice. The Aspen Net Cash Calculation shall include Aspen’s determination, as of the Cash Determination Time, of the defined terms in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necessary to calculate the Exchange Ratio.</w:t>
      </w:r>
    </w:p>
    <w:p>
      <w:pPr>
        <w:spacing w:after="0" w:line="133" w:lineRule="exact"/>
        <w:rPr>
          <w:rFonts w:ascii="Times New Roman" w:cs="Times New Roman" w:eastAsia="Times New Roman" w:hAnsi="Times New Roman"/>
          <w:sz w:val="13"/>
          <w:szCs w:val="13"/>
          <w:color w:val="auto"/>
        </w:rPr>
      </w:pPr>
    </w:p>
    <w:p>
      <w:pPr>
        <w:ind w:left="640" w:right="699" w:firstLine="1003"/>
        <w:spacing w:after="0" w:line="280" w:lineRule="auto"/>
        <w:tabs>
          <w:tab w:leader="none" w:pos="1824"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three (3) Business Days after the Cash Determination Time (the last day of such period, the “</w:t>
      </w:r>
      <w:r>
        <w:rPr>
          <w:rFonts w:ascii="Times New Roman" w:cs="Times New Roman" w:eastAsia="Times New Roman" w:hAnsi="Times New Roman"/>
          <w:sz w:val="12"/>
          <w:szCs w:val="12"/>
          <w:b w:val="1"/>
          <w:bCs w:val="1"/>
          <w:color w:val="auto"/>
        </w:rPr>
        <w:t>Response Date</w:t>
      </w:r>
      <w:r>
        <w:rPr>
          <w:rFonts w:ascii="Times New Roman" w:cs="Times New Roman" w:eastAsia="Times New Roman" w:hAnsi="Times New Roman"/>
          <w:sz w:val="12"/>
          <w:szCs w:val="12"/>
          <w:color w:val="auto"/>
        </w:rPr>
        <w:t>”), the Company shall have the right to dispute any part of the Aspen Net Cash Calculation by delivering a written notice to that effect to Aspen (a “</w:t>
      </w:r>
      <w:r>
        <w:rPr>
          <w:rFonts w:ascii="Times New Roman" w:cs="Times New Roman" w:eastAsia="Times New Roman" w:hAnsi="Times New Roman"/>
          <w:sz w:val="12"/>
          <w:szCs w:val="12"/>
          <w:b w:val="1"/>
          <w:bCs w:val="1"/>
          <w:color w:val="auto"/>
        </w:rPr>
        <w:t>Dispute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Any Dispute Notice shall identify in reasonable detail and to the extent known the nature and amounts of any proposed revisions to the Aspen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Net Cash Calculation and will be accompanied by reasonably detailed materials supporting the basis for such revisions.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9" w:name="page40"/>
    <w:bookmarkEnd w:id="39"/>
    <w:p>
      <w:pPr>
        <w:ind w:left="640" w:right="979" w:firstLine="1003"/>
        <w:spacing w:after="0" w:line="251" w:lineRule="auto"/>
        <w:tabs>
          <w:tab w:leader="none" w:pos="1817"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on or prior to the Response Date, the Company notifies Aspen in writing that it has no objections to the Aspen Net Cash Calculation or, if on the Response Date, the Company fails to deliver a Dispute Notice as provided in </w:t>
      </w:r>
      <w:r>
        <w:rPr>
          <w:rFonts w:ascii="Times New Roman" w:cs="Times New Roman" w:eastAsia="Times New Roman" w:hAnsi="Times New Roman"/>
          <w:sz w:val="13"/>
          <w:szCs w:val="13"/>
          <w:u w:val="single" w:color="auto"/>
          <w:color w:val="auto"/>
        </w:rPr>
        <w:t>Section 2.9(b)</w:t>
      </w:r>
      <w:r>
        <w:rPr>
          <w:rFonts w:ascii="Times New Roman" w:cs="Times New Roman" w:eastAsia="Times New Roman" w:hAnsi="Times New Roman"/>
          <w:sz w:val="13"/>
          <w:szCs w:val="13"/>
          <w:color w:val="auto"/>
        </w:rPr>
        <w:t>, then the Aspen Net Cash Calculation as set forth in the Aspen Net Cash Schedule shall be deemed to have been finally determined for purposes of this Agreement and to represent the Aspen Net Cash at the Cash Determination Time for purposes of this Agreement.</w:t>
      </w:r>
    </w:p>
    <w:p>
      <w:pPr>
        <w:spacing w:after="0" w:line="132" w:lineRule="exact"/>
        <w:rPr>
          <w:rFonts w:ascii="Times New Roman" w:cs="Times New Roman" w:eastAsia="Times New Roman" w:hAnsi="Times New Roman"/>
          <w:sz w:val="13"/>
          <w:szCs w:val="13"/>
          <w:color w:val="auto"/>
        </w:rPr>
      </w:pPr>
    </w:p>
    <w:p>
      <w:pPr>
        <w:jc w:val="both"/>
        <w:ind w:left="640" w:right="859" w:firstLine="1003"/>
        <w:spacing w:after="0" w:line="251" w:lineRule="auto"/>
        <w:tabs>
          <w:tab w:leader="none" w:pos="1824"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delivers a Dispute Notice on or prior to the Response Date, then Representatives of Aspen and the Company shall promptly meet and attempt in good faith to resolve the disputed item(s) and negotiate an agreed-upon determination of Aspen Net Cash, which agreed upon the Aspen Net Cash amount shall be deemed to have been finally determined for purposes of this Agreement and to represent the Aspen Net Cash at the Cash Determination Time for purposes of this Agreement.</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69" w:lineRule="auto"/>
        <w:tabs>
          <w:tab w:leader="none" w:pos="1817"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Representatives of Aspen and the Company are unable to negotiate an agreed-upon determination of Aspen Net Cash as of the Cash Determination Time pursuant to </w:t>
      </w:r>
      <w:r>
        <w:rPr>
          <w:rFonts w:ascii="Times New Roman" w:cs="Times New Roman" w:eastAsia="Times New Roman" w:hAnsi="Times New Roman"/>
          <w:sz w:val="12"/>
          <w:szCs w:val="12"/>
          <w:u w:val="single" w:color="auto"/>
          <w:color w:val="auto"/>
        </w:rPr>
        <w:t>Section 2.9(d)</w:t>
      </w:r>
      <w:r>
        <w:rPr>
          <w:rFonts w:ascii="Times New Roman" w:cs="Times New Roman" w:eastAsia="Times New Roman" w:hAnsi="Times New Roman"/>
          <w:sz w:val="12"/>
          <w:szCs w:val="12"/>
          <w:color w:val="auto"/>
        </w:rPr>
        <w:t xml:space="preserve"> within three (3) days after delivery of the Dispute Notice (or such other period as Aspen and the Company may mutually agree upon), then any remaining disagreements as to the calculation of Aspen Net Cash shall be referred to an independent auditor of recognized national standing jointly selected by Aspen and the Company. If the parties are unable to select an independent auditor within five</w:t>
      </w:r>
    </w:p>
    <w:p>
      <w:pPr>
        <w:ind w:left="820" w:hanging="183"/>
        <w:spacing w:after="0"/>
        <w:tabs>
          <w:tab w:leader="none" w:pos="8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then either Aspen or the Company may thereafter request that the Boston, Massachusetts Office of the American Arbitration Association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AAA</w:t>
      </w:r>
      <w:r>
        <w:rPr>
          <w:rFonts w:ascii="Times New Roman" w:cs="Times New Roman" w:eastAsia="Times New Roman" w:hAnsi="Times New Roman"/>
          <w:sz w:val="13"/>
          <w:szCs w:val="13"/>
          <w:color w:val="auto"/>
        </w:rPr>
        <w:t>”) make such selection (either the independent auditor jointly selected by both parties or such independent auditor selected by the AAA, the</w:t>
      </w:r>
    </w:p>
    <w:p>
      <w:pPr>
        <w:spacing w:after="0" w:line="2"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Accounting Firm</w:t>
      </w:r>
      <w:r>
        <w:rPr>
          <w:rFonts w:ascii="Times New Roman" w:cs="Times New Roman" w:eastAsia="Times New Roman" w:hAnsi="Times New Roman"/>
          <w:sz w:val="12"/>
          <w:szCs w:val="12"/>
          <w:color w:val="auto"/>
        </w:rPr>
        <w:t xml:space="preserve">”). Aspen and the Company shall promptly deliver to the Accounting Firm the work papers and back-up materials used in preparing the Aspen Net Cash Schedule and the Dispute Notice, and Aspen and the Company shall use commercially reasonable efforts to cause the Accounting Firm to make its determination within five (5) Business Days of accepting its selection. Aspen and the Company shall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 such presentation or discussion shall occur without the presence of a Representative of each of Aspen and the Company. The determination of the Accounting Firm shall be limited to the disagreements submitted to the Accounting Firm. The determination of the amount of Aspen Net Cash made by the Accounting Firm shall be made in writing delivered to each of Aspen and the Company, shall be final and binding on Aspen and the Company and shall (absent manifest error) be deemed to have been finally determined for purposes of this Agreement and to represent the Aspen Net Cash at the Cash Determination Time for purposes of this Agreement. The Parties shall delay the Closing until the resolution of the matters described in this </w:t>
      </w:r>
      <w:r>
        <w:rPr>
          <w:rFonts w:ascii="Times New Roman" w:cs="Times New Roman" w:eastAsia="Times New Roman" w:hAnsi="Times New Roman"/>
          <w:sz w:val="12"/>
          <w:szCs w:val="12"/>
          <w:u w:val="single" w:color="auto"/>
          <w:color w:val="auto"/>
        </w:rPr>
        <w:t>Section 2.9(e)</w:t>
      </w:r>
      <w:r>
        <w:rPr>
          <w:rFonts w:ascii="Times New Roman" w:cs="Times New Roman" w:eastAsia="Times New Roman" w:hAnsi="Times New Roman"/>
          <w:sz w:val="12"/>
          <w:szCs w:val="12"/>
          <w:color w:val="auto"/>
        </w:rPr>
        <w:t xml:space="preserve">. The fees and expenses of the Accounting Firm shall be allocated between Aspen and the Company in the same proportion that the disputed amount of the Aspen Net Cash that was unsuccessfully disputed by such Party (as finally determined by the Accounting Firm) bears to the total disputed amount of the Aspen Net Cash amount. If this </w:t>
      </w:r>
      <w:r>
        <w:rPr>
          <w:rFonts w:ascii="Times New Roman" w:cs="Times New Roman" w:eastAsia="Times New Roman" w:hAnsi="Times New Roman"/>
          <w:sz w:val="12"/>
          <w:szCs w:val="12"/>
          <w:u w:val="single" w:color="auto"/>
          <w:color w:val="auto"/>
        </w:rPr>
        <w:t>Section 2.9(e)</w:t>
      </w:r>
      <w:r>
        <w:rPr>
          <w:rFonts w:ascii="Times New Roman" w:cs="Times New Roman" w:eastAsia="Times New Roman" w:hAnsi="Times New Roman"/>
          <w:sz w:val="12"/>
          <w:szCs w:val="12"/>
          <w:color w:val="auto"/>
        </w:rPr>
        <w:t xml:space="preserve"> applies as to the determination of the Aspen Net Cash at the Cash Determination Time, upon resolution of the matter in accordance with this </w:t>
      </w:r>
      <w:r>
        <w:rPr>
          <w:rFonts w:ascii="Times New Roman" w:cs="Times New Roman" w:eastAsia="Times New Roman" w:hAnsi="Times New Roman"/>
          <w:sz w:val="12"/>
          <w:szCs w:val="12"/>
          <w:u w:val="single" w:color="auto"/>
          <w:color w:val="auto"/>
        </w:rPr>
        <w:t>Section 2.9(e)</w:t>
      </w:r>
      <w:r>
        <w:rPr>
          <w:rFonts w:ascii="Times New Roman" w:cs="Times New Roman" w:eastAsia="Times New Roman" w:hAnsi="Times New Roman"/>
          <w:sz w:val="12"/>
          <w:szCs w:val="12"/>
          <w:color w:val="auto"/>
        </w:rPr>
        <w:t>, the Parties shall not be required to determine Aspen Net Cash again even though the Closing may occur later than the Anticipated Closing Date, except that either Aspen and the Company may request a redetermination of Aspen Net Cash if the Closing Date is more than thirty (30) days after the Anticipated Closing Date.</w:t>
      </w:r>
    </w:p>
    <w:p>
      <w:pPr>
        <w:spacing w:after="0" w:line="280"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2.10 </w:t>
      </w:r>
      <w:r>
        <w:rPr>
          <w:rFonts w:ascii="Times New Roman" w:cs="Times New Roman" w:eastAsia="Times New Roman" w:hAnsi="Times New Roman"/>
          <w:sz w:val="13"/>
          <w:szCs w:val="13"/>
          <w:u w:val="single" w:color="auto"/>
          <w:color w:val="auto"/>
        </w:rPr>
        <w:t>Further Action</w:t>
      </w:r>
      <w:r>
        <w:rPr>
          <w:rFonts w:ascii="Times New Roman" w:cs="Times New Roman" w:eastAsia="Times New Roman" w:hAnsi="Times New Roman"/>
          <w:sz w:val="13"/>
          <w:szCs w:val="13"/>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0" w:name="page41"/>
    <w:bookmarkEnd w:id="40"/>
    <w:p>
      <w:pPr>
        <w:ind w:left="640" w:right="839" w:firstLine="696"/>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2.11 </w:t>
      </w:r>
      <w:r>
        <w:rPr>
          <w:rFonts w:ascii="Times New Roman" w:cs="Times New Roman" w:eastAsia="Times New Roman" w:hAnsi="Times New Roman"/>
          <w:sz w:val="13"/>
          <w:szCs w:val="13"/>
          <w:u w:val="single" w:color="auto"/>
          <w:color w:val="auto"/>
        </w:rPr>
        <w:t>Intended Tax Treatment</w:t>
      </w:r>
      <w:r>
        <w:rPr>
          <w:rFonts w:ascii="Times New Roman" w:cs="Times New Roman" w:eastAsia="Times New Roman" w:hAnsi="Times New Roman"/>
          <w:sz w:val="13"/>
          <w:szCs w:val="13"/>
          <w:color w:val="auto"/>
        </w:rPr>
        <w:t>. The Parties acknowledge and agree that, for U.S. federal (and applicable state and local) income Tax purposes, (i) the Merger is intended to qualify as a reorganization within the meaning of Section 368(a) of the Code and the Treasury Regulations thereunder to which Aspen and the Company are parties under Section 368(b) of the Code, and (ii) this Agreement constitutes, and the Parties hereby adopt this Agreement as, a “plan of reorganization” within the meaning of Treasury Regulations Sections 1.368-2(g) and 1.368-3 for purposes of Sections 354, 361 and 368 of the Code (collectively, the “</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7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2.12 </w:t>
      </w: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Each of the Exchange Agent, Aspen and the Surviving Corporation, as applicable, shall be entitled to deduct and withhold from any consideration deliverable pursuant to this Agreement (including the Closing Distribution) to any Person such amounts as it is required to deduct or withhold from such consideration under applicable Law. To the extent such amounts are so deducted or withheld and remitted to the appropriate Governmental Authority in accordance with applicable Law, such amounts shall be treated for all purposes under this Agreement as having been paid to the Person to whom such amounts would otherwise have been paid.</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u w:val="single" w:color="auto"/>
          <w:color w:val="auto"/>
        </w:rPr>
        <w:t>Appraisal Rights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6" w:lineRule="auto"/>
        <w:tabs>
          <w:tab w:leader="none" w:pos="1817"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cs="Times New Roman" w:eastAsia="Times New Roman" w:hAnsi="Times New Roman"/>
          <w:sz w:val="13"/>
          <w:szCs w:val="13"/>
          <w:b w:val="1"/>
          <w:bCs w:val="1"/>
          <w:color w:val="auto"/>
        </w:rPr>
        <w:t>Dissenting Shares</w:t>
      </w:r>
      <w:r>
        <w:rPr>
          <w:rFonts w:ascii="Times New Roman" w:cs="Times New Roman" w:eastAsia="Times New Roman" w:hAnsi="Times New Roman"/>
          <w:sz w:val="13"/>
          <w:szCs w:val="13"/>
          <w:color w:val="auto"/>
        </w:rPr>
        <w:t xml:space="preserve">”) shall not be converted into or represent the right to receive the Merger Consideration described in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3"/>
          <w:szCs w:val="13"/>
          <w:u w:val="single" w:color="auto"/>
          <w:color w:val="auto"/>
        </w:rPr>
        <w:t>Sections 2.5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2.8</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24"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give Aspen prompt written notice of any demands by dissenting stockholders received by the Company, withdrawals of such demands and any other instruments served on the Company and any material correspondence received by the Company in connection with such demands, and Aspen shall have the right to participate in all negotiations and proceedings with respect to such demands. The Company shall not, except with Aspen’s prior written consent, not to be unreasonably withheld, delayed or conditioned, make any payment with respect to, or settle or offer to settle, any such demands, or approve any withdrawal of any such demands or agree to do any of the foregoing.</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Representations and Warranties of the Company</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1079" w:firstLine="309"/>
        <w:spacing w:after="0" w:line="270"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except as set forth in the written disclosure schedule delivered by the Company to Aspen (the “</w:t>
      </w:r>
      <w:r>
        <w:rPr>
          <w:rFonts w:ascii="Times New Roman" w:cs="Times New Roman" w:eastAsia="Times New Roman" w:hAnsi="Times New Roman"/>
          <w:sz w:val="13"/>
          <w:szCs w:val="13"/>
          <w:b w:val="1"/>
          <w:bCs w:val="1"/>
          <w:color w:val="auto"/>
        </w:rPr>
        <w:t>Company Disclosure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Schedule</w:t>
      </w:r>
      <w:r>
        <w:rPr>
          <w:rFonts w:ascii="Times New Roman" w:cs="Times New Roman" w:eastAsia="Times New Roman" w:hAnsi="Times New Roman"/>
          <w:sz w:val="13"/>
          <w:szCs w:val="13"/>
          <w:color w:val="auto"/>
        </w:rPr>
        <w:t>”), the Company represents and warrants to Aspen and Merger Sub as follows: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1" w:name="page42"/>
    <w:bookmarkEnd w:id="41"/>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 </w:t>
      </w:r>
      <w:r>
        <w:rPr>
          <w:rFonts w:ascii="Times New Roman" w:cs="Times New Roman" w:eastAsia="Times New Roman" w:hAnsi="Times New Roman"/>
          <w:sz w:val="13"/>
          <w:szCs w:val="13"/>
          <w:u w:val="single" w:color="auto"/>
          <w:color w:val="auto"/>
        </w:rPr>
        <w:t>Due Organization;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9" w:lineRule="auto"/>
        <w:tabs>
          <w:tab w:leader="none" w:pos="181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its Subsidiaries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All of the Company’s Subsidiaries are wholly owned by the Company.</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2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1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 Subsidiaries and the Company does not own any capital stock or membership interests of, or any equity, ownership or profit sharing interest of any nature in, or controls directly 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35" w:lineRule="exact"/>
        <w:rPr>
          <w:sz w:val="20"/>
          <w:szCs w:val="20"/>
          <w:color w:val="auto"/>
        </w:rPr>
      </w:pPr>
    </w:p>
    <w:p>
      <w:pPr>
        <w:ind w:left="640" w:right="8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Organizational Documents</w:t>
      </w:r>
      <w:r>
        <w:rPr>
          <w:rFonts w:ascii="Times New Roman" w:cs="Times New Roman" w:eastAsia="Times New Roman" w:hAnsi="Times New Roman"/>
          <w:sz w:val="13"/>
          <w:szCs w:val="13"/>
          <w:color w:val="auto"/>
        </w:rPr>
        <w:t>. The Company has delivered to Aspen accurate and complete copies of the Organizational Documents of the Company. The Company is not in breach or violation of its Organizational Documents in any material respect.</w:t>
      </w:r>
    </w:p>
    <w:p>
      <w:pPr>
        <w:spacing w:after="0" w:line="120" w:lineRule="exact"/>
        <w:rPr>
          <w:sz w:val="20"/>
          <w:szCs w:val="20"/>
          <w:color w:val="auto"/>
        </w:rPr>
      </w:pPr>
    </w:p>
    <w:p>
      <w:pPr>
        <w:ind w:left="640" w:right="759" w:firstLine="696"/>
        <w:spacing w:after="0" w:line="270"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Authority; Binding Nature of Agreement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Subject to obtaining the Required Company Stockholder Vote, the Company has all necessary corporate power and authority to enter into and to perform its obligations under this Agreement and to consummate the Contemplated Transactions that are contemplated to be consummated by it.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Aspen and Merger Sub, constitutes the legal, valid and binding obligation of the Company, enforceable against the Company in accordance with its terms, subject to the Enforceability Exceptions.</w:t>
      </w:r>
    </w:p>
    <w:p>
      <w:pPr>
        <w:spacing w:after="0" w:line="125" w:lineRule="exact"/>
        <w:rPr>
          <w:sz w:val="20"/>
          <w:szCs w:val="20"/>
          <w:color w:val="auto"/>
        </w:rPr>
      </w:pPr>
    </w:p>
    <w:p>
      <w:pPr>
        <w:ind w:left="640" w:right="71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The written consent or affirmative vote of (i) a majority of shares of Company Common Stock and Voting Preferred Stock (as defined in the Company’s Amended and Restated Certificate of Incorporation), voting together as a single class and on an as-converted to Company Common Stock basis, (ii) holders of a majority of the shares of the Company’s Series A-1 Preferred Stock, Series A-3 Preferred Stock and Series A-4 Preferred Stock voting together with the holders of Company Common Stock as a single class and on an as-converted to Company Common Stock basis, (iii) holders of a majority of the shares of the Company’s Series A-1 Preferred Stock, Series A-3 Preferred Stock and Series A-4 Preferred Stock voting together as a single class and on an as-converted to Company Common Stock basis, are the only votes of the holders of any class or series of Company Capital Stock necessary to adopt and approve this Agreement and approve the Contemplated Transactions (collectively, the “</w:t>
      </w:r>
      <w:r>
        <w:rPr>
          <w:rFonts w:ascii="Times New Roman" w:cs="Times New Roman" w:eastAsia="Times New Roman" w:hAnsi="Times New Roman"/>
          <w:sz w:val="13"/>
          <w:szCs w:val="13"/>
          <w:b w:val="1"/>
          <w:bCs w:val="1"/>
          <w:color w:val="auto"/>
        </w:rPr>
        <w:t>Required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Company Stockholder Vote</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2" w:name="page43"/>
    <w:bookmarkEnd w:id="42"/>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640" w:right="699" w:firstLine="1003"/>
        <w:spacing w:after="0" w:line="255" w:lineRule="auto"/>
        <w:tabs>
          <w:tab w:leader="none" w:pos="181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54" w:lineRule="exact"/>
        <w:rPr>
          <w:rFonts w:ascii="Times New Roman" w:cs="Times New Roman" w:eastAsia="Times New Roman" w:hAnsi="Times New Roman"/>
          <w:sz w:val="13"/>
          <w:szCs w:val="13"/>
          <w:color w:val="auto"/>
        </w:rPr>
      </w:pPr>
    </w:p>
    <w:p>
      <w:pPr>
        <w:ind w:left="940" w:right="679" w:firstLine="972"/>
        <w:spacing w:after="0" w:line="267" w:lineRule="auto"/>
        <w:tabs>
          <w:tab w:leader="none" w:pos="2056"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of any of the provisions of the Company’s Organizational Documents or the Company Convertible Notes;</w:t>
      </w:r>
    </w:p>
    <w:p>
      <w:pPr>
        <w:spacing w:after="0" w:line="46" w:lineRule="exact"/>
        <w:rPr>
          <w:rFonts w:ascii="Times New Roman" w:cs="Times New Roman" w:eastAsia="Times New Roman" w:hAnsi="Times New Roman"/>
          <w:sz w:val="13"/>
          <w:szCs w:val="13"/>
          <w:color w:val="auto"/>
        </w:rPr>
      </w:pPr>
    </w:p>
    <w:p>
      <w:pPr>
        <w:ind w:left="940" w:right="659" w:firstLine="972"/>
        <w:spacing w:after="0" w:line="255" w:lineRule="auto"/>
        <w:tabs>
          <w:tab w:leader="none" w:pos="2091"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any of the assets owned or used by the Company, is subject;</w:t>
      </w:r>
    </w:p>
    <w:p>
      <w:pPr>
        <w:spacing w:after="0" w:line="54" w:lineRule="exact"/>
        <w:rPr>
          <w:rFonts w:ascii="Times New Roman" w:cs="Times New Roman" w:eastAsia="Times New Roman" w:hAnsi="Times New Roman"/>
          <w:sz w:val="13"/>
          <w:szCs w:val="13"/>
          <w:color w:val="auto"/>
        </w:rPr>
      </w:pPr>
    </w:p>
    <w:p>
      <w:pPr>
        <w:ind w:left="940" w:right="699" w:firstLine="972"/>
        <w:spacing w:after="0" w:line="309" w:lineRule="auto"/>
        <w:tabs>
          <w:tab w:leader="none" w:pos="2126"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w:t>
      </w:r>
    </w:p>
    <w:p>
      <w:pPr>
        <w:spacing w:after="0" w:line="23" w:lineRule="exact"/>
        <w:rPr>
          <w:rFonts w:ascii="Times New Roman" w:cs="Times New Roman" w:eastAsia="Times New Roman" w:hAnsi="Times New Roman"/>
          <w:sz w:val="12"/>
          <w:szCs w:val="12"/>
          <w:color w:val="auto"/>
        </w:rPr>
      </w:pPr>
    </w:p>
    <w:p>
      <w:pPr>
        <w:ind w:left="940" w:right="679" w:firstLine="972"/>
        <w:spacing w:after="0" w:line="249" w:lineRule="auto"/>
        <w:tabs>
          <w:tab w:leader="none" w:pos="2119"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a default (or an event that with notice or lapse of time or both would result in a default), give right to a right of termination, cancellation or acceleration of any obligation or loss of a material benefit of the Company or any of its Subsidiaries, or result in the creation of any Encumbrance (other than Permitted Encumbrances) upon any of the properties or assets of the Company or any of its Subsidiaries, in each case under any Company Material Contract and in each case except as would not be reasonably expected to have, individually or in the aggregate, a Company Material Adverse Effect.</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24"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(i) the Required Company Stockholder Vote, (ii) the filing of the Certificate of Merger with the Secretary of State of Delaware pursuant to the DGCL, and (iii) such consents, waivers, approvals, orders authorizations, registrations, declarations and filings as may be required under applicable federal and state securities laws, the Company was not, is not, nor will be required to make any filing with or give any notice to, or to obtain any Consent from, any Person in connection with (x) the execution, delivery or performance of this Agreement or (y) the consummation of the Contemplated Transactions (in each case except under Company Contracts that are not Company Material Contracts, and in the case of such filings, notices or Consents under Company Material Contracts, except as the failure to make such filing, give such notice or obtain such Consent would not reasonably expected to have, individually or in the aggregate, a Company Material Adverse Effect).</w:t>
      </w:r>
    </w:p>
    <w:p>
      <w:pPr>
        <w:spacing w:after="0" w:line="136" w:lineRule="exact"/>
        <w:rPr>
          <w:rFonts w:ascii="Times New Roman" w:cs="Times New Roman" w:eastAsia="Times New Roman" w:hAnsi="Times New Roman"/>
          <w:sz w:val="13"/>
          <w:szCs w:val="13"/>
          <w:color w:val="auto"/>
        </w:rPr>
      </w:pPr>
    </w:p>
    <w:p>
      <w:pPr>
        <w:ind w:left="640" w:right="779" w:firstLine="1003"/>
        <w:spacing w:after="0" w:line="251" w:lineRule="auto"/>
        <w:tabs>
          <w:tab w:leader="none" w:pos="181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has taken and will take all actions necessary to ensure that the restrictions applicable to business combinations contained in Section 203 of the DGCL, to the extent applicable to the Company,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29" w:right="1440" w:bottom="1440" w:gutter="0" w:footer="0" w:header="0"/>
        </w:sectPr>
      </w:pPr>
    </w:p>
    <w:bookmarkStart w:id="43" w:name="page44"/>
    <w:bookmarkEnd w:id="43"/>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the authorized capital of the Company consists of:</w:t>
      </w:r>
    </w:p>
    <w:p>
      <w:pPr>
        <w:spacing w:after="0" w:line="77" w:lineRule="exact"/>
        <w:rPr>
          <w:rFonts w:ascii="Times New Roman" w:cs="Times New Roman" w:eastAsia="Times New Roman" w:hAnsi="Times New Roman"/>
          <w:sz w:val="13"/>
          <w:szCs w:val="13"/>
          <w:color w:val="auto"/>
        </w:rPr>
      </w:pPr>
    </w:p>
    <w:p>
      <w:pPr>
        <w:ind w:left="940" w:right="719" w:firstLine="972"/>
        <w:spacing w:after="0" w:line="267" w:lineRule="auto"/>
        <w:tabs>
          <w:tab w:leader="none" w:pos="2056"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11,947,558 shares of Company Common Stock, 2,634,714 shares of which are issued and outstanding as of the date hereof, 43,174 shares of which are Company Restricted Stock.</w:t>
      </w:r>
    </w:p>
    <w:p>
      <w:pPr>
        <w:spacing w:after="0" w:line="46" w:lineRule="exact"/>
        <w:rPr>
          <w:rFonts w:ascii="Times New Roman" w:cs="Times New Roman" w:eastAsia="Times New Roman" w:hAnsi="Times New Roman"/>
          <w:sz w:val="13"/>
          <w:szCs w:val="13"/>
          <w:color w:val="auto"/>
        </w:rPr>
      </w:pPr>
    </w:p>
    <w:p>
      <w:pPr>
        <w:ind w:left="940" w:right="719" w:firstLine="972"/>
        <w:spacing w:after="0" w:line="249" w:lineRule="auto"/>
        <w:tabs>
          <w:tab w:leader="none" w:pos="2091"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6,825,483 shares of Company Preferred Stock, of which (A) 4,118,120 shares have been designated Series A-1 Preferred Stock, all of which are issued and outstanding as of the date hereof, (B) 1,649,188 shares have been designated Series A-2 Preferred Stock, all of which are issued and outstanding as of the date hereof, (C) 696,516 shares have been designated Series A-3 Preferred Stock, all of which are issued and outstanding as of the date hereof, and (D) 361,659 shares have been designated Series A-4 Preferred Stock, all of which are issued and outstanding as of the date hereof.</w:t>
      </w:r>
    </w:p>
    <w:p>
      <w:pPr>
        <w:spacing w:after="0" w:line="58" w:lineRule="exact"/>
        <w:rPr>
          <w:rFonts w:ascii="Times New Roman" w:cs="Times New Roman" w:eastAsia="Times New Roman" w:hAnsi="Times New Roman"/>
          <w:sz w:val="13"/>
          <w:szCs w:val="13"/>
          <w:color w:val="auto"/>
        </w:rPr>
      </w:pPr>
    </w:p>
    <w:p>
      <w:pPr>
        <w:ind w:left="940" w:right="659" w:firstLine="972"/>
        <w:spacing w:after="0" w:line="249" w:lineRule="auto"/>
        <w:tabs>
          <w:tab w:leader="none" w:pos="2126"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1,991,264 shares of Company Common Stock which the Company has reserved for issuance to officers, directors, employees and consultants of the Company pursuant to the Company’s 2019 Equity Incentive Plan. Of such reserved shares of Common Stock, no shares have been issued pursuant to restricted stock purchase agreements, 1,830,965 options to purchase shares have been granted and are currently outstanding as of the date hereof, and 47,169 shares of Common Stock remain available for issuance to officers, directors, employees and consultants pursuant to the Stock Plan as of the date hereof.</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2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of the outstanding Company Capital Stock as set out in </w:t>
      </w:r>
      <w:r>
        <w:rPr>
          <w:rFonts w:ascii="Times New Roman" w:cs="Times New Roman" w:eastAsia="Times New Roman" w:hAnsi="Times New Roman"/>
          <w:sz w:val="13"/>
          <w:szCs w:val="13"/>
          <w:u w:val="single" w:color="auto"/>
          <w:color w:val="auto"/>
        </w:rPr>
        <w:t>Section 3.6(a)</w:t>
      </w:r>
      <w:r>
        <w:rPr>
          <w:rFonts w:ascii="Times New Roman" w:cs="Times New Roman" w:eastAsia="Times New Roman" w:hAnsi="Times New Roman"/>
          <w:sz w:val="13"/>
          <w:szCs w:val="13"/>
          <w:color w:val="auto"/>
        </w:rPr>
        <w:t xml:space="preserve">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Each share of Company Preferred Stock and each Company SAFE will convert into shares of Company Common Stock in the Company Preferred Stock Conversion and Company SAFEs Conversion (as applicable) on a one-for-one basis.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cs="Times New Roman" w:eastAsia="Times New Roman" w:hAnsi="Times New Roman"/>
          <w:sz w:val="13"/>
          <w:szCs w:val="13"/>
          <w:u w:val="single" w:color="auto"/>
          <w:color w:val="auto"/>
        </w:rPr>
        <w:t>Section 3.6(b)</w:t>
      </w:r>
      <w:r>
        <w:rPr>
          <w:rFonts w:ascii="Times New Roman" w:cs="Times New Roman" w:eastAsia="Times New Roman" w:hAnsi="Times New Roman"/>
          <w:sz w:val="13"/>
          <w:szCs w:val="13"/>
          <w:color w:val="auto"/>
        </w:rPr>
        <w:t xml:space="preserve"> of the Company Disclosure Schedule accurately and completely lists all repurchase rights held by the Company with respect to Company Capital Stock (including shares issued pursuant to the exercise of options) and specifies which of those repurchase rights are currently exercisable. As of the date hereof, no Company Convertible Notes other than the Company SAFEs, no Company Warrants and no Company Restricted Stock Units are issued or outstanding.</w:t>
      </w:r>
    </w:p>
    <w:p>
      <w:pPr>
        <w:spacing w:after="0" w:line="138"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1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3.6(c)</w:t>
      </w:r>
      <w:r>
        <w:rPr>
          <w:rFonts w:ascii="Times New Roman" w:cs="Times New Roman" w:eastAsia="Times New Roman" w:hAnsi="Times New Roman"/>
          <w:sz w:val="13"/>
          <w:szCs w:val="13"/>
          <w:color w:val="auto"/>
        </w:rPr>
        <w:t xml:space="preserve"> of the Company Disclosure Schedule, the Company does not have any option plan or any other plan, program, agreement or arrangement providing for an equity-based compensation for any Person.</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82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provided in </w:t>
      </w:r>
      <w:r>
        <w:rPr>
          <w:rFonts w:ascii="Times New Roman" w:cs="Times New Roman" w:eastAsia="Times New Roman" w:hAnsi="Times New Roman"/>
          <w:sz w:val="13"/>
          <w:szCs w:val="13"/>
          <w:u w:val="single" w:color="auto"/>
          <w:color w:val="auto"/>
        </w:rPr>
        <w:t>Section 3.6(d)</w:t>
      </w:r>
      <w:r>
        <w:rPr>
          <w:rFonts w:ascii="Times New Roman" w:cs="Times New Roman" w:eastAsia="Times New Roman" w:hAnsi="Times New Roman"/>
          <w:sz w:val="13"/>
          <w:szCs w:val="13"/>
          <w:color w:val="auto"/>
        </w:rPr>
        <w:t xml:space="preserve"> of the Company Disclosure Schedule,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4" w:name="page45"/>
    <w:bookmarkEnd w:id="44"/>
    <w:p>
      <w:pPr>
        <w:ind w:left="640" w:right="1239" w:firstLine="1003"/>
        <w:spacing w:after="0" w:line="309" w:lineRule="auto"/>
        <w:tabs>
          <w:tab w:leader="none" w:pos="181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outstanding Company Capital Stock and other securities of the Company have been issued and granted in material compliance with (i) all applicable securities laws and other applicable Law and (ii) all requirements set forth in applicable Contracts.</w:t>
      </w:r>
    </w:p>
    <w:p>
      <w:pPr>
        <w:spacing w:after="0" w:line="99" w:lineRule="exact"/>
        <w:rPr>
          <w:rFonts w:ascii="Times New Roman" w:cs="Times New Roman" w:eastAsia="Times New Roman" w:hAnsi="Times New Roman"/>
          <w:sz w:val="12"/>
          <w:szCs w:val="12"/>
          <w:color w:val="auto"/>
        </w:rPr>
      </w:pPr>
    </w:p>
    <w:p>
      <w:pPr>
        <w:ind w:left="1800" w:hanging="157"/>
        <w:spacing w:after="0"/>
        <w:tabs>
          <w:tab w:leader="none" w:pos="18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Capital Stock are uncertificated.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50" w:lineRule="auto"/>
        <w:tabs>
          <w:tab w:leader="none" w:pos="1817"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3.7(a) of the Company Disclosure Schedule includes true and complete copies of the Company’s (i) consolidated audited balance sheets and related audited statements of operations, changes in statements of convertible preferred stock and stockholders’ deficit and cash flows, and notes thereto for the twelve (12) months ended December 31, 2022 (the “</w:t>
      </w:r>
      <w:r>
        <w:rPr>
          <w:rFonts w:ascii="Times New Roman" w:cs="Times New Roman" w:eastAsia="Times New Roman" w:hAnsi="Times New Roman"/>
          <w:sz w:val="13"/>
          <w:szCs w:val="13"/>
          <w:b w:val="1"/>
          <w:bCs w:val="1"/>
          <w:color w:val="auto"/>
        </w:rPr>
        <w:t>Company Financials</w:t>
      </w:r>
      <w:r>
        <w:rPr>
          <w:rFonts w:ascii="Times New Roman" w:cs="Times New Roman" w:eastAsia="Times New Roman" w:hAnsi="Times New Roman"/>
          <w:sz w:val="13"/>
          <w:szCs w:val="13"/>
          <w:color w:val="auto"/>
        </w:rPr>
        <w:t>”) and December 31, 2021 and</w:t>
      </w:r>
    </w:p>
    <w:p>
      <w:pPr>
        <w:ind w:left="640" w:right="679" w:hanging="3"/>
        <w:spacing w:after="0" w:line="244" w:lineRule="auto"/>
        <w:tabs>
          <w:tab w:leader="none" w:pos="826"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unaudited balance sheets and related unaudited statements of operations, changes in statements of convertible preferred stock and stockholders’ deficit and cash flows, and notes thereto for the nine (9) months ended, September 30, 2022, September 30, 2023 (collectively, the “</w:t>
      </w:r>
      <w:r>
        <w:rPr>
          <w:rFonts w:ascii="Times New Roman" w:cs="Times New Roman" w:eastAsia="Times New Roman" w:hAnsi="Times New Roman"/>
          <w:sz w:val="13"/>
          <w:szCs w:val="13"/>
          <w:b w:val="1"/>
          <w:bCs w:val="1"/>
          <w:color w:val="auto"/>
        </w:rPr>
        <w:t>Interim Company Financials</w:t>
      </w:r>
      <w:r>
        <w:rPr>
          <w:rFonts w:ascii="Times New Roman" w:cs="Times New Roman" w:eastAsia="Times New Roman" w:hAnsi="Times New Roman"/>
          <w:sz w:val="13"/>
          <w:szCs w:val="13"/>
          <w:color w:val="auto"/>
        </w:rPr>
        <w:t>”). The Company Financials (A) were prepared in accordance with United States generally accepted accounting principles (“</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(except that the Company Financials may not have notes thereto and other presentation items that may be required by GAAP and are subject to normal and recurring year-end adjustments that are not reasonably expected to be material in amount) applied on a consistent basis unless otherwise noted therein throughout the periods indicated and (B) fairly present, in all material respects, the financial position and operating results of the Company as of the dates and for the periods indicated therein.</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consistent with the practices of similarly situated private companies, internal controls over financial reporting that provides reasonable assurance regarding the reliability of financial reporting and the preparation of financial statements for external purposes.</w:t>
      </w:r>
    </w:p>
    <w:p>
      <w:pPr>
        <w:spacing w:after="0" w:line="136"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817"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3.7(c)</w:t>
      </w:r>
      <w:r>
        <w:rPr>
          <w:rFonts w:ascii="Times New Roman" w:cs="Times New Roman" w:eastAsia="Times New Roman" w:hAnsi="Times New Roman"/>
          <w:sz w:val="13"/>
          <w:szCs w:val="13"/>
          <w:color w:val="auto"/>
        </w:rPr>
        <w:t xml:space="preserve"> of the Company Disclosure Schedule lists, and the Company has delivered to Aspen accurate and complete copies of the documentation creating or governing, all securitization transactions and off-balance sheet arrangements” (as defined in Item 2.03 of Form 8-K under the Exchange Act) effected by the Company.</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5" w:name="page46"/>
    <w:bookmarkEnd w:id="45"/>
    <w:p>
      <w:pPr>
        <w:ind w:left="640" w:right="739" w:firstLine="696"/>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3.8 </w:t>
      </w:r>
      <w:r>
        <w:rPr>
          <w:rFonts w:ascii="Times New Roman" w:cs="Times New Roman" w:eastAsia="Times New Roman" w:hAnsi="Times New Roman"/>
          <w:sz w:val="12"/>
          <w:szCs w:val="12"/>
          <w:u w:val="single" w:color="auto"/>
          <w:color w:val="auto"/>
        </w:rPr>
        <w:t>Absence of Changes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3.8</w:t>
      </w:r>
      <w:r>
        <w:rPr>
          <w:rFonts w:ascii="Times New Roman" w:cs="Times New Roman" w:eastAsia="Times New Roman" w:hAnsi="Times New Roman"/>
          <w:sz w:val="12"/>
          <w:szCs w:val="12"/>
          <w:color w:val="auto"/>
        </w:rPr>
        <w:t xml:space="preserve"> of the Company Disclosure Schedule, between December 31, 2022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w:t>
      </w:r>
    </w:p>
    <w:p>
      <w:pPr>
        <w:ind w:left="640" w:right="1059" w:hanging="3"/>
        <w:spacing w:after="0" w:line="246" w:lineRule="auto"/>
        <w:tabs>
          <w:tab w:leader="none" w:pos="819"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action, event or occurrence that would have required consent of Aspen pursuant to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6"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2"/>
          <w:szCs w:val="12"/>
          <w:color w:val="auto"/>
        </w:rPr>
        <w:t xml:space="preserve">3.9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Since December 31, 2022, the Company and its Subsidiaries do not have any liability, indebtedness, obligation, expense, claim, deficiency, guaranty or endorsement of any kind, whether accrued, absolute, contingent, matured, unmatured or otherwise (each a “Liability”), in each case, of a type required to be reflected or reserved for on a balance sheet prepared in accordance with GAAP, except for (i) Liabilities or obligations specifically disclosed, reflected or reserved against in the Company Financials; (ii) Liabilities incurred in the Ordinary Course of Business since the date of the Company Financials; (iii) Liabilities to perform under Contracts entered into by the Company or its Subsidiaries (none of which is a Liability for breach of contract, breach of warranty, tort, infringement, violation of Law, or that relates to any lawsuit);</w:t>
      </w:r>
    </w:p>
    <w:p>
      <w:pPr>
        <w:spacing w:after="0" w:line="2" w:lineRule="exact"/>
        <w:rPr>
          <w:sz w:val="20"/>
          <w:szCs w:val="20"/>
          <w:color w:val="auto"/>
        </w:rPr>
      </w:pPr>
    </w:p>
    <w:p>
      <w:pPr>
        <w:ind w:left="640" w:right="1259" w:hanging="3"/>
        <w:spacing w:after="0" w:line="246" w:lineRule="auto"/>
        <w:tabs>
          <w:tab w:leader="none" w:pos="85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Liabilities incurred in connection with the Contemplated Transactions; and (v) Liabilities that would not be reasonably expected to have, individually or in the aggregate, a Company Material Adverse Effect.</w:t>
      </w:r>
    </w:p>
    <w:p>
      <w:pPr>
        <w:spacing w:after="0" w:line="136"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The Company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Company Financials and (b) all other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134" w:lineRule="exact"/>
        <w:rPr>
          <w:sz w:val="20"/>
          <w:szCs w:val="20"/>
          <w:color w:val="auto"/>
        </w:rPr>
      </w:pPr>
    </w:p>
    <w:p>
      <w:pPr>
        <w:ind w:left="640" w:right="719" w:firstLine="696"/>
        <w:spacing w:after="0" w:line="279" w:lineRule="auto"/>
        <w:rPr>
          <w:sz w:val="20"/>
          <w:szCs w:val="20"/>
          <w:color w:val="auto"/>
        </w:rPr>
      </w:pPr>
      <w:r>
        <w:rPr>
          <w:rFonts w:ascii="Times New Roman" w:cs="Times New Roman" w:eastAsia="Times New Roman" w:hAnsi="Times New Roman"/>
          <w:sz w:val="12"/>
          <w:szCs w:val="12"/>
          <w:color w:val="auto"/>
        </w:rPr>
        <w:t xml:space="preserve">3.11 </w:t>
      </w:r>
      <w:r>
        <w:rPr>
          <w:rFonts w:ascii="Times New Roman" w:cs="Times New Roman" w:eastAsia="Times New Roman" w:hAnsi="Times New Roman"/>
          <w:sz w:val="12"/>
          <w:szCs w:val="12"/>
          <w:u w:val="single" w:color="auto"/>
          <w:color w:val="auto"/>
        </w:rPr>
        <w:t>Real Property</w:t>
      </w:r>
      <w:r>
        <w:rPr>
          <w:rFonts w:ascii="Times New Roman" w:cs="Times New Roman" w:eastAsia="Times New Roman" w:hAnsi="Times New Roman"/>
          <w:sz w:val="12"/>
          <w:szCs w:val="12"/>
          <w:color w:val="auto"/>
        </w:rPr>
        <w:t>; Leasehold. The Company does not own and has never owned any real property. The Company has made available to Aspen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cs="Times New Roman" w:eastAsia="Times New Roman" w:hAnsi="Times New Roman"/>
          <w:sz w:val="12"/>
          <w:szCs w:val="12"/>
          <w:b w:val="1"/>
          <w:bCs w:val="1"/>
          <w:color w:val="auto"/>
        </w:rPr>
        <w:t>Company Real Estate Leases</w:t>
      </w:r>
      <w:r>
        <w:rPr>
          <w:rFonts w:ascii="Times New Roman" w:cs="Times New Roman" w:eastAsia="Times New Roman" w:hAnsi="Times New Roman"/>
          <w:sz w:val="12"/>
          <w:szCs w:val="12"/>
          <w:color w:val="auto"/>
        </w:rPr>
        <w:t>”), each of which is in full force and effect, with no existing material default thereunder.</w:t>
      </w:r>
    </w:p>
    <w:p>
      <w:pPr>
        <w:spacing w:after="0" w:line="1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3.12(a)</w:t>
      </w:r>
      <w:r>
        <w:rPr>
          <w:rFonts w:ascii="Times New Roman" w:cs="Times New Roman" w:eastAsia="Times New Roman" w:hAnsi="Times New Roman"/>
          <w:sz w:val="13"/>
          <w:szCs w:val="13"/>
          <w:color w:val="auto"/>
        </w:rPr>
        <w:t xml:space="preserve"> of the Company Disclosure Schedule contains a true and complete list of all issued Patents, Marks and Copyrights included in the Company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cs="Times New Roman" w:eastAsia="Times New Roman" w:hAnsi="Times New Roman"/>
          <w:sz w:val="13"/>
          <w:szCs w:val="13"/>
          <w:b w:val="1"/>
          <w:bCs w:val="1"/>
          <w:color w:val="auto"/>
        </w:rPr>
        <w:t>“Company Registered IP</w:t>
      </w:r>
      <w:r>
        <w:rPr>
          <w:rFonts w:ascii="Times New Roman" w:cs="Times New Roman" w:eastAsia="Times New Roman" w:hAnsi="Times New Roman"/>
          <w:sz w:val="13"/>
          <w:szCs w:val="13"/>
          <w:color w:val="auto"/>
        </w:rPr>
        <w:t>”), including, with respect to each such item, (i) the jurisdiction of application/registration, (ii) the application or registration number, (iii) the date of filing, or issuance or registration, and (iv) the record owner or owners, for each such item. Each material item of Company Registered IP, except for Patents, is subsisting, valid and enforceable. With respect to Patents, each material item of Company Registered IP is subsisting and, to the Knowledge of the Company, all issued Patents within the Company Registered IP are valid and enforceable. All filing, registration, maintenance, renewal and similar fees applicable to any Company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 Company Material Adverse Effect.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6" w:name="page47"/>
    <w:bookmarkEnd w:id="46"/>
    <w:p>
      <w:pPr>
        <w:ind w:left="640" w:right="879" w:firstLine="1003"/>
        <w:spacing w:after="0" w:line="251" w:lineRule="auto"/>
        <w:tabs>
          <w:tab w:leader="none" w:pos="182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interference, opposition, reissue, reexamination, or cancellation proceeding or other Legal Proceeding (other than routine ordinary course proceedings as part of patent prosecution) is pending or, to the Knowledge of the Company, threatened regarding any Company Intellectual Property, including with respect to the scope, validity, enforceability, registration, priority, inventorship or ownership of, or rights to, any Company Intellectual Property.</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71" w:lineRule="auto"/>
        <w:tabs>
          <w:tab w:leader="none" w:pos="18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founders, key employees and any other employees, contractors, consultants or other personnel involved in the development of Company Owned Intellectual Property have signed confidentiality and invention assignment agreements or similar agreements for the transfer or assignment of such Company Owned Intellectual Property pursuant to which both (i) the Company has obtained ownership of and are the exclusive owners of all right, title and interest in and to such Company Owned Intellectual Property, and (ii) such personnel are bound by commercially reasonable confidentiality obligations with respect to all Company Intellectual Property. To the Knowledge of the Company, no such personnel are in violation of any such agreements, or of any agreements with any prior employer or other Person with respect to development of any Company Owned Intellectual Property, except as would not reasonably be expected to have, individually or in the aggregate, a Company Material Adverse Effect.</w:t>
      </w:r>
    </w:p>
    <w:p>
      <w:pPr>
        <w:spacing w:after="0" w:line="122" w:lineRule="exact"/>
        <w:rPr>
          <w:rFonts w:ascii="Times New Roman" w:cs="Times New Roman" w:eastAsia="Times New Roman" w:hAnsi="Times New Roman"/>
          <w:sz w:val="12"/>
          <w:szCs w:val="12"/>
          <w:color w:val="auto"/>
        </w:rPr>
      </w:pPr>
    </w:p>
    <w:p>
      <w:pPr>
        <w:ind w:left="640" w:right="679" w:firstLine="1003"/>
        <w:spacing w:after="0" w:line="267" w:lineRule="auto"/>
        <w:tabs>
          <w:tab w:leader="none" w:pos="182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Owned Intellectual Property is solely and exclusively owned by the Company free and clear of any Encumbrance, other than Permitted Encumbrances. To the Knowledge of the Company, except as would not reasonably be expected to have, individually or in the aggregate, a Company Material Adverse Effect, (i) the Company Exclusively Licensed Intellectual Property is solely and exclusively in-licensed by the Company, and (ii) the other Company Licensed Intellectual Property is in-licensed by the Company, in each case of the foregoing clauses (i) and (ii), free and clear of any Encumbrance, other than Permitted Encumbrances. Except as would not reasonably be expected to have, individually or in the aggregate, a Company Material Adverse Effect, such ownership or licenses will not be affected by the execution, delivery, or performance of this Agreement or the consummation of the Transactions, and all Intellectual Property subject thereto will be owned or in-licensed by the Company on the same terms and conditions thereafter. To the Knowledge of the Company, the Company owns or has a valid and enforceable license to use all material Intellectual Property necessary for, or used or held for use in, the operation of the business of the Company as presently conducted; provided that the foregoing is not, and shall not be construed as, a representation or warranty regarding non-infringement, misappropriation or other violation by the Company of the Intellectual Property of other Persons. To the Knowledge of the Company, no current or former director, officer, employee or contractor of, or consultant to, the Company owns or has any claim, right (whether or not currently exercisable) or interest (or, to the Knowledge of the Company, has alleged that they own or have any such claim, right or interest) to or in any Company Intellectual Property.</w:t>
      </w:r>
    </w:p>
    <w:p>
      <w:pPr>
        <w:spacing w:after="0" w:line="127" w:lineRule="exact"/>
        <w:rPr>
          <w:rFonts w:ascii="Times New Roman" w:cs="Times New Roman" w:eastAsia="Times New Roman" w:hAnsi="Times New Roman"/>
          <w:sz w:val="12"/>
          <w:szCs w:val="12"/>
          <w:color w:val="auto"/>
        </w:rPr>
      </w:pPr>
    </w:p>
    <w:p>
      <w:pPr>
        <w:ind w:left="640" w:right="659" w:firstLine="1003"/>
        <w:spacing w:after="0" w:line="246" w:lineRule="auto"/>
        <w:tabs>
          <w:tab w:leader="none" w:pos="1817"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 operation of the business of the Company does not infringe, misappropriate or otherwise violate, and has not infringed, misappropriated or otherwise violated, and the further research, development and commercialization of Company Products as currently planned by the Company will not infringe, misappropriate or otherwise violate, any Intellectual Property owned by any other Person, except as would not reasonably be expected to have, individually or in the aggregate, a Company Material Adverse Effect. As of the date hereof, neither the Company, nor, to the Knowledge of Company, any of the licensors of the Company, has received any notice or claim alleging any such infringement, misappropriation or other violation, including any so-called “invitation to license” letter. As of the date hereof, no Legal Proceeding, is pending or, to the Knowledge of the Company, has been threatened, against the Company or such licensors relating to any infringement, misappropriation or other violation of any Intellectual Property of any other Person.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7" w:name="page48"/>
    <w:bookmarkEnd w:id="47"/>
    <w:p>
      <w:pPr>
        <w:ind w:left="640" w:right="739" w:firstLine="1003"/>
        <w:spacing w:after="0" w:line="251" w:lineRule="auto"/>
        <w:tabs>
          <w:tab w:leader="none" w:pos="1803"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Company Owned Intellectual Property is subject to any Order as of the date hereof, neither the Company nor, to the Knowledge of the Company, any of its licensors has entered into or is a party to any agreement made in settlement of any pending litigation or other Legal Proceeding, which in any case restricts, impairs or relates to the Company’s use or other exploitation in any manner of any Company Intellectual Property or of any other Intellectual Property owned by any other Person.</w:t>
      </w:r>
    </w:p>
    <w:p>
      <w:pPr>
        <w:spacing w:after="0" w:line="132" w:lineRule="exact"/>
        <w:rPr>
          <w:rFonts w:ascii="Times New Roman" w:cs="Times New Roman" w:eastAsia="Times New Roman" w:hAnsi="Times New Roman"/>
          <w:sz w:val="13"/>
          <w:szCs w:val="13"/>
          <w:color w:val="auto"/>
        </w:rPr>
      </w:pPr>
    </w:p>
    <w:p>
      <w:pPr>
        <w:ind w:left="640" w:right="979" w:firstLine="1003"/>
        <w:spacing w:after="0" w:line="251" w:lineRule="auto"/>
        <w:tabs>
          <w:tab w:leader="none" w:pos="1824"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Person is infringing, misappropriating or otherwise violating, or has infringed, misappropriated or otherwise violated, any Company Intellectual Property, and no Legal Proceeding has been asserted or is pending or has been threatened against any Person alleging any such infringement, misappropriation or other violation of any Company Intellectual Property, except as would not reasonably be expected to have, individually or in the aggregate, a Company Material Adverse Effect.</w:t>
      </w:r>
    </w:p>
    <w:p>
      <w:pPr>
        <w:spacing w:after="0" w:line="132" w:lineRule="exact"/>
        <w:rPr>
          <w:rFonts w:ascii="Times New Roman" w:cs="Times New Roman" w:eastAsia="Times New Roman" w:hAnsi="Times New Roman"/>
          <w:sz w:val="13"/>
          <w:szCs w:val="13"/>
          <w:color w:val="auto"/>
        </w:rPr>
      </w:pPr>
    </w:p>
    <w:p>
      <w:pPr>
        <w:ind w:left="640" w:right="1099" w:firstLine="1003"/>
        <w:spacing w:after="0" w:line="279" w:lineRule="auto"/>
        <w:tabs>
          <w:tab w:leader="none" w:pos="1822"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taken commercially reasonable steps necessary to maintain and protect the secrecy and confidentiality (including limitations on use) of all Trade Secrets and other confidential information included in the Company Intellectual Property and, to the Knowledge of the Company, there has not been any unauthorized use, disclosure of or access to any such Trade Secrets or other confidential information, except as would not reasonably be expected to have, individually or in the aggregate, a Company Material Adverse Effect.</w:t>
      </w:r>
    </w:p>
    <w:p>
      <w:pPr>
        <w:spacing w:after="0" w:line="116" w:lineRule="exact"/>
        <w:rPr>
          <w:rFonts w:ascii="Times New Roman" w:cs="Times New Roman" w:eastAsia="Times New Roman" w:hAnsi="Times New Roman"/>
          <w:sz w:val="12"/>
          <w:szCs w:val="12"/>
          <w:color w:val="auto"/>
        </w:rPr>
      </w:pPr>
    </w:p>
    <w:p>
      <w:pPr>
        <w:ind w:left="640" w:right="719" w:firstLine="1003"/>
        <w:spacing w:after="0" w:line="268" w:lineRule="auto"/>
        <w:tabs>
          <w:tab w:leader="none" w:pos="1796"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3.12(i)</w:t>
      </w:r>
      <w:r>
        <w:rPr>
          <w:rFonts w:ascii="Times New Roman" w:cs="Times New Roman" w:eastAsia="Times New Roman" w:hAnsi="Times New Roman"/>
          <w:sz w:val="12"/>
          <w:szCs w:val="12"/>
          <w:color w:val="auto"/>
        </w:rPr>
        <w:t xml:space="preserve"> of the Company Disclosure Schedule contains a true and complete list of any and all material Company Intellectual Property that was created, developed or reduced to practice, or is being created, developed or reduced to practice, (i) pursuant to, or in connection with, any Company Contract with any Governmental Authority or Governmental Authority-affiliated Entity, or any university, college or other educational institution or research institute, or (ii) to the Knowledge of the Company, using any funding, facilities or personnel of any Governmental Authority or Governmental Authority-affiliated Entity, or any university, college or other educational institution or research institute (collectively, “</w:t>
      </w:r>
      <w:r>
        <w:rPr>
          <w:rFonts w:ascii="Times New Roman" w:cs="Times New Roman" w:eastAsia="Times New Roman" w:hAnsi="Times New Roman"/>
          <w:sz w:val="12"/>
          <w:szCs w:val="12"/>
          <w:b w:val="1"/>
          <w:bCs w:val="1"/>
          <w:color w:val="auto"/>
        </w:rPr>
        <w:t>Government Funded IP</w:t>
      </w:r>
      <w:r>
        <w:rPr>
          <w:rFonts w:ascii="Times New Roman" w:cs="Times New Roman" w:eastAsia="Times New Roman" w:hAnsi="Times New Roman"/>
          <w:sz w:val="12"/>
          <w:szCs w:val="12"/>
          <w:color w:val="auto"/>
        </w:rPr>
        <w:t>”). The Company, and, to the Knowledge of the Company, each of its licensors with respect to any Government Funded IP, have complied with any and all any Intellectual Property disclosure, licensing and other obligations under any applicable Company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 Company Material Adverse Effect.</w:t>
      </w:r>
    </w:p>
    <w:p>
      <w:pPr>
        <w:spacing w:after="0" w:line="127" w:lineRule="exact"/>
        <w:rPr>
          <w:rFonts w:ascii="Times New Roman" w:cs="Times New Roman" w:eastAsia="Times New Roman" w:hAnsi="Times New Roman"/>
          <w:sz w:val="12"/>
          <w:szCs w:val="12"/>
          <w:color w:val="auto"/>
        </w:rPr>
      </w:pPr>
    </w:p>
    <w:p>
      <w:pPr>
        <w:ind w:left="640" w:right="699" w:firstLine="1003"/>
        <w:spacing w:after="0" w:line="251" w:lineRule="auto"/>
        <w:tabs>
          <w:tab w:leader="none" w:pos="1796"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each item of Company Intellectual Property that is Company Registered IP owned by the Company is and at all times has been filed and maintained in compliance with all applicable Law and all filings, payments, and other actions required to be made or taken to maintain such item of Company Registered IP in full force and effect have been made by the applicable deadline, except as would not reasonably be expected to have, individually or in the aggregate, a Company Material Adverse Effect.</w:t>
      </w:r>
    </w:p>
    <w:p>
      <w:pPr>
        <w:spacing w:after="0" w:line="13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contained in license, distribution and service agreements entered into in the ordinary course of business by Company</w:t>
      </w:r>
    </w:p>
    <w:p>
      <w:pPr>
        <w:spacing w:after="0" w:line="26" w:lineRule="exact"/>
        <w:rPr>
          <w:rFonts w:ascii="Times New Roman" w:cs="Times New Roman" w:eastAsia="Times New Roman" w:hAnsi="Times New Roman"/>
          <w:sz w:val="12"/>
          <w:szCs w:val="12"/>
          <w:color w:val="auto"/>
        </w:rPr>
      </w:pPr>
    </w:p>
    <w:p>
      <w:pPr>
        <w:ind w:left="640" w:right="699" w:hanging="3"/>
        <w:spacing w:after="0" w:line="244" w:lineRule="auto"/>
        <w:tabs>
          <w:tab w:leader="none" w:pos="79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bound by any Company Contract to indemnify, defend, hold harmless, or reimburse any other Person with respect to any infringement, misappropriation, or similar claim relating to Intellectual Property that is material to the Company, taken as a whole and (ii) the Company has not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48" w:name="page49"/>
    <w:bookmarkEnd w:id="48"/>
    <w:p>
      <w:pPr>
        <w:ind w:left="640" w:right="699" w:firstLine="1003"/>
        <w:spacing w:after="0" w:line="248" w:lineRule="auto"/>
        <w:tabs>
          <w:tab w:leader="none" w:pos="1796"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has delivered or made available to Aspen, a complete and accurate copy of all Company Inbound Licenses and all Company Outbound Licenses. With respect to each of the material Company Inbound Licenses and Company Outbound Licenses: (i) to the Knowledge of the Company, each such agreement is valid, binding on, enforceable against the Company, in accordance with its terms, subject to the Enforceability Exceptions, (ii) the Company has not received any written notice of termination or cancellation under such agreement, or received any written notice of breach or default under such agreement, which breach has not been cured or waived and (iii) neither the Company nor to the Knowledge of the Company, no other party to any such agreement, is in breach or default thereof in any material respect.</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55" w:lineRule="auto"/>
        <w:tabs>
          <w:tab w:leader="none" w:pos="1817"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3.13(a)</w:t>
      </w:r>
      <w:r>
        <w:rPr>
          <w:rFonts w:ascii="Times New Roman" w:cs="Times New Roman" w:eastAsia="Times New Roman" w:hAnsi="Times New Roman"/>
          <w:sz w:val="13"/>
          <w:szCs w:val="13"/>
          <w:color w:val="auto"/>
        </w:rPr>
        <w:t xml:space="preserve"> of the Company Disclosure Schedule identifies each of the following types of Company Contracts that is in effect as of the date of this Agreement, other than Company Employee Plans and the definitive agreements in respect of the Contemplated Transactions (each, a “</w:t>
      </w:r>
      <w:r>
        <w:rPr>
          <w:rFonts w:ascii="Times New Roman" w:cs="Times New Roman" w:eastAsia="Times New Roman" w:hAnsi="Times New Roman"/>
          <w:sz w:val="13"/>
          <w:szCs w:val="13"/>
          <w:b w:val="1"/>
          <w:bCs w:val="1"/>
          <w:color w:val="auto"/>
        </w:rPr>
        <w:t>Company Material Contract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Company Material Contracts</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ind w:left="2060" w:hanging="148"/>
        <w:spacing w:after="0"/>
        <w:tabs>
          <w:tab w:leader="none" w:pos="206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constitute Company Convertible Notes;</w:t>
      </w:r>
    </w:p>
    <w:p>
      <w:pPr>
        <w:spacing w:after="0" w:line="77" w:lineRule="exact"/>
        <w:rPr>
          <w:rFonts w:ascii="Times New Roman" w:cs="Times New Roman" w:eastAsia="Times New Roman" w:hAnsi="Times New Roman"/>
          <w:sz w:val="13"/>
          <w:szCs w:val="13"/>
          <w:color w:val="auto"/>
        </w:rPr>
      </w:pPr>
    </w:p>
    <w:p>
      <w:pPr>
        <w:ind w:left="2100" w:hanging="188"/>
        <w:spacing w:after="0"/>
        <w:tabs>
          <w:tab w:leader="none" w:pos="210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relates to any material bonus, deferred compensation, or severance plans or arrangements;</w:t>
      </w:r>
    </w:p>
    <w:p>
      <w:pPr>
        <w:spacing w:after="0" w:line="77" w:lineRule="exact"/>
        <w:rPr>
          <w:rFonts w:ascii="Times New Roman" w:cs="Times New Roman" w:eastAsia="Times New Roman" w:hAnsi="Times New Roman"/>
          <w:sz w:val="13"/>
          <w:szCs w:val="13"/>
          <w:color w:val="auto"/>
        </w:rPr>
      </w:pPr>
    </w:p>
    <w:p>
      <w:pPr>
        <w:ind w:left="2140" w:hanging="228"/>
        <w:spacing w:after="0"/>
        <w:tabs>
          <w:tab w:leader="none" w:pos="214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requiring or otherwise involving payment by or to the Company or any of its Subsidiaries of more than an aggregate of</w:t>
      </w:r>
    </w:p>
    <w:p>
      <w:pPr>
        <w:spacing w:after="0" w:line="15" w:lineRule="exact"/>
        <w:rPr>
          <w:sz w:val="20"/>
          <w:szCs w:val="20"/>
          <w:color w:val="auto"/>
        </w:rPr>
      </w:pPr>
    </w:p>
    <w:p>
      <w:pPr>
        <w:ind w:left="940" w:right="899"/>
        <w:spacing w:after="0" w:line="246" w:lineRule="auto"/>
        <w:rPr>
          <w:sz w:val="20"/>
          <w:szCs w:val="20"/>
          <w:color w:val="auto"/>
        </w:rPr>
      </w:pPr>
      <w:r>
        <w:rPr>
          <w:rFonts w:ascii="Times New Roman" w:cs="Times New Roman" w:eastAsia="Times New Roman" w:hAnsi="Times New Roman"/>
          <w:sz w:val="13"/>
          <w:szCs w:val="13"/>
          <w:color w:val="auto"/>
        </w:rPr>
        <w:t>$250,000 during the fiscal year ending December 31, 2023 (other than indemnification agreements or employment and separation agreements entered into in the ordinary course of business);</w:t>
      </w:r>
    </w:p>
    <w:p>
      <w:pPr>
        <w:spacing w:after="0" w:line="60" w:lineRule="exact"/>
        <w:rPr>
          <w:sz w:val="20"/>
          <w:szCs w:val="20"/>
          <w:color w:val="auto"/>
        </w:rPr>
      </w:pPr>
    </w:p>
    <w:p>
      <w:pPr>
        <w:ind w:left="940" w:right="939" w:firstLine="972"/>
        <w:spacing w:after="0" w:line="267" w:lineRule="auto"/>
        <w:tabs>
          <w:tab w:leader="none" w:pos="2119"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evidencing a commitment by the Company or any of its Subsidiaries to make a future capital expenditure in excess of $250,000 that is not terminable by such Entity upon notice of sixty (60) days or less without penalty or liability;</w:t>
      </w:r>
    </w:p>
    <w:p>
      <w:pPr>
        <w:spacing w:after="0" w:line="46" w:lineRule="exact"/>
        <w:rPr>
          <w:rFonts w:ascii="Times New Roman" w:cs="Times New Roman" w:eastAsia="Times New Roman" w:hAnsi="Times New Roman"/>
          <w:sz w:val="13"/>
          <w:szCs w:val="13"/>
          <w:color w:val="auto"/>
        </w:rPr>
      </w:pPr>
    </w:p>
    <w:p>
      <w:pPr>
        <w:ind w:left="940" w:right="859" w:firstLine="972"/>
        <w:spacing w:after="0" w:line="275" w:lineRule="auto"/>
        <w:tabs>
          <w:tab w:leader="none" w:pos="2084"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requires payments by the Company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any of its Subsidiaries on thirty (30) calendar days’ or less notice without liability, except to the extent general principles of wrongful termination Law may limit the Company’s, or such successor’s ability to terminate employees at will;</w:t>
      </w:r>
    </w:p>
    <w:p>
      <w:pPr>
        <w:spacing w:after="0" w:line="43" w:lineRule="exact"/>
        <w:rPr>
          <w:rFonts w:ascii="Times New Roman" w:cs="Times New Roman" w:eastAsia="Times New Roman" w:hAnsi="Times New Roman"/>
          <w:sz w:val="12"/>
          <w:szCs w:val="12"/>
          <w:color w:val="auto"/>
        </w:rPr>
      </w:pPr>
    </w:p>
    <w:p>
      <w:pPr>
        <w:ind w:left="940" w:right="759" w:firstLine="972"/>
        <w:spacing w:after="0" w:line="251" w:lineRule="auto"/>
        <w:tabs>
          <w:tab w:leader="none" w:pos="2119"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that includes (1) any “most favored nations” terms or conditions, including with respect to pricing, (2) containing exclusivity obligations or otherwise limiting the freedom or right of the Company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49" w:name="page50"/>
    <w:bookmarkEnd w:id="49"/>
    <w:p>
      <w:pPr>
        <w:ind w:left="940" w:right="75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occupy any securities, assets (including Intellectual Property) or other interest of the Company or any of its Subsidiaries or (B) containing any provision or covenant that materially limits, or purports to materially limit, the ability of the Company or any of its Subsidiaries to engage in any line of business (whether generally or in any geographic area) or compete with any Person or in any line of business or geographic area;</w:t>
      </w:r>
    </w:p>
    <w:p>
      <w:pPr>
        <w:spacing w:after="0" w:line="37" w:lineRule="exact"/>
        <w:rPr>
          <w:sz w:val="20"/>
          <w:szCs w:val="20"/>
          <w:color w:val="auto"/>
        </w:rPr>
      </w:pPr>
    </w:p>
    <w:p>
      <w:pPr>
        <w:ind w:left="940" w:right="699" w:firstLine="972"/>
        <w:spacing w:after="0" w:line="255" w:lineRule="auto"/>
        <w:tabs>
          <w:tab w:leader="none" w:pos="2154"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relating to or evidencing indebtedness for borrowed money or any guarantee of indebtedness for borrowed money by the Company or any of its Subsidiaries in excess of $250,000 (excluding loans by the Company to wholly-owned Subsidiaries in the Ordinary Course of Business);</w:t>
      </w:r>
    </w:p>
    <w:p>
      <w:pPr>
        <w:spacing w:after="0" w:line="54" w:lineRule="exact"/>
        <w:rPr>
          <w:rFonts w:ascii="Times New Roman" w:cs="Times New Roman" w:eastAsia="Times New Roman" w:hAnsi="Times New Roman"/>
          <w:sz w:val="13"/>
          <w:szCs w:val="13"/>
          <w:color w:val="auto"/>
        </w:rPr>
      </w:pPr>
    </w:p>
    <w:p>
      <w:pPr>
        <w:ind w:left="940" w:right="799" w:firstLine="972"/>
        <w:spacing w:after="0" w:line="267" w:lineRule="auto"/>
        <w:tabs>
          <w:tab w:leader="none" w:pos="2189"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for or governing the formation of any joint venture, partnership, strategic alliance, research and development collaboration, or similar arrangement;</w:t>
      </w:r>
    </w:p>
    <w:p>
      <w:pPr>
        <w:spacing w:after="0" w:line="46" w:lineRule="exact"/>
        <w:rPr>
          <w:rFonts w:ascii="Times New Roman" w:cs="Times New Roman" w:eastAsia="Times New Roman" w:hAnsi="Times New Roman"/>
          <w:sz w:val="13"/>
          <w:szCs w:val="13"/>
          <w:color w:val="auto"/>
        </w:rPr>
      </w:pPr>
    </w:p>
    <w:p>
      <w:pPr>
        <w:ind w:left="940" w:right="919" w:firstLine="972"/>
        <w:spacing w:after="0" w:line="309" w:lineRule="auto"/>
        <w:tabs>
          <w:tab w:leader="none" w:pos="2119"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is a Contract governing, related to or pertaining to any Company Intellectual Property (other than any confidential information provided under confidentiality agreements) that is material to the Company and its Subsidiaries, taken as a whole;</w:t>
      </w:r>
    </w:p>
    <w:p>
      <w:pPr>
        <w:spacing w:after="0" w:line="23" w:lineRule="exact"/>
        <w:rPr>
          <w:rFonts w:ascii="Times New Roman" w:cs="Times New Roman" w:eastAsia="Times New Roman" w:hAnsi="Times New Roman"/>
          <w:sz w:val="12"/>
          <w:szCs w:val="12"/>
          <w:color w:val="auto"/>
        </w:rPr>
      </w:pPr>
    </w:p>
    <w:p>
      <w:pPr>
        <w:ind w:left="2100" w:hanging="188"/>
        <w:spacing w:after="0"/>
        <w:tabs>
          <w:tab w:leader="none" w:pos="2100"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pursuant to which any Person granted the Company an exclusive license under any Intellectual Property, or</w:t>
      </w:r>
    </w:p>
    <w:p>
      <w:pPr>
        <w:spacing w:after="0" w:line="15"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which the Company or any of its Subsidiaries granted any Person an exclusive license under any Company Intellectual Property;</w:t>
      </w:r>
    </w:p>
    <w:p>
      <w:pPr>
        <w:spacing w:after="0" w:line="76" w:lineRule="exact"/>
        <w:rPr>
          <w:rFonts w:ascii="Times New Roman" w:cs="Times New Roman" w:eastAsia="Times New Roman" w:hAnsi="Times New Roman"/>
          <w:sz w:val="12"/>
          <w:szCs w:val="12"/>
          <w:color w:val="auto"/>
        </w:rPr>
      </w:pPr>
    </w:p>
    <w:p>
      <w:pPr>
        <w:ind w:left="940" w:right="679" w:firstLine="972"/>
        <w:spacing w:after="0" w:line="255" w:lineRule="auto"/>
        <w:tabs>
          <w:tab w:leader="none" w:pos="2119"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has continuing obligations or interests involving (A) “milestone” or other similar contingent payments, including upon the achievement of development, regulatory or commercial milestones, or (B) payment of royalties or other amounts calculated based upon sales, revenue, income or similar measure of the Company or any of its Subsidiaries;</w:t>
      </w:r>
    </w:p>
    <w:p>
      <w:pPr>
        <w:spacing w:after="0" w:line="54" w:lineRule="exact"/>
        <w:rPr>
          <w:rFonts w:ascii="Times New Roman" w:cs="Times New Roman" w:eastAsia="Times New Roman" w:hAnsi="Times New Roman"/>
          <w:sz w:val="13"/>
          <w:szCs w:val="13"/>
          <w:color w:val="auto"/>
        </w:rPr>
      </w:pPr>
    </w:p>
    <w:p>
      <w:pPr>
        <w:ind w:left="940" w:right="919" w:firstLine="972"/>
        <w:spacing w:after="0" w:line="251" w:lineRule="auto"/>
        <w:tabs>
          <w:tab w:leader="none" w:pos="2154"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is a settlement, conciliation or similar Contract with or approved by any Governmental Authority (A) pursuant to which the Company or any of its Subsidiaries will be required after the date of this Agreement to pay any monetary obligations or (B) that contains material obligations or limitations on the conduct of the Company or any of its Subsidiaries (other than customary confidentiality obligations);</w:t>
      </w:r>
    </w:p>
    <w:p>
      <w:pPr>
        <w:spacing w:after="0" w:line="56" w:lineRule="exact"/>
        <w:rPr>
          <w:rFonts w:ascii="Times New Roman" w:cs="Times New Roman" w:eastAsia="Times New Roman" w:hAnsi="Times New Roman"/>
          <w:sz w:val="13"/>
          <w:szCs w:val="13"/>
          <w:color w:val="auto"/>
        </w:rPr>
      </w:pPr>
    </w:p>
    <w:p>
      <w:pPr>
        <w:ind w:left="940" w:right="819" w:firstLine="972"/>
        <w:spacing w:after="0" w:line="267" w:lineRule="auto"/>
        <w:tabs>
          <w:tab w:leader="none" w:pos="2189"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any Governmental Authority, except for materials transfer agreements, agreements with academic institutions and non-disclosure agreements entered into in the Ordinary Course of Business;</w:t>
      </w:r>
    </w:p>
    <w:p>
      <w:pPr>
        <w:spacing w:after="0" w:line="46" w:lineRule="exact"/>
        <w:rPr>
          <w:rFonts w:ascii="Times New Roman" w:cs="Times New Roman" w:eastAsia="Times New Roman" w:hAnsi="Times New Roman"/>
          <w:sz w:val="13"/>
          <w:szCs w:val="13"/>
          <w:color w:val="auto"/>
        </w:rPr>
      </w:pPr>
    </w:p>
    <w:p>
      <w:pPr>
        <w:ind w:left="2180" w:hanging="268"/>
        <w:spacing w:after="0"/>
        <w:tabs>
          <w:tab w:leader="none" w:pos="218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is a clinical trial agreement, clinical study agreement or similar agreement;</w:t>
      </w:r>
    </w:p>
    <w:p>
      <w:pPr>
        <w:spacing w:after="0" w:line="77" w:lineRule="exact"/>
        <w:rPr>
          <w:rFonts w:ascii="Times New Roman" w:cs="Times New Roman" w:eastAsia="Times New Roman" w:hAnsi="Times New Roman"/>
          <w:sz w:val="13"/>
          <w:szCs w:val="13"/>
          <w:color w:val="auto"/>
        </w:rPr>
      </w:pPr>
    </w:p>
    <w:p>
      <w:pPr>
        <w:ind w:left="2160" w:hanging="248"/>
        <w:spacing w:after="0"/>
        <w:tabs>
          <w:tab w:leader="none" w:pos="216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that is a collective bargaining agreement or (B) with any labor organization;</w:t>
      </w:r>
    </w:p>
    <w:p>
      <w:pPr>
        <w:spacing w:after="0" w:line="77" w:lineRule="exact"/>
        <w:rPr>
          <w:rFonts w:ascii="Times New Roman" w:cs="Times New Roman" w:eastAsia="Times New Roman" w:hAnsi="Times New Roman"/>
          <w:sz w:val="13"/>
          <w:szCs w:val="13"/>
          <w:color w:val="auto"/>
        </w:rPr>
      </w:pPr>
    </w:p>
    <w:p>
      <w:pPr>
        <w:ind w:left="940" w:right="659" w:firstLine="972"/>
        <w:spacing w:after="0" w:line="255" w:lineRule="auto"/>
        <w:tabs>
          <w:tab w:leader="none" w:pos="2182"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prohibits the payment of dividends or distributions in respect of the capital stock of the Company or any of its Subsidiaries, the pledging of the capital stock or other equity interests of the Company or any of its Subsidiaries or the issuance of any guaranty by the Company or any of its Subsidiaries;</w:t>
      </w:r>
    </w:p>
    <w:p>
      <w:pPr>
        <w:spacing w:after="0" w:line="54" w:lineRule="exact"/>
        <w:rPr>
          <w:rFonts w:ascii="Times New Roman" w:cs="Times New Roman" w:eastAsia="Times New Roman" w:hAnsi="Times New Roman"/>
          <w:sz w:val="13"/>
          <w:szCs w:val="13"/>
          <w:color w:val="auto"/>
        </w:rPr>
      </w:pPr>
    </w:p>
    <w:p>
      <w:pPr>
        <w:ind w:left="2220" w:hanging="308"/>
        <w:spacing w:after="0"/>
        <w:tabs>
          <w:tab w:leader="none" w:pos="222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relating to the disposition or acquisition of material assets or any ownership interest in any Entity;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0" w:name="page51"/>
    <w:bookmarkEnd w:id="50"/>
    <w:p>
      <w:pPr>
        <w:ind w:left="19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(xviii) requiring payment by or to the Company or any of its Subsidiaries after the date of this Agreement in excess of</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$500,000 pursuant to its express terms relating to: (A) any distribution agreement (identifying any that contain exclusivity provisions), (B) any</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agreement involving provision of services or products with respect to any pre-clinical or clinical development activities of the Company or any of</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its Subsidiaries, (C) any dealer, distributor, joint marketing, alliance, joint venture, cooperation, development or other agreement currently in force</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under which the Company or any of its Subsidiaries has continuing obligations to develop or market any product, technology or service, or any</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agreement pursuant to which the Company or any of its Subsidiaries has continuing obligations to develop any Intellectual Property that will not</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be owned, in whole or in part, by the Company or (D) any Contract to license any patent, trademark registration, service mark registration, trade</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name or copyright registration to or from any third party to manufacture or produce any product, service or technology of the Company or any of</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its Subsidiaries or any Contract to sell, distribute or commercialize any products or service of the Company or any of its Subsidiaries, in each case,</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for Company Contracts entered into in the Ordinary Course of Business;</w:t>
      </w:r>
    </w:p>
    <w:p>
      <w:pPr>
        <w:spacing w:after="0" w:line="65" w:lineRule="exact"/>
        <w:rPr>
          <w:sz w:val="20"/>
          <w:szCs w:val="20"/>
          <w:color w:val="auto"/>
        </w:rPr>
      </w:pPr>
    </w:p>
    <w:p>
      <w:pPr>
        <w:ind w:left="940" w:right="819" w:firstLine="972"/>
        <w:spacing w:after="0" w:line="267" w:lineRule="auto"/>
        <w:tabs>
          <w:tab w:leader="none" w:pos="2182"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any Person, including any financial advisor, broker, finder, investment banker or other Person, providing advisory services to the Company or any of its Subsidiaries in connection with the Contemplated Transactions; or</w:t>
      </w:r>
    </w:p>
    <w:p>
      <w:pPr>
        <w:spacing w:after="0" w:line="46" w:lineRule="exact"/>
        <w:rPr>
          <w:rFonts w:ascii="Times New Roman" w:cs="Times New Roman" w:eastAsia="Times New Roman" w:hAnsi="Times New Roman"/>
          <w:sz w:val="13"/>
          <w:szCs w:val="13"/>
          <w:color w:val="auto"/>
        </w:rPr>
      </w:pPr>
    </w:p>
    <w:p>
      <w:pPr>
        <w:ind w:left="940" w:right="759" w:firstLine="972"/>
        <w:spacing w:after="0" w:line="286" w:lineRule="auto"/>
        <w:tabs>
          <w:tab w:leader="none" w:pos="2147"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was entered into since January 1, 2021 and was entered into with any present or former officer, director or employee of the Company or any of its Subsidiaries (other than indemnification agreements, or any Employee Plans entered into in the ordinary course of business) or (B) is the type of Contract that would be required to be disclosed under Item 404 of Regulation S-K of the Exchange Act.</w:t>
      </w:r>
    </w:p>
    <w:p>
      <w:pPr>
        <w:spacing w:after="0" w:line="113" w:lineRule="exact"/>
        <w:rPr>
          <w:rFonts w:ascii="Times New Roman" w:cs="Times New Roman" w:eastAsia="Times New Roman" w:hAnsi="Times New Roman"/>
          <w:sz w:val="12"/>
          <w:szCs w:val="12"/>
          <w:color w:val="auto"/>
        </w:rPr>
      </w:pPr>
    </w:p>
    <w:p>
      <w:pPr>
        <w:ind w:left="640" w:right="659" w:firstLine="1003"/>
        <w:spacing w:after="0" w:line="246" w:lineRule="auto"/>
        <w:tabs>
          <w:tab w:leader="none" w:pos="182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or made available to Aspen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3.14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79" w:lineRule="auto"/>
        <w:tabs>
          <w:tab w:leader="none" w:pos="1817"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Company and its Subsidiaries is and, since January 1, 2021, has been in compliance in all material respects with all Laws applicable to the Company and its Subsidiaries, and, since January 1, 2021, the Company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 Company Material Adverse Effect.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1" w:name="page52"/>
    <w:bookmarkEnd w:id="51"/>
    <w:p>
      <w:pPr>
        <w:ind w:left="640" w:right="699" w:firstLine="1003"/>
        <w:spacing w:after="0" w:line="246" w:lineRule="auto"/>
        <w:tabs>
          <w:tab w:leader="none" w:pos="182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of the Company and its Subsidiaries holds, and since January 1, 2021 has held, all Governmental Authorizations necessary for the Company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the Company and its Subsidiaries, taken as a whole. The Governmental Authorizations held by the Company and its Subsidiaries are (i) valid and in full force and effect and (ii) are not subject to any administrative or judicial proceeding that would reasonably be expected to result in any termination, suspension, revocation or nonrenewal thereof (and, to the Knowledge of the Company, no such termination, suspension, revocation or nonrenewal has been otherwise threatened in writing), and the Company and its Subsidiaries are in compliance with the terms and requirements thereof, except in the case of each of clauses (i) and (ii) as would not reasonably be expected to be, individually or in the aggregate, material to the Company and its Subsidiaries, taken as a whole.</w:t>
      </w:r>
    </w:p>
    <w:p>
      <w:pPr>
        <w:spacing w:after="0" w:line="137" w:lineRule="exact"/>
        <w:rPr>
          <w:rFonts w:ascii="Times New Roman" w:cs="Times New Roman" w:eastAsia="Times New Roman" w:hAnsi="Times New Roman"/>
          <w:sz w:val="13"/>
          <w:szCs w:val="13"/>
          <w:color w:val="auto"/>
        </w:rPr>
      </w:pPr>
    </w:p>
    <w:p>
      <w:pPr>
        <w:ind w:left="640" w:right="639" w:firstLine="1003"/>
        <w:spacing w:after="0" w:line="246" w:lineRule="auto"/>
        <w:tabs>
          <w:tab w:leader="none" w:pos="1817"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Products are being, and,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 Company Material Adverse Effect. As of the date hereof, neither the Company nor its Subsidiaries nor, to the Knowledge of the Company, any Collaboration Partner has received any written notices or other correspondence from any Drug Governmental Authority or any institutional review board or ethics committee with respect to any ongoing clinical or preclinical studies or trials (i) placing a clinical hold order on any such studies or trials or (ii) otherwise requiring the delay, termination, or suspension of such studies or trials. Since January 1, 2021, neither the Company nor its Subsidiaries nor, to the Knowledge of the Company, any Collaboration Partner has received any Form FDA 483, warning letter, notice of violation, or other written administrative, regulatory or enforcement notice from the FDA or any other Drug Governmental Authority related to the Company Products.</w:t>
      </w:r>
    </w:p>
    <w:p>
      <w:pPr>
        <w:spacing w:after="0" w:line="135"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82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filed with the applicable Drug Governmental Authorities all required material Healthcare Submissions with respect to the Company Products. All filings for Company Governmental Authorizations and Healthcare Submissions were complete and accurate in all material respects and in material compliance with applicable Laws and Orders when filed, or were subsequently corrected or completed by a filing made prior to the date hereof. No deficiencies have been asserted in writing by any applicable Drug Governmental Authority to the Company and its Subsidiaries with respect to any Healthcare Submission, except as are not, and would not reasonably be expected to be, individually or in the aggregate, material to the Company and its Subsidiaries, taken as a whole.</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17"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2021, neither the Company nor its Subsidiaries, nor any authorized person acting on its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 Company Material Adverse Effect.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2" w:name="page53"/>
    <w:bookmarkEnd w:id="52"/>
    <w:p>
      <w:pPr>
        <w:ind w:left="640" w:right="659" w:firstLine="1003"/>
        <w:spacing w:after="0" w:line="267" w:lineRule="auto"/>
        <w:tabs>
          <w:tab w:leader="none" w:pos="1803"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its Subsidiaries, nor any director, officer or employee of the Company or its Subsidiaries (acting in the capacity of a director, officer or employee of the Company) or, to the Knowledge of the Company, any representative or agent of the Company or its Subsidiaries (acting in the capacity of a representative or agent of the Company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w:t>
      </w:r>
    </w:p>
    <w:p>
      <w:pPr>
        <w:spacing w:after="0" w:line="1" w:lineRule="exact"/>
        <w:rPr>
          <w:rFonts w:ascii="Times New Roman" w:cs="Times New Roman" w:eastAsia="Times New Roman" w:hAnsi="Times New Roman"/>
          <w:sz w:val="12"/>
          <w:szCs w:val="12"/>
          <w:color w:val="auto"/>
        </w:rPr>
      </w:pPr>
    </w:p>
    <w:p>
      <w:pPr>
        <w:ind w:left="640" w:right="679" w:hanging="3"/>
        <w:spacing w:after="0" w:line="263" w:lineRule="auto"/>
        <w:tabs>
          <w:tab w:leader="none" w:pos="85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convicted of any crime or engaged in any conduct that would reasonably be expected to result in debarment, exclusion or suspension as described in the foregoing clauses (i), (ii) or (iii); (v) declared ineligible for awards of contracts by any U.S. or non-U.S. federal, state, provincial or other agency;</w:t>
      </w:r>
    </w:p>
    <w:p>
      <w:pPr>
        <w:ind w:left="640" w:right="679" w:hanging="3"/>
        <w:spacing w:after="0" w:line="246" w:lineRule="auto"/>
        <w:tabs>
          <w:tab w:leader="none" w:pos="85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disqualified as a clinical investigator by the FDA or any other Drug Governmental Authority; or (vii) convicted of any offense related to any U.S. or non-U.S. federal, state, provincial or other healthcare program.</w:t>
      </w:r>
    </w:p>
    <w:p>
      <w:pPr>
        <w:spacing w:after="0" w:line="135"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24"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Aspen complete and accurate copies of (i) each investigational new drug application and all material correspondence relating to clinical trial applications submitted to the FDA or any other Drug Governmental Authority by or on behalf of the Company, including any supplements or amendments thereto, relating to any Company Product, (ii) all final preclinical study and clinical trial results or reports relating to any Company Product, (iii) all documents in the possession of the Company or its Subsidiaries related to inspections by any Drug Governmental Authority, in each case relating to any Company Product, (iv) all material information relating to adverse drug experiences, events or reactions or other safety information obtained or otherwise received by the Company relating to any Company Product, and (v) clinical trial databases, clinical trial master files, and statistical programs for ongoing and completed clinical trials and studies in the possession of the Company or its Subsidiaries or, to the Knowledge of the Company, in a Collaboration Partner’s possession, relating to any Company Product. The Company has a complete log of the material correspondence described in clause (i) of this section, except as has not been, and would not reasonably be expected to be, individually or in the aggregate, material to the Company and its Subsidiaries, taken as a whole.</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51" w:lineRule="auto"/>
        <w:tabs>
          <w:tab w:leader="none" w:pos="1817"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Legal Proceeding and, to the Knowledge of the Company, no Person has threatened in writing to commence any Legal Proceeding: (i) that involves the Company or any of its Subsidiaries or any Company Associate (in his or her capacity as such) or any of the material assets owned or used by the Company or any of its Subsidiaries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822"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the Company or any of its Subsidiaries, or any of the material assets owned or used by the Company or any of its Subsidiaries, is subject. To the Knowledge of the Company, no officer or Company Key Employee is subject to any Order that prohibits such officer or Company Key Employee from engaging in or continuing in any conduct, activity or practice relating to the Company or any of its Subsidiaries or any material assets owned or used by the Company or any of its Subsidiaries.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3.16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99" w:firstLine="1003"/>
        <w:spacing w:after="0" w:line="255" w:lineRule="auto"/>
        <w:tabs>
          <w:tab w:leader="none" w:pos="181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the Company and its Subsidiaries have been paid regardless 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3" w:name="page54"/>
    <w:bookmarkEnd w:id="53"/>
    <w:p>
      <w:pPr>
        <w:ind w:left="640" w:right="67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whether such Taxes have been shown as due and payable on any Tax Return. The Company and its Subsidiaries have established on their relevant books and records, in accordance with GAAP, reserves that are adequate for the payment of any income or other material Taxes not yet due and payable. None of the Company and its Subsidiaries currently is the beneficiary of any extension of time within which to file any income or other material Tax Return, other than customary extensions that have been obtained consistent with past practice. There are no Encumbrances on any of the assets of the Company and its Subsidiaries that arose in connection with any failure to pay any material Tax, other than Permitted Encumbrances.</w:t>
      </w:r>
    </w:p>
    <w:p>
      <w:pPr>
        <w:spacing w:after="0" w:line="119" w:lineRule="exact"/>
        <w:rPr>
          <w:sz w:val="20"/>
          <w:szCs w:val="20"/>
          <w:color w:val="auto"/>
        </w:rPr>
      </w:pPr>
    </w:p>
    <w:p>
      <w:pPr>
        <w:ind w:left="640" w:right="659" w:firstLine="1003"/>
        <w:spacing w:after="0" w:line="255" w:lineRule="auto"/>
        <w:tabs>
          <w:tab w:leader="none" w:pos="1824"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be material to the Company and its Subsidiaries, taken as a whole, the Company and its Subsidiaries have:</w:t>
      </w:r>
    </w:p>
    <w:p>
      <w:pPr>
        <w:spacing w:after="0" w:line="26" w:lineRule="exact"/>
        <w:rPr>
          <w:rFonts w:ascii="Times New Roman" w:cs="Times New Roman" w:eastAsia="Times New Roman" w:hAnsi="Times New Roman"/>
          <w:sz w:val="12"/>
          <w:szCs w:val="12"/>
          <w:color w:val="auto"/>
        </w:rPr>
      </w:pPr>
    </w:p>
    <w:p>
      <w:pPr>
        <w:ind w:left="640" w:right="739" w:hanging="3"/>
        <w:spacing w:after="0" w:line="244" w:lineRule="auto"/>
        <w:tabs>
          <w:tab w:leader="none" w:pos="79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w:t>
      </w:r>
    </w:p>
    <w:p>
      <w:pPr>
        <w:spacing w:after="0" w:line="136" w:lineRule="exact"/>
        <w:rPr>
          <w:rFonts w:ascii="Times New Roman" w:cs="Times New Roman" w:eastAsia="Times New Roman" w:hAnsi="Times New Roman"/>
          <w:sz w:val="13"/>
          <w:szCs w:val="13"/>
          <w:color w:val="auto"/>
        </w:rPr>
      </w:pPr>
    </w:p>
    <w:p>
      <w:pPr>
        <w:jc w:val="both"/>
        <w:ind w:left="640" w:right="679" w:firstLine="1003"/>
        <w:spacing w:after="0" w:line="251" w:lineRule="auto"/>
        <w:tabs>
          <w:tab w:leader="none" w:pos="1824"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be material to the Company and its Subsidiaries, taken as a whole, there is no dispute, audits, examinations, assessments or other actions concerning any Tax liability of the Company and its Subsidiaries pending or, to the Knowledge of the Company, threatened by any Governmental Authority against, or with respect to, the Company and its Subsidiaries that remains unpaid, and none of the Company and its Subsidiaries has received written notice of any threatened audits, examinations or assessments relating to any Taxes.</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17"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w:t>
      </w:r>
    </w:p>
    <w:p>
      <w:pPr>
        <w:spacing w:after="0" w:line="130"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803"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and its Subsidiaries has constituted a “distributing corporation” or “controlled corporation” in a distribution of stock intended to qualify for Tax-free treatment under Section 355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w:t>
      </w:r>
    </w:p>
    <w:p>
      <w:pPr>
        <w:spacing w:after="0" w:line="132" w:lineRule="exact"/>
        <w:rPr>
          <w:rFonts w:ascii="Times New Roman" w:cs="Times New Roman" w:eastAsia="Times New Roman" w:hAnsi="Times New Roman"/>
          <w:sz w:val="13"/>
          <w:szCs w:val="13"/>
          <w:color w:val="auto"/>
        </w:rPr>
      </w:pPr>
    </w:p>
    <w:p>
      <w:pPr>
        <w:ind w:left="640" w:right="939" w:firstLine="1003"/>
        <w:spacing w:after="0" w:line="255" w:lineRule="auto"/>
        <w:tabs>
          <w:tab w:leader="none" w:pos="1824"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none of the Company and its Subsidiaries has entered into or been a party to any “listed transaction” within the meaning of Treasury regulations Section 1.6011-4(b)(2) for a taxable period for which the applicable statute of limitations remains open.</w:t>
      </w:r>
    </w:p>
    <w:p>
      <w:pPr>
        <w:spacing w:after="0" w:line="130" w:lineRule="exact"/>
        <w:rPr>
          <w:rFonts w:ascii="Times New Roman" w:cs="Times New Roman" w:eastAsia="Times New Roman" w:hAnsi="Times New Roman"/>
          <w:sz w:val="13"/>
          <w:szCs w:val="13"/>
          <w:color w:val="auto"/>
        </w:rPr>
      </w:pPr>
    </w:p>
    <w:p>
      <w:pPr>
        <w:jc w:val="both"/>
        <w:ind w:left="640" w:right="839" w:firstLine="1003"/>
        <w:spacing w:after="0" w:line="255" w:lineRule="auto"/>
        <w:tabs>
          <w:tab w:leader="none" w:pos="1824"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and its Subsidiaries are party to any agreements relating to the allocation or sharing of Taxes, including Tax indemnity agreements, other than customary commercial contracts entered into in the Ordinary Course of Business the primary purpose of which does not relate to Tax.</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4" w:name="page55"/>
    <w:bookmarkEnd w:id="54"/>
    <w:p>
      <w:pPr>
        <w:ind w:left="640" w:right="759" w:firstLine="1003"/>
        <w:spacing w:after="0" w:line="249" w:lineRule="auto"/>
        <w:tabs>
          <w:tab w:leader="none" w:pos="179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the Company and its Subsidiaries (i) has been a member of an affiliated group of corporations within the meaning of Section 1504 of the Code (or similar provision of local, state or non-U.S. Law), other than any affiliated group of which the Company is the common parent or (ii) 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w:t>
      </w:r>
    </w:p>
    <w:p>
      <w:pPr>
        <w:spacing w:after="0" w:line="134" w:lineRule="exact"/>
        <w:rPr>
          <w:rFonts w:ascii="Times New Roman" w:cs="Times New Roman" w:eastAsia="Times New Roman" w:hAnsi="Times New Roman"/>
          <w:sz w:val="13"/>
          <w:szCs w:val="13"/>
          <w:color w:val="auto"/>
        </w:rPr>
      </w:pPr>
    </w:p>
    <w:p>
      <w:pPr>
        <w:jc w:val="both"/>
        <w:ind w:left="640" w:right="699" w:firstLine="1003"/>
        <w:spacing w:after="0" w:line="251" w:lineRule="auto"/>
        <w:tabs>
          <w:tab w:leader="none" w:pos="179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and its Subsidiaries is subject to Tax in any jurisdiction other than the jurisdiction in which it is organized, by virtue of having a permanent establishment, fixed place of business or, to the Knowledge of the Company, otherwise. As of the date hereof, no claim has been made by a Governmental Authority in a jurisdiction where the Company or any of its Subsidiaries does not file Tax Returns that the Company or any of its Subsidiaries is or may be subject to taxation by that jurisdiction.</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82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and has not been a United States real property holding corporation within the meaning of Section 897(c)(2) of the Code in the last five (5) years.</w:t>
      </w:r>
    </w:p>
    <w:p>
      <w:pPr>
        <w:spacing w:after="0" w:line="122" w:lineRule="exact"/>
        <w:rPr>
          <w:rFonts w:ascii="Times New Roman" w:cs="Times New Roman" w:eastAsia="Times New Roman" w:hAnsi="Times New Roman"/>
          <w:sz w:val="13"/>
          <w:szCs w:val="13"/>
          <w:color w:val="auto"/>
        </w:rPr>
      </w:pPr>
    </w:p>
    <w:p>
      <w:pPr>
        <w:ind w:left="640" w:right="819" w:firstLine="1003"/>
        <w:spacing w:after="0" w:line="255" w:lineRule="auto"/>
        <w:tabs>
          <w:tab w:leader="none" w:pos="179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aware of any facts or circumstances or has taken or agreed to take or refrain from taking any action, in each case, that would reasonably be expected to prevent or impede the Merger from qualifying for the Intended Tax Treatment.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3.17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6" w:lineRule="auto"/>
        <w:tabs>
          <w:tab w:leader="none" w:pos="1817"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the Company and its Subsidiaries, taken as a whole. The Company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w:t>
      </w:r>
    </w:p>
    <w:p>
      <w:pPr>
        <w:spacing w:after="0" w:line="137"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24"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the Company and, as of the date hereof, there is not, to the Knowledge of the Company, any attempt to organize any employees of the Company for the purpose of forming or joining a labor union or works council. Since January 1, 2021 to the date hereof, there has been no strike, slowdown, picketing, lockout, job action, work stoppage, union organizing activity or other labor dispute, or, to the Knowledge of the Company, any threat thereof, affecting the Company or any of its employees.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5" w:name="page56"/>
    <w:bookmarkEnd w:id="55"/>
    <w:p>
      <w:pPr>
        <w:ind w:left="640" w:right="659" w:firstLine="1003"/>
        <w:spacing w:after="0" w:line="248" w:lineRule="auto"/>
        <w:tabs>
          <w:tab w:leader="none" w:pos="1817"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is not, and since January 1, 2021 has not been, any Legal Proceeding pending, or to the Knowledge of the Company,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employee of the Company, including unfair labor practices, misclassification of independent contractors or consultants, unlawful retaliation, discrimination or harassment complaints, in each case that is material to the Company, taken as a whole.</w:t>
      </w:r>
    </w:p>
    <w:p>
      <w:pPr>
        <w:spacing w:after="0" w:line="134" w:lineRule="exact"/>
        <w:rPr>
          <w:rFonts w:ascii="Times New Roman" w:cs="Times New Roman" w:eastAsia="Times New Roman" w:hAnsi="Times New Roman"/>
          <w:sz w:val="13"/>
          <w:szCs w:val="13"/>
          <w:color w:val="auto"/>
        </w:rPr>
      </w:pPr>
    </w:p>
    <w:p>
      <w:pPr>
        <w:ind w:left="640" w:right="779" w:firstLine="1003"/>
        <w:spacing w:after="0" w:line="255" w:lineRule="auto"/>
        <w:tabs>
          <w:tab w:leader="none" w:pos="1824"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the past three (3) years, the Company has not implemented any plant closing or layoff of employees that (in either case) violated the United States Worker Adjustment and Retraining Notification Act, as amended, or any similar state, local or foreign law (together, “</w:t>
      </w:r>
      <w:r>
        <w:rPr>
          <w:rFonts w:ascii="Times New Roman" w:cs="Times New Roman" w:eastAsia="Times New Roman" w:hAnsi="Times New Roman"/>
          <w:sz w:val="13"/>
          <w:szCs w:val="13"/>
          <w:u w:val="single" w:color="auto"/>
          <w:color w:val="auto"/>
        </w:rPr>
        <w:t>WARN</w:t>
      </w:r>
      <w:r>
        <w:rPr>
          <w:rFonts w:ascii="Times New Roman" w:cs="Times New Roman" w:eastAsia="Times New Roman" w:hAnsi="Times New Roman"/>
          <w:sz w:val="13"/>
          <w:szCs w:val="13"/>
          <w:color w:val="auto"/>
        </w:rPr>
        <w:t>”) and the Company has not incurred any material liability under WARN that remains unsatisfied.</w:t>
      </w:r>
    </w:p>
    <w:p>
      <w:pPr>
        <w:spacing w:after="0" w:line="130" w:lineRule="exact"/>
        <w:rPr>
          <w:rFonts w:ascii="Times New Roman" w:cs="Times New Roman" w:eastAsia="Times New Roman" w:hAnsi="Times New Roman"/>
          <w:sz w:val="13"/>
          <w:szCs w:val="13"/>
          <w:color w:val="auto"/>
        </w:rPr>
      </w:pPr>
    </w:p>
    <w:p>
      <w:pPr>
        <w:ind w:left="640" w:right="719" w:firstLine="1003"/>
        <w:spacing w:after="0" w:line="268" w:lineRule="auto"/>
        <w:tabs>
          <w:tab w:leader="none" w:pos="1817"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3.17(e)</w:t>
      </w:r>
      <w:r>
        <w:rPr>
          <w:rFonts w:ascii="Times New Roman" w:cs="Times New Roman" w:eastAsia="Times New Roman" w:hAnsi="Times New Roman"/>
          <w:sz w:val="12"/>
          <w:szCs w:val="12"/>
          <w:color w:val="auto"/>
        </w:rPr>
        <w:t xml:space="preserve"> of the Company Disclosure Schedule sets forth a correct and complete list of each material Company Employee Plan. The Company has made available to Aspen, with respect to each material Company Employee Plan, accurate and complete copies (as applicable) of: (i) all plan documents and all amendments thereto, and all related trust or other funding documents, and in the case of unwritten material Company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w:t>
      </w:r>
    </w:p>
    <w:p>
      <w:pPr>
        <w:ind w:left="640" w:right="779" w:hanging="3"/>
        <w:spacing w:after="0" w:line="245" w:lineRule="auto"/>
        <w:tabs>
          <w:tab w:leader="none" w:pos="854"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Company Employee Plan.</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03"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Employee Plan that is intended to be qualified under Section 401(a) of the Code has received or is permitted to rely upon a favorable determination or opinion letter that it is so qualified, and to the Knowledge of the Company, there are no circumstances that would reasonably be expected to cause the loss of such qualification.</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is not, and would not reasonably be expected to be, individually or in the aggregate, material to the Company and its Subsidiaries, taken as a whole, each Company Employee Plan has been operated, maintained and administered in compliance with its terms and with the requirements prescribed by applicable Laws, including ERISA and the Code. As of the date hereof, no Legal Proceeding or governmental audit is pending with respect to any Company Employee Plan (other than routine claims for benefits) and, to the Knowledge of the Company, no such Legal Proceeding or governmental audit is threatened; and there are no governmental investigations pending or, to the Knowledge of the Company, threatened in connection with any Company Employee Plan, the assets of any trust under any Company Employee Plan or the plan sponsor, the plan administrator or any fiduciary under any Company Employee Plan.</w:t>
      </w:r>
    </w:p>
    <w:p>
      <w:pPr>
        <w:spacing w:after="0" w:line="136"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24"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respective directors, officers, employees or agents has, with respect to any Company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the Company or any Company Employee Plan or for which the Company has any future indemnification obligation, except, in each case, as would not reasonably be expected, individually or in the aggregate, to result in material liability to the Company.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6" w:name="page57"/>
    <w:bookmarkEnd w:id="56"/>
    <w:p>
      <w:pPr>
        <w:ind w:left="640" w:right="679" w:firstLine="1003"/>
        <w:spacing w:after="0" w:line="248" w:lineRule="auto"/>
        <w:tabs>
          <w:tab w:leader="none" w:pos="1796"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the Company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the Company.</w:t>
      </w:r>
    </w:p>
    <w:p>
      <w:pPr>
        <w:spacing w:after="0" w:line="134" w:lineRule="exact"/>
        <w:rPr>
          <w:rFonts w:ascii="Times New Roman" w:cs="Times New Roman" w:eastAsia="Times New Roman" w:hAnsi="Times New Roman"/>
          <w:sz w:val="13"/>
          <w:szCs w:val="13"/>
          <w:color w:val="auto"/>
        </w:rPr>
      </w:pPr>
    </w:p>
    <w:p>
      <w:pPr>
        <w:ind w:left="640" w:right="939" w:firstLine="1003"/>
        <w:spacing w:after="0" w:line="255" w:lineRule="auto"/>
        <w:tabs>
          <w:tab w:leader="none" w:pos="1796"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Company Employee Plan provides for, and the Company does not have any present or future obligation to provide, post-retirement or post-termination health, life insurance or other welfare benefits except as required under Part 6 of Subtitle B of Title I of ERISA or Section 4980B of the Code or similar state Law.</w:t>
      </w:r>
    </w:p>
    <w:p>
      <w:pPr>
        <w:spacing w:after="0" w:line="130" w:lineRule="exact"/>
        <w:rPr>
          <w:rFonts w:ascii="Times New Roman" w:cs="Times New Roman" w:eastAsia="Times New Roman" w:hAnsi="Times New Roman"/>
          <w:sz w:val="13"/>
          <w:szCs w:val="13"/>
          <w:color w:val="auto"/>
        </w:rPr>
      </w:pPr>
    </w:p>
    <w:p>
      <w:pPr>
        <w:ind w:left="640" w:right="1179" w:firstLine="1003"/>
        <w:spacing w:after="0" w:line="267" w:lineRule="auto"/>
        <w:tabs>
          <w:tab w:leader="none" w:pos="182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does not have any obligation to pay or provide any tax “gross-up” or similar “make-whole” payments or indemnities to any current or former employee, officer, director or other service provider of the Company.</w:t>
      </w:r>
    </w:p>
    <w:p>
      <w:pPr>
        <w:spacing w:after="0" w:line="122" w:lineRule="exact"/>
        <w:rPr>
          <w:rFonts w:ascii="Times New Roman" w:cs="Times New Roman" w:eastAsia="Times New Roman" w:hAnsi="Times New Roman"/>
          <w:sz w:val="13"/>
          <w:szCs w:val="13"/>
          <w:color w:val="auto"/>
        </w:rPr>
      </w:pPr>
    </w:p>
    <w:p>
      <w:pPr>
        <w:ind w:left="640" w:right="819" w:firstLine="1003"/>
        <w:spacing w:after="0" w:line="251" w:lineRule="auto"/>
        <w:tabs>
          <w:tab w:leader="none" w:pos="1796"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applicable, all Company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the Company.</w:t>
      </w:r>
    </w:p>
    <w:p>
      <w:pPr>
        <w:spacing w:after="0" w:line="132" w:lineRule="exact"/>
        <w:rPr>
          <w:rFonts w:ascii="Times New Roman" w:cs="Times New Roman" w:eastAsia="Times New Roman" w:hAnsi="Times New Roman"/>
          <w:sz w:val="13"/>
          <w:szCs w:val="13"/>
          <w:color w:val="auto"/>
        </w:rPr>
      </w:pPr>
    </w:p>
    <w:p>
      <w:pPr>
        <w:ind w:left="640" w:right="779" w:firstLine="1003"/>
        <w:spacing w:after="0" w:line="269" w:lineRule="auto"/>
        <w:tabs>
          <w:tab w:leader="none" w:pos="1859"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the Company of any payment or benefit that is or could be characterized as a “parachute payment” (within the meaning of Section 280G of the Code), determined without regard to the application of</w:t>
      </w: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Section 280G(b)(5) of the Code.</w:t>
      </w:r>
    </w:p>
    <w:p>
      <w:pPr>
        <w:spacing w:after="0" w:line="140"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Employee Plan that is a “nonqualified deferred compensation plan” (as such term is defined under</w:t>
      </w:r>
    </w:p>
    <w:p>
      <w:pPr>
        <w:spacing w:after="0" w:line="15" w:lineRule="exact"/>
        <w:rPr>
          <w:sz w:val="20"/>
          <w:szCs w:val="20"/>
          <w:color w:val="auto"/>
        </w:rPr>
      </w:pPr>
    </w:p>
    <w:p>
      <w:pPr>
        <w:ind w:left="640" w:right="1179"/>
        <w:spacing w:after="0" w:line="246" w:lineRule="auto"/>
        <w:rPr>
          <w:sz w:val="20"/>
          <w:szCs w:val="20"/>
          <w:color w:val="auto"/>
        </w:rPr>
      </w:pPr>
      <w:r>
        <w:rPr>
          <w:rFonts w:ascii="Times New Roman" w:cs="Times New Roman" w:eastAsia="Times New Roman" w:hAnsi="Times New Roman"/>
          <w:sz w:val="13"/>
          <w:szCs w:val="13"/>
          <w:color w:val="auto"/>
        </w:rPr>
        <w:t>Section 409A(d)(1) of the Code and the guidance thereunder) has been operated and maintained in compliance in all material respects with the requirements of Section 409A of the Code and the applicable guidance thereunder.</w:t>
      </w:r>
    </w:p>
    <w:p>
      <w:pPr>
        <w:spacing w:after="0" w:line="136"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3.18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7" w:name="page58"/>
    <w:bookmarkEnd w:id="57"/>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3.19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has delivered to Aspen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spacing w:after="0" w:line="139" w:lineRule="exact"/>
        <w:rPr>
          <w:sz w:val="20"/>
          <w:szCs w:val="20"/>
          <w:color w:val="auto"/>
        </w:rPr>
      </w:pPr>
    </w:p>
    <w:p>
      <w:pPr>
        <w:ind w:left="640" w:right="9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No Financial Advisors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130" w:lineRule="exact"/>
        <w:rPr>
          <w:sz w:val="20"/>
          <w:szCs w:val="20"/>
          <w:color w:val="auto"/>
        </w:rPr>
      </w:pPr>
    </w:p>
    <w:p>
      <w:pPr>
        <w:ind w:left="640" w:right="719" w:firstLine="696"/>
        <w:spacing w:after="0" w:line="248" w:lineRule="auto"/>
        <w:rPr>
          <w:sz w:val="20"/>
          <w:szCs w:val="20"/>
          <w:color w:val="auto"/>
        </w:rPr>
      </w:pPr>
      <w:r>
        <w:rPr>
          <w:rFonts w:ascii="Times New Roman" w:cs="Times New Roman" w:eastAsia="Times New Roman" w:hAnsi="Times New Roman"/>
          <w:sz w:val="13"/>
          <w:szCs w:val="13"/>
          <w:color w:val="auto"/>
        </w:rPr>
        <w:t xml:space="preserve">3.21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of the Company Disclosure Schedule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spacing w:after="0" w:line="135"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3.22 </w:t>
      </w:r>
      <w:r>
        <w:rPr>
          <w:rFonts w:ascii="Times New Roman" w:cs="Times New Roman" w:eastAsia="Times New Roman" w:hAnsi="Times New Roman"/>
          <w:sz w:val="13"/>
          <w:szCs w:val="13"/>
          <w:u w:val="single" w:color="auto"/>
          <w:color w:val="auto"/>
        </w:rPr>
        <w:t>Privacy and Data Security</w:t>
      </w:r>
      <w:r>
        <w:rPr>
          <w:rFonts w:ascii="Times New Roman" w:cs="Times New Roman" w:eastAsia="Times New Roman" w:hAnsi="Times New Roman"/>
          <w:sz w:val="13"/>
          <w:szCs w:val="13"/>
          <w:color w:val="auto"/>
        </w:rPr>
        <w:t>. Since January 1, 2021, each of the Company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the Company and its Subsidiaries, taken as a whole. Since January 1, 2021, the Company and its Subsidiaries have complied in all material respects with each of their respective written and published policies concerning the privacy of Personal Information (“</w:t>
      </w:r>
      <w:r>
        <w:rPr>
          <w:rFonts w:ascii="Times New Roman" w:cs="Times New Roman" w:eastAsia="Times New Roman" w:hAnsi="Times New Roman"/>
          <w:sz w:val="13"/>
          <w:szCs w:val="13"/>
          <w:b w:val="1"/>
          <w:bCs w:val="1"/>
          <w:color w:val="auto"/>
        </w:rPr>
        <w:t>Privacy Policies</w:t>
      </w:r>
      <w:r>
        <w:rPr>
          <w:rFonts w:ascii="Times New Roman" w:cs="Times New Roman" w:eastAsia="Times New Roman" w:hAnsi="Times New Roman"/>
          <w:sz w:val="13"/>
          <w:szCs w:val="13"/>
          <w:color w:val="auto"/>
        </w:rPr>
        <w:t>”), if applicable and required. The Company and its Subsidiaries maintain commercially reasonable policies, procedures and security measures with respect to the physical and electronic security and privacy of Personal Information that are designed to achieve compliance in all material respects with Privacy Laws, and the Company and its Subsidiaries are in compliance in all material respects with such policies and procedures. To the Knowledge of the Company, there have been no material breaches or material violations of any security measures of Aspen and its Subsidiaries, or any material unauthorized access, use or disclosure of any Personal Information. None of the Company and its Subsidiaries has received written notice (or, to the Knowledge of the Company, any other communication) of (a) any material violation or breach, or alleged material violation or breach, of Privacy Laws and/or Privacy Policies, or (b) any claims against any of the Company and its Subsidiaries by any Person, and there is no Legal Proceeding pending or, to Knowledge of the Company, threatened against any of the Company and its Subsidiaries, alleging a violation or breach of Privacy Laws and/or Privacy Policies, except in each case as would not be material to the Company and its Subsidiaries, taken as a whole.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8" w:name="page59"/>
    <w:bookmarkEnd w:id="5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3.23 </w:t>
      </w:r>
      <w:r>
        <w:rPr>
          <w:rFonts w:ascii="Times New Roman" w:cs="Times New Roman" w:eastAsia="Times New Roman" w:hAnsi="Times New Roman"/>
          <w:sz w:val="13"/>
          <w:szCs w:val="13"/>
          <w:u w:val="single" w:color="auto"/>
          <w:color w:val="auto"/>
        </w:rPr>
        <w:t>Anti-Corruption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7" w:lineRule="auto"/>
        <w:tabs>
          <w:tab w:leader="none" w:pos="1817"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directly or indirectly (i) given any funds (whether of the Company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campaigns or solicited or accepted any such payment or thing of value, or (iii) violated any provision of any Anti-Corruption Law.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not received any written communication (or, to the Knowledge of the Company, any other communication) that alleges any of the foregoing. To the Knowledge of the Company, the Company has disclosed to Aspen any and all allegations that have been made of any potential wrongdoing by the Company or by any director, officer, employee, agent or representative of the Company (acting in the capacity of a director, officer, employee, agent or representative of the Company) with respect to any Anti-Corruption Law.</w:t>
      </w:r>
    </w:p>
    <w:p>
      <w:pPr>
        <w:spacing w:after="0" w:line="129" w:lineRule="exact"/>
        <w:rPr>
          <w:rFonts w:ascii="Times New Roman" w:cs="Times New Roman" w:eastAsia="Times New Roman" w:hAnsi="Times New Roman"/>
          <w:sz w:val="12"/>
          <w:szCs w:val="12"/>
          <w:color w:val="auto"/>
        </w:rPr>
      </w:pPr>
    </w:p>
    <w:p>
      <w:pPr>
        <w:ind w:left="640" w:right="659" w:firstLine="1003"/>
        <w:spacing w:after="0" w:line="270" w:lineRule="auto"/>
        <w:tabs>
          <w:tab w:leader="none" w:pos="1824"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not, and in the past five (5) years, there have not been, any Legal Proceedings with respect to any Anti-Corruption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made any disclosure (voluntary or otherwise) to any Governmental Authority with respect to any alleged irregularity, misstatement, omission or other potential violation or liability arising under or relating to any Anti-Corruption Law.</w:t>
      </w:r>
    </w:p>
    <w:p>
      <w:pPr>
        <w:spacing w:after="0" w:line="123"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3.24 </w:t>
      </w:r>
      <w:r>
        <w:rPr>
          <w:rFonts w:ascii="Times New Roman" w:cs="Times New Roman" w:eastAsia="Times New Roman" w:hAnsi="Times New Roman"/>
          <w:sz w:val="13"/>
          <w:szCs w:val="13"/>
          <w:u w:val="single" w:color="auto"/>
          <w:color w:val="auto"/>
        </w:rPr>
        <w:t>Sanctions Laws</w:t>
      </w:r>
      <w:r>
        <w:rPr>
          <w:rFonts w:ascii="Times New Roman" w:cs="Times New Roman" w:eastAsia="Times New Roman" w:hAnsi="Times New Roman"/>
          <w:sz w:val="13"/>
          <w:szCs w:val="13"/>
          <w:color w:val="auto"/>
        </w:rPr>
        <w:t>.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in the past five (5) years, there have not been, any Legal Proceedings, allegations, investigations or inquiries concerning any actual or suspected violations of any Sanctions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Neither the Company nor any director, officer or employee of any of the Company, is a Sanctioned Person. In the past five (5) years, the Company has not had, directly or indirectly, any unlawful transactions with or unlawful investments in any Sanctioned Person or Sanctioned Country.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9" w:name="page60"/>
    <w:bookmarkEnd w:id="59"/>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3.25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The Company hereby acknowledges and agrees that, except for the representations and warranties contained in this Agreement, neither Aspen nor any other person on behalf of Aspen makes any express or implied representation or warranty with respect to Aspen or with respect to any other information provided to the Company, any of its stockholders or any of their respective Affiliates in connection with the Contemplated Transactions, and (subject to the express representations and warranties of Aspen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(in each case as qualified and limited by the Aspen Disclosure Schedule)) none of the Company, or any of its Representatives or stockholders, has relied on any such information (including the accuracy or completeness thereof).</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Representations and Warranties of Aspen and Merger Sub</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39" w:firstLine="309"/>
        <w:spacing w:after="0" w:line="247" w:lineRule="auto"/>
        <w:rPr>
          <w:sz w:val="20"/>
          <w:szCs w:val="20"/>
          <w:color w:val="auto"/>
        </w:rPr>
      </w:pPr>
      <w:r>
        <w:rPr>
          <w:rFonts w:ascii="Times New Roman" w:cs="Times New Roman" w:eastAsia="Times New Roman" w:hAnsi="Times New Roman"/>
          <w:sz w:val="13"/>
          <w:szCs w:val="13"/>
          <w:color w:val="auto"/>
        </w:rPr>
        <w:t>Except (i) as set forth in the written disclosure schedule delivered by Aspen to the Company (the “</w:t>
      </w:r>
      <w:r>
        <w:rPr>
          <w:rFonts w:ascii="Times New Roman" w:cs="Times New Roman" w:eastAsia="Times New Roman" w:hAnsi="Times New Roman"/>
          <w:sz w:val="13"/>
          <w:szCs w:val="13"/>
          <w:b w:val="1"/>
          <w:bCs w:val="1"/>
          <w:color w:val="auto"/>
        </w:rPr>
        <w:t>Aspen Disclosure Schedule</w:t>
      </w:r>
      <w:r>
        <w:rPr>
          <w:rFonts w:ascii="Times New Roman" w:cs="Times New Roman" w:eastAsia="Times New Roman" w:hAnsi="Times New Roman"/>
          <w:sz w:val="13"/>
          <w:szCs w:val="13"/>
          <w:color w:val="auto"/>
        </w:rPr>
        <w:t>”) or (ii) as disclosed in the Aspen SEC Documents filed with the SEC prior to the date hereof and publicly available on the SEC’s Electronic Data Gathering Analysis and Retrieval (EDGAR)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Aspen SEC Documents shall be deemed to be disclosed in a section of the Aspen Disclosure Schedule only if it is reasonably apparent from a reading of such Aspen SEC Documents that it would be applicable to such section or subsection of the Aspen Disclosure Schedule, Aspen and Merger Sub represent and warrant to the Company as follows: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Due Organization; Subsidiaries.</w:t>
      </w:r>
    </w:p>
    <w:p>
      <w:pPr>
        <w:spacing w:after="0" w:line="154" w:lineRule="exact"/>
        <w:rPr>
          <w:sz w:val="20"/>
          <w:szCs w:val="20"/>
          <w:color w:val="auto"/>
        </w:rPr>
      </w:pPr>
    </w:p>
    <w:p>
      <w:pPr>
        <w:ind w:left="640" w:right="659" w:firstLine="1003"/>
        <w:spacing w:after="0" w:line="248" w:lineRule="auto"/>
        <w:tabs>
          <w:tab w:leader="none" w:pos="1817"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Aspen and its Subsidiaries (including Merger Sub)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Since the date of their formation, Merger Sub have not engaged in any activities other than in connection with or as contemplated by this Agreement. All of Aspen’s Subsidiaries are wholly owned by Aspen.</w:t>
      </w:r>
    </w:p>
    <w:p>
      <w:pPr>
        <w:spacing w:after="0" w:line="134" w:lineRule="exact"/>
        <w:rPr>
          <w:rFonts w:ascii="Times New Roman" w:cs="Times New Roman" w:eastAsia="Times New Roman" w:hAnsi="Times New Roman"/>
          <w:sz w:val="13"/>
          <w:szCs w:val="13"/>
          <w:color w:val="auto"/>
        </w:rPr>
      </w:pPr>
    </w:p>
    <w:p>
      <w:pPr>
        <w:jc w:val="both"/>
        <w:ind w:left="640" w:right="679" w:firstLine="1003"/>
        <w:spacing w:after="0" w:line="251" w:lineRule="auto"/>
        <w:tabs>
          <w:tab w:leader="none" w:pos="1824"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Aspen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Aspen Material Adverse Effect.</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72" w:lineRule="auto"/>
        <w:tabs>
          <w:tab w:leader="none" w:pos="1817"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4.1(c)</w:t>
      </w:r>
      <w:r>
        <w:rPr>
          <w:rFonts w:ascii="Times New Roman" w:cs="Times New Roman" w:eastAsia="Times New Roman" w:hAnsi="Times New Roman"/>
          <w:sz w:val="12"/>
          <w:szCs w:val="12"/>
          <w:color w:val="auto"/>
        </w:rPr>
        <w:t xml:space="preserve"> of the Aspen Disclosure Schedule, Aspen has no Subsidiaries other than Merger Sub and Aspen does not own any capital stock of, or any equity ownership or profit sharing interest of any nature in, or control directly or indirectly, any other Entity other than Merger Sub. Aspen is not and has not otherwise been, directly or indirectly, a party to, member of or participant in any partnership, joint venture or similar business entity. Aspen has not agreed and is not obligated to make, nor is Aspen bound by any Contract under which it may become obligated to make, any future investment in or capital contribution to any other Entity. Aspen has not, at any time, been a general partner of, and has not otherwise been liable for any of the debts or other obligations of, any general partnership, limited partnership or other Entity.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60" w:name="page61"/>
    <w:bookmarkEnd w:id="60"/>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 </w:t>
      </w:r>
      <w:r>
        <w:rPr>
          <w:rFonts w:ascii="Times New Roman" w:cs="Times New Roman" w:eastAsia="Times New Roman" w:hAnsi="Times New Roman"/>
          <w:sz w:val="12"/>
          <w:szCs w:val="12"/>
          <w:u w:val="single" w:color="auto"/>
          <w:color w:val="auto"/>
        </w:rPr>
        <w:t>Organizational Documents</w:t>
      </w:r>
      <w:r>
        <w:rPr>
          <w:rFonts w:ascii="Times New Roman" w:cs="Times New Roman" w:eastAsia="Times New Roman" w:hAnsi="Times New Roman"/>
          <w:sz w:val="12"/>
          <w:szCs w:val="12"/>
          <w:color w:val="auto"/>
        </w:rPr>
        <w:t>. Aspen has delivered to the Company accurate and complete copies of Aspen’s Organizational Documents.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Aspen is not in breach or violation of its Organizational Documents in any material respect.</w:t>
      </w:r>
    </w:p>
    <w:p>
      <w:pPr>
        <w:spacing w:after="0" w:line="141"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u w:val="single" w:color="auto"/>
          <w:color w:val="auto"/>
        </w:rPr>
        <w:t>Authority; Binding Nature of Agreement</w:t>
      </w:r>
      <w:r>
        <w:rPr>
          <w:rFonts w:ascii="Times New Roman" w:cs="Times New Roman" w:eastAsia="Times New Roman" w:hAnsi="Times New Roman"/>
          <w:sz w:val="12"/>
          <w:szCs w:val="12"/>
          <w:color w:val="auto"/>
        </w:rPr>
        <w:t>. Subject to obtaining the Required Aspen Stockholder Vote and the Aspen stockholder approval of the other Aspen Stockholder Matters (and with respect to the Equity Plan Proposals, in a form reasonably acceptable to Aspen as contemplated by the definition of such term), each of Aspen and Merger Sub has all necessary corporate power and authority to enter into and to perform its obligations under this Agreement and to consummate the Contemplated Transactions that are contemplated to be consummated by it. The Aspen Board (at meetings duly called and held) has: (a) determined that the Contemplated Transactions are fair to, advisable and in the best interests of Aspen and its stockholders, (b) approved and declared advisable this Agreement and the Contemplated Transactions, including the issuance of shares of Aspen Common Stock to the stockholders of the Company pursuant to the terms of this Agreement and (c) determined to recommend, upon the terms and subject to the conditions set forth in this Agreement, that the stockholders of Aspen vote to approve the Aspen Stockholder Matters.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Aspen and Merger Sub and, assuming the due authorization, execution and delivery by the Company, constitutes the legal, valid and binding obligation of Aspen and Merger Sub, enforceable against each of Aspen and Merger Sub in accordance with its terms, subject to the Enforceability Exceptions.</w:t>
      </w:r>
    </w:p>
    <w:p>
      <w:pPr>
        <w:spacing w:after="0" w:line="279"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The affirmative vote of (i) the holders of a majority of the shares of Aspen Common Stock properly cast is the only vote of the holders of any class or series of Aspen’s capital stock necessary to approve the issuance of shares of Aspen Common Stock to the stockholders of the Company pursuant to the terms of this Agreement and (ii) the holders of a number of shares of Aspen Common Stock as required by Law is the only vote of the holders of any class or series of Aspen’s capital stock necessary to approve an amendment to the Aspen Charter to effect the Nasdaq Reverse Split (collectively, the “</w:t>
      </w:r>
      <w:r>
        <w:rPr>
          <w:rFonts w:ascii="Times New Roman" w:cs="Times New Roman" w:eastAsia="Times New Roman" w:hAnsi="Times New Roman"/>
          <w:sz w:val="13"/>
          <w:szCs w:val="13"/>
          <w:b w:val="1"/>
          <w:bCs w:val="1"/>
          <w:color w:val="auto"/>
        </w:rPr>
        <w:t>Required Aspen Stockholder Vote</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1003"/>
        <w:spacing w:after="0" w:line="251" w:lineRule="auto"/>
        <w:tabs>
          <w:tab w:leader="none" w:pos="1817"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Aspen Stockholder Vote and the Aspen stockholder approval of the other Aspen Stockholder Matters, the Aspen stockholder approval of the other Aspen Stockholder Matters and the filing of the Certificate of Merger required by the DGCL, neither (x) the execution, delivery or performance of this Agreement by Aspen or Merger Sub, nor (y) the consummation of the Contemplated Transactions, will directly or indirectly (with or without notice or lapse of time):</w:t>
      </w:r>
    </w:p>
    <w:p>
      <w:pPr>
        <w:spacing w:after="0" w:line="56" w:lineRule="exact"/>
        <w:rPr>
          <w:rFonts w:ascii="Times New Roman" w:cs="Times New Roman" w:eastAsia="Times New Roman" w:hAnsi="Times New Roman"/>
          <w:sz w:val="13"/>
          <w:szCs w:val="13"/>
          <w:color w:val="auto"/>
        </w:rPr>
      </w:pPr>
    </w:p>
    <w:p>
      <w:pPr>
        <w:ind w:left="2060" w:hanging="148"/>
        <w:spacing w:after="0"/>
        <w:tabs>
          <w:tab w:leader="none" w:pos="206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of any of the provisions of the Organizational Documents of Aspen or its</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Subsidiaries;</w:t>
      </w:r>
    </w:p>
    <w:p>
      <w:pPr>
        <w:spacing w:after="0" w:line="65" w:lineRule="exact"/>
        <w:rPr>
          <w:rFonts w:ascii="Times New Roman" w:cs="Times New Roman" w:eastAsia="Times New Roman" w:hAnsi="Times New Roman"/>
          <w:sz w:val="12"/>
          <w:szCs w:val="12"/>
          <w:color w:val="auto"/>
        </w:rPr>
      </w:pPr>
    </w:p>
    <w:p>
      <w:pPr>
        <w:ind w:left="940" w:right="759" w:firstLine="972"/>
        <w:spacing w:after="0" w:line="255" w:lineRule="auto"/>
        <w:tabs>
          <w:tab w:leader="none" w:pos="2091"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to which Aspen or its Subsidiaries or any of the assets owned or used by Aspen or its Subsidiaries, is subject;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1" w:name="page62"/>
    <w:bookmarkEnd w:id="61"/>
    <w:p>
      <w:pPr>
        <w:ind w:left="940" w:right="699" w:firstLine="972"/>
        <w:spacing w:after="0" w:line="255" w:lineRule="auto"/>
        <w:tabs>
          <w:tab w:leader="none" w:pos="2126" w:val="left"/>
        </w:tabs>
        <w:numPr>
          <w:ilvl w:val="2"/>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contravene, conflict with or result in a material violation of any of the terms or requirements of, or give any Governmental Authority the right to revoke, withdraw, suspend, cancel, terminate or modify, any Governmental Authorization that is held by Aspen or its Subsidiaries or that otherwise relates to the business of Aspen, or any of the assets owned, leased or used by Aspen; or</w:t>
      </w:r>
    </w:p>
    <w:p>
      <w:pPr>
        <w:spacing w:after="0" w:line="54" w:lineRule="exact"/>
        <w:rPr>
          <w:rFonts w:ascii="Times New Roman" w:cs="Times New Roman" w:eastAsia="Times New Roman" w:hAnsi="Times New Roman"/>
          <w:sz w:val="13"/>
          <w:szCs w:val="13"/>
          <w:color w:val="auto"/>
        </w:rPr>
      </w:pPr>
    </w:p>
    <w:p>
      <w:pPr>
        <w:ind w:left="940" w:right="719" w:firstLine="972"/>
        <w:spacing w:after="0" w:line="249" w:lineRule="auto"/>
        <w:tabs>
          <w:tab w:leader="none" w:pos="2119" w:val="left"/>
        </w:tabs>
        <w:numPr>
          <w:ilvl w:val="2"/>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a default (or an event that with notice or lapse of time or both would result in a default), give right to a right of termination, cancellation or acceleration of any obligation or loss of a material benefit of Aspen or any of its Subsidiaries, or result in the creation of any Encumbrance (other than Permitted Encumbrances) upon any of the properties or assets of Aspen or any of its Subsidiaries, in each case under any Aspen Material Contract and in each case except as would not be reasonably expected to have, individually or in the aggregate, an Aspen Material Adverse Effect.</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(i) the Required Aspen Stockholder Vote and the Aspen stockholder approval of the other Aspen Stockholder Matters,</w:t>
      </w:r>
    </w:p>
    <w:p>
      <w:pPr>
        <w:spacing w:after="0" w:line="26" w:lineRule="exact"/>
        <w:rPr>
          <w:rFonts w:ascii="Times New Roman" w:cs="Times New Roman" w:eastAsia="Times New Roman" w:hAnsi="Times New Roman"/>
          <w:sz w:val="12"/>
          <w:szCs w:val="12"/>
          <w:color w:val="auto"/>
        </w:rPr>
      </w:pPr>
    </w:p>
    <w:p>
      <w:pPr>
        <w:jc w:val="center"/>
        <w:ind w:left="640" w:right="679" w:hanging="3"/>
        <w:spacing w:after="0" w:line="263" w:lineRule="auto"/>
        <w:tabs>
          <w:tab w:leader="none" w:pos="826"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filing of the Certificate of Merger with the Secretary of State of Delaware pursuant to the DGCL, and (iii) such consents, waivers, approvals, orders authorizations, registrations, declarations and filings as may be required under applicable federal and state securities laws, neither Aspen nor any of its Subsidiaries was, is or will be required to make any filing with or give any notice to, or to obtain any Consent from, any Person in connection with</w:t>
      </w:r>
    </w:p>
    <w:p>
      <w:pPr>
        <w:spacing w:after="0" w:line="1" w:lineRule="exact"/>
        <w:rPr>
          <w:rFonts w:ascii="Times New Roman" w:cs="Times New Roman" w:eastAsia="Times New Roman" w:hAnsi="Times New Roman"/>
          <w:sz w:val="12"/>
          <w:szCs w:val="12"/>
          <w:color w:val="auto"/>
        </w:rPr>
      </w:pPr>
    </w:p>
    <w:p>
      <w:pPr>
        <w:ind w:left="640" w:right="819" w:hanging="3"/>
        <w:spacing w:after="0" w:line="244" w:lineRule="auto"/>
        <w:tabs>
          <w:tab w:leader="none" w:pos="819"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or performance of this Agreement or (y) the consummation of the Contemplated Transactions (in each case except under Aspen Contracts that are not Aspen Material Contracts, and in the case of such filings, notices or Consents under Aspen Material Contracts, except as the failure to make such filing, give such notice or obtain such Consent would not reasonably expected to have, individually or in the aggregate, an Aspen Material Adverse Effect).</w:t>
      </w:r>
    </w:p>
    <w:p>
      <w:pPr>
        <w:spacing w:after="0" w:line="137" w:lineRule="exact"/>
        <w:rPr>
          <w:rFonts w:ascii="Times New Roman" w:cs="Times New Roman" w:eastAsia="Times New Roman" w:hAnsi="Times New Roman"/>
          <w:sz w:val="13"/>
          <w:szCs w:val="13"/>
          <w:color w:val="auto"/>
        </w:rPr>
      </w:pPr>
    </w:p>
    <w:p>
      <w:pPr>
        <w:ind w:left="640" w:right="759" w:firstLine="1003"/>
        <w:spacing w:after="0" w:line="251" w:lineRule="auto"/>
        <w:tabs>
          <w:tab w:leader="none" w:pos="1817"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Aspen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51" w:lineRule="auto"/>
        <w:tabs>
          <w:tab w:leader="none" w:pos="1817"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Aspen consists of (i) 160,000,000 shares of Aspen Common Stock of which 44,658,511 shares have been issued and are outstanding as of January 26, 2024 (the “</w:t>
      </w:r>
      <w:r>
        <w:rPr>
          <w:rFonts w:ascii="Times New Roman" w:cs="Times New Roman" w:eastAsia="Times New Roman" w:hAnsi="Times New Roman"/>
          <w:sz w:val="13"/>
          <w:szCs w:val="13"/>
          <w:b w:val="1"/>
          <w:bCs w:val="1"/>
          <w:color w:val="auto"/>
        </w:rPr>
        <w:t>Capitalization Date</w:t>
      </w:r>
      <w:r>
        <w:rPr>
          <w:rFonts w:ascii="Times New Roman" w:cs="Times New Roman" w:eastAsia="Times New Roman" w:hAnsi="Times New Roman"/>
          <w:sz w:val="13"/>
          <w:szCs w:val="13"/>
          <w:color w:val="auto"/>
        </w:rPr>
        <w:t>”) and (ii) 10,000,000 shares of undesignated preferred stock, par value $0.0001 per share, of which no shares have been issued and are outstanding as of the Capitalization Date. Aspen does not hold any shares of its capital stock in its treasury.</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24"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outstanding shares of Aspen Common Stock have been duly authorized and validly issued, and are fully paid and nonassessable and are free of any Encumbrances. None of the outstanding shares of Aspen Common Stock is entitled or subject to any preemptive right, right of participation, right of maintenance or any similar right. None of the outstanding shares of Aspen Common Stock is subject to any right of first refusal in favor of Aspen. Except as contemplated herein,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2" w:name="page63"/>
    <w:bookmarkEnd w:id="62"/>
    <w:p>
      <w:pPr>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there is no Aspen Contract relating to the voting or registration of, or restricting any Person from purchasing, selling, pledging or otherwise disposing of (or granting any option or similar right with respect to), any shares of Aspen Common Stock. Aspen is not under any obligation, nor is Aspen bound by any Contract pursuant to which it may become obligated, to repurchase, redeem or otherwise acquire any outstanding shares of Aspen Common Stock or other securities. </w:t>
      </w:r>
      <w:r>
        <w:rPr>
          <w:rFonts w:ascii="Times New Roman" w:cs="Times New Roman" w:eastAsia="Times New Roman" w:hAnsi="Times New Roman"/>
          <w:sz w:val="12"/>
          <w:szCs w:val="12"/>
          <w:u w:val="single" w:color="auto"/>
          <w:color w:val="auto"/>
        </w:rPr>
        <w:t>Section 4.6(b)</w:t>
      </w:r>
      <w:r>
        <w:rPr>
          <w:rFonts w:ascii="Times New Roman" w:cs="Times New Roman" w:eastAsia="Times New Roman" w:hAnsi="Times New Roman"/>
          <w:sz w:val="12"/>
          <w:szCs w:val="12"/>
          <w:color w:val="auto"/>
        </w:rPr>
        <w:t xml:space="preserve"> of the Aspen Disclosure Schedule accurately and completely describes all repurchase rights held by Aspen with respect to shares of Aspen Common Stock (including shares issued pursuant to the exercise of stock options) and specifies which of those repurchase rights are currently exercisable. With respect to any equity securities in Aspen subject to a “substantial risk of forfeiture” (within the meaning of Code Section 83 and the Treasury Regulations promulgated thereunder), the applicable holder thereof made a valid Code Section 83(b) election.</w:t>
      </w:r>
    </w:p>
    <w:p>
      <w:pPr>
        <w:spacing w:after="0" w:line="122" w:lineRule="exact"/>
        <w:rPr>
          <w:sz w:val="20"/>
          <w:szCs w:val="20"/>
          <w:color w:val="auto"/>
        </w:rPr>
      </w:pPr>
    </w:p>
    <w:p>
      <w:pPr>
        <w:ind w:left="640" w:right="659" w:firstLine="1003"/>
        <w:spacing w:after="0" w:line="265" w:lineRule="auto"/>
        <w:tabs>
          <w:tab w:leader="none" w:pos="1817"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Aspen’s Amended and Restated 2015 Stock Option and Grant Plan, 2018 Stock Option and Incentive Plan, 2019 Inducement Plan, and 2020 Inducement Plan, each, as may be amended (the “</w:t>
      </w:r>
      <w:r>
        <w:rPr>
          <w:rFonts w:ascii="Times New Roman" w:cs="Times New Roman" w:eastAsia="Times New Roman" w:hAnsi="Times New Roman"/>
          <w:sz w:val="12"/>
          <w:szCs w:val="12"/>
          <w:b w:val="1"/>
          <w:bCs w:val="1"/>
          <w:color w:val="auto"/>
        </w:rPr>
        <w:t>Aspen Stock Plans</w:t>
      </w:r>
      <w:r>
        <w:rPr>
          <w:rFonts w:ascii="Times New Roman" w:cs="Times New Roman" w:eastAsia="Times New Roman" w:hAnsi="Times New Roman"/>
          <w:sz w:val="12"/>
          <w:szCs w:val="12"/>
          <w:color w:val="auto"/>
        </w:rPr>
        <w:t>”) and the Aspen 2018 Employee Stock Purchase Plan, as amended (the “</w:t>
      </w:r>
      <w:r>
        <w:rPr>
          <w:rFonts w:ascii="Times New Roman" w:cs="Times New Roman" w:eastAsia="Times New Roman" w:hAnsi="Times New Roman"/>
          <w:sz w:val="12"/>
          <w:szCs w:val="12"/>
          <w:b w:val="1"/>
          <w:bCs w:val="1"/>
          <w:color w:val="auto"/>
        </w:rPr>
        <w:t>Aspen ESPP</w:t>
      </w:r>
      <w:r>
        <w:rPr>
          <w:rFonts w:ascii="Times New Roman" w:cs="Times New Roman" w:eastAsia="Times New Roman" w:hAnsi="Times New Roman"/>
          <w:sz w:val="12"/>
          <w:szCs w:val="12"/>
          <w:color w:val="auto"/>
        </w:rPr>
        <w:t xml:space="preserve">”), and except as set forth on </w:t>
      </w:r>
      <w:r>
        <w:rPr>
          <w:rFonts w:ascii="Times New Roman" w:cs="Times New Roman" w:eastAsia="Times New Roman" w:hAnsi="Times New Roman"/>
          <w:sz w:val="12"/>
          <w:szCs w:val="12"/>
          <w:u w:val="single" w:color="auto"/>
          <w:color w:val="auto"/>
        </w:rPr>
        <w:t>Section 4.6(c)</w:t>
      </w:r>
      <w:r>
        <w:rPr>
          <w:rFonts w:ascii="Times New Roman" w:cs="Times New Roman" w:eastAsia="Times New Roman" w:hAnsi="Times New Roman"/>
          <w:sz w:val="12"/>
          <w:szCs w:val="12"/>
          <w:color w:val="auto"/>
        </w:rPr>
        <w:t xml:space="preserve"> of the Aspen Disclosure Schedule, Aspen does not have any stock option plan or any other plan, program, agreement or arrangement providing for any equity-based compensation for any Person. As of the Capitalization Date, Aspen has reserved 63,538,248 shares of Aspen Common Stock for issuance under the Aspen Stock Plans, of which 44,658,511 shares have been issued and are currently outstanding, 6,141,130 shares have been reserved for issuance upon exercise or settlement of Aspen Options and Aspen Restricted Stock Units, as applicable, granted under the Aspen Stock Plans, and 12,738,607 shares remain available for future issuance pursuant to the Aspen Stock Plans. As of the Capitalization Date, Aspen has reserved 1,766,979 shares of Aspen Common Stock for future issuance pursuant to the Aspen ESPP (of which 302,831 shares have been issued and are currently outstanding). Section 4.6(c)(i) of the Aspen Disclosure Schedule sets forth the following information with respect to each Aspen Option and Aspen Restricted Stock Unit outstanding as of the Capitalization Date, as applicable: (i) the name of the holder, (ii) the number of shares of Aspen Common Stock subject to such Aspen Option and Aspen Restricted Stock Units at the time of grant,</w:t>
      </w:r>
    </w:p>
    <w:p>
      <w:pPr>
        <w:spacing w:after="0" w:line="4" w:lineRule="exact"/>
        <w:rPr>
          <w:rFonts w:ascii="Times New Roman" w:cs="Times New Roman" w:eastAsia="Times New Roman" w:hAnsi="Times New Roman"/>
          <w:sz w:val="12"/>
          <w:szCs w:val="12"/>
          <w:color w:val="auto"/>
        </w:rPr>
      </w:pPr>
    </w:p>
    <w:p>
      <w:pPr>
        <w:ind w:left="860" w:hanging="223"/>
        <w:spacing w:after="0"/>
        <w:tabs>
          <w:tab w:leader="none" w:pos="86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Aspen Common Stock subject to such Aspen Option and Aspen Restricted Stock Units as of the Capitalization Date,</w:t>
      </w:r>
    </w:p>
    <w:p>
      <w:pPr>
        <w:spacing w:after="0" w:line="2" w:lineRule="exact"/>
        <w:rPr>
          <w:rFonts w:ascii="Times New Roman" w:cs="Times New Roman" w:eastAsia="Times New Roman" w:hAnsi="Times New Roman"/>
          <w:sz w:val="13"/>
          <w:szCs w:val="13"/>
          <w:color w:val="auto"/>
        </w:rPr>
      </w:pPr>
    </w:p>
    <w:p>
      <w:pPr>
        <w:ind w:left="640" w:right="659" w:hanging="3"/>
        <w:spacing w:after="0" w:line="244" w:lineRule="auto"/>
        <w:tabs>
          <w:tab w:leader="none" w:pos="854"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exercise price of such Aspen Option, (v) the date on which such Aspen Option and Aspen Restricted Stock Units was granted, (vi) the applicable vesting schedule, including any acceleration provisions and the number of vested and unvested shares as of the Capitalization Date, (vii) the date on which such Aspen Option expires, (viii) whether such Aspen Option is intended to be an “incentive stock option” (as defined in the Code) or a nonqualified stock option and (ix) in the case of an Aspen Option, the plan pursuant to which such Aspen Option was granted. Aspen has made available to the Company accurate and complete copies of equity incentive plans pursuant to which Aspen has equity-based awards, the forms of all award agreements evidencing such equity-based awards and evidence of board and stockholder approval of the Aspen Stock Plans and any amendments thereto.</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the outstanding Aspen Options and Aspen Restricted Stock Units or as set forth on </w:t>
      </w:r>
      <w:r>
        <w:rPr>
          <w:rFonts w:ascii="Times New Roman" w:cs="Times New Roman" w:eastAsia="Times New Roman" w:hAnsi="Times New Roman"/>
          <w:sz w:val="13"/>
          <w:szCs w:val="13"/>
          <w:u w:val="single" w:color="auto"/>
          <w:color w:val="auto"/>
        </w:rPr>
        <w:t>Section 4.6(d)</w:t>
      </w:r>
      <w:r>
        <w:rPr>
          <w:rFonts w:ascii="Times New Roman" w:cs="Times New Roman" w:eastAsia="Times New Roman" w:hAnsi="Times New Roman"/>
          <w:sz w:val="13"/>
          <w:szCs w:val="13"/>
          <w:color w:val="auto"/>
        </w:rPr>
        <w:t xml:space="preserve"> of the Aspen Disclosure Schedule, there is no: (i) outstanding subscription, option, call, warrant or right (whether or not currently exercisable) to acquire any shares of the capital stock or other securities of Aspen, (ii) outstanding security, instrument or obligation that is or may become convertible into or exchangeable for any shares of the capital stock or other securities of Aspen, (iii) stockholder rights plan (or similar plan commonly referred to as a “poison pill”) or Contract under which Aspen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Aspen. There are no outstanding or authorized stock appreciation, phantom stock, profit participation or other similar rights with respect to Aspen. The treatment of the Aspen Options and the Aspen Restricted Stock Units under this Agreement do not violate the terms of the Applicable Aspen Stock Plan.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3" w:name="page64"/>
    <w:bookmarkEnd w:id="63"/>
    <w:p>
      <w:pPr>
        <w:ind w:left="640" w:right="879" w:firstLine="1003"/>
        <w:spacing w:after="0" w:line="255" w:lineRule="auto"/>
        <w:tabs>
          <w:tab w:leader="none" w:pos="1817"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outstanding shares of Aspen Common Stock, Aspen Options, Aspen Restricted Stock Units and other securities of Aspen have been issued and granted in compliance with (i) all applicable securities Laws and other applicable Law and (ii) all requirements set forth in applicable Contracts.</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71" w:lineRule="auto"/>
        <w:tabs>
          <w:tab w:leader="none" w:pos="1803"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Aspen Options and Aspen Restricted Stock Units granted pursuant to the Aspen Stock Plans, (i) each grant of an Aspen Option or Aspen Restricted Stock Unit was duly authorized no later than the date on which the grant of such Aspen Option and Aspen Restricted Stock Unit was by its terms to be effective (the “</w:t>
      </w:r>
      <w:r>
        <w:rPr>
          <w:rFonts w:ascii="Times New Roman" w:cs="Times New Roman" w:eastAsia="Times New Roman" w:hAnsi="Times New Roman"/>
          <w:sz w:val="12"/>
          <w:szCs w:val="12"/>
          <w:b w:val="1"/>
          <w:bCs w:val="1"/>
          <w:color w:val="auto"/>
        </w:rPr>
        <w:t>Aspen Grant Date</w:t>
      </w:r>
      <w:r>
        <w:rPr>
          <w:rFonts w:ascii="Times New Roman" w:cs="Times New Roman" w:eastAsia="Times New Roman" w:hAnsi="Times New Roman"/>
          <w:sz w:val="12"/>
          <w:szCs w:val="12"/>
          <w:color w:val="auto"/>
        </w:rPr>
        <w:t>”) by all necessary corporate action, including, as applicable, approval by the Aspen Board (or a duly constituted and authorized committee thereof) or duly authorized officer and any required stockholder approval by the necessary number of votes or written consents, (ii) each Aspen Option and Aspen Restricted Stock Unit grant was made in accordance with the terms of the Aspen Stock Plan pursuant to which it was granted and all other applicable Law and regulatory rules or requirements, and (iii) the per share exercise price of each Aspen Option was not less than the fair market value of a share of Aspen Common Stock on the applicable Aspen Grant Date.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SEC Filings; Financial Statements.</w:t>
      </w:r>
    </w:p>
    <w:p>
      <w:pPr>
        <w:spacing w:after="0" w:line="154" w:lineRule="exact"/>
        <w:rPr>
          <w:sz w:val="20"/>
          <w:szCs w:val="20"/>
          <w:color w:val="auto"/>
        </w:rPr>
      </w:pPr>
    </w:p>
    <w:p>
      <w:pPr>
        <w:ind w:left="640" w:right="659" w:firstLine="1003"/>
        <w:spacing w:after="0" w:line="245" w:lineRule="auto"/>
        <w:tabs>
          <w:tab w:leader="none" w:pos="1817"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reports, schedules, forms, statements and other documents (including exhibits and all other information incorporated therein) required to be filed or furnished by Aspen with the SEC since January 1, 2021 (the “</w:t>
      </w:r>
      <w:r>
        <w:rPr>
          <w:rFonts w:ascii="Times New Roman" w:cs="Times New Roman" w:eastAsia="Times New Roman" w:hAnsi="Times New Roman"/>
          <w:sz w:val="13"/>
          <w:szCs w:val="13"/>
          <w:b w:val="1"/>
          <w:bCs w:val="1"/>
          <w:color w:val="auto"/>
        </w:rPr>
        <w:t>Aspen SEC Documents</w:t>
      </w:r>
      <w:r>
        <w:rPr>
          <w:rFonts w:ascii="Times New Roman" w:cs="Times New Roman" w:eastAsia="Times New Roman" w:hAnsi="Times New Roman"/>
          <w:sz w:val="13"/>
          <w:szCs w:val="13"/>
          <w:color w:val="auto"/>
        </w:rPr>
        <w:t>”) have been filed or furnished with the SEC on a timely basis (subject to extensions pursuant to Exchange Act Rule 12b-25). As of their respective dates, or, if amended prior to the date of this Agreement, as of the date of (and giving effect to) the last such amendment: (i) each of the Aspen SEC Documents complied as to form in all material respects with the applicable requirements of the Securities Act, the Exchange Act and the Sarbanes-Oxley Act (as the case may be); and (ii) no Aspen SEC Document contained when filed or furnished (and, in the case of registration statements and proxy statements, on the dates of effectiveness and the dates of mailing, respectively) any untrue statement of a material fact or omitted, as the case may be, to state a material fact required to be stated or incorporated by reference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Aspen SEC Documents (collectively, the “</w:t>
      </w:r>
      <w:r>
        <w:rPr>
          <w:rFonts w:ascii="Times New Roman" w:cs="Times New Roman" w:eastAsia="Times New Roman" w:hAnsi="Times New Roman"/>
          <w:sz w:val="13"/>
          <w:szCs w:val="13"/>
          <w:b w:val="1"/>
          <w:bCs w:val="1"/>
          <w:color w:val="auto"/>
        </w:rPr>
        <w:t>Certifications</w:t>
      </w:r>
      <w:r>
        <w:rPr>
          <w:rFonts w:ascii="Times New Roman" w:cs="Times New Roman" w:eastAsia="Times New Roman" w:hAnsi="Times New Roman"/>
          <w:sz w:val="13"/>
          <w:szCs w:val="13"/>
          <w:color w:val="auto"/>
        </w:rPr>
        <w:t>”) were, as of their respective dates and in all material respects, accurate and complete and complied as to form and content with all applicable Laws.</w:t>
      </w:r>
    </w:p>
    <w:p>
      <w:pPr>
        <w:spacing w:after="0" w:line="14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statements (including any related notes and schedules) contained or incorporated by reference in the Aspen SEC</w:t>
      </w:r>
    </w:p>
    <w:p>
      <w:pPr>
        <w:spacing w:after="0" w:line="26" w:lineRule="exact"/>
        <w:rPr>
          <w:rFonts w:ascii="Times New Roman" w:cs="Times New Roman" w:eastAsia="Times New Roman" w:hAnsi="Times New Roman"/>
          <w:sz w:val="12"/>
          <w:szCs w:val="12"/>
          <w:color w:val="auto"/>
        </w:rPr>
      </w:pPr>
    </w:p>
    <w:p>
      <w:pPr>
        <w:ind w:left="640" w:right="679"/>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Documents: (i) complied as to form in all material respects with the Securities Act and the Exchange Act, as applicable, and the published rules and regulations of the SEC applicable thereto as in effect at the time of such filing; (ii) were prepared in accordance with GAAP applied on a consistent basis throughout the periods covered (except as may be indicated in the notes to such financial statements or, in the case of unaudited financial statements, as permitted by Form 10-Q, Form 8-K or any successor form under the Exchange Act); and (iii) fairly present, in all material respects, the consolidated financial position of Aspen and its Subsidiaries as of the respective dates thereof and the consolidated results of operations and cash flows of Aspen and its Subsidiaries for the periods covered thereby (subject, in the case of the unaudited financial statements, to the absence of footnotes and normal year-end audit adjustments that are not individually or in the aggregate material). No financial statements of any Person other than Aspen and its Subsidiaries are required by GAAP to be included in the consolidated financial statements of Aspen.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4" w:name="page65"/>
    <w:bookmarkEnd w:id="64"/>
    <w:p>
      <w:pPr>
        <w:ind w:left="640" w:right="699" w:firstLine="1003"/>
        <w:spacing w:after="0" w:line="279" w:lineRule="auto"/>
        <w:tabs>
          <w:tab w:leader="none" w:pos="1817"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Aspen’s auditor has at all times since the date of enactment of the Sarbanes-Oxley Act been: (i) a registered public accounting firm (as defined in Section 2(a)(12) of the Sarbanes-Oxley Act), (ii) to the Knowledge of Aspen, “independent” with respect to Aspen within the meaning of Regulation S-X under the Exchange Act and (iii) to the Knowledge of Aspen, in compliance with subsections (g) through (l) of Section 10A of the Exchange Act and the rules and regulations promulgated by the SEC and the Public Company Accounting Oversight Board thereunder.</w:t>
      </w:r>
    </w:p>
    <w:p>
      <w:pPr>
        <w:spacing w:after="0" w:line="116" w:lineRule="exact"/>
        <w:rPr>
          <w:rFonts w:ascii="Times New Roman" w:cs="Times New Roman" w:eastAsia="Times New Roman" w:hAnsi="Times New Roman"/>
          <w:sz w:val="12"/>
          <w:szCs w:val="12"/>
          <w:color w:val="auto"/>
        </w:rPr>
      </w:pPr>
    </w:p>
    <w:p>
      <w:pPr>
        <w:ind w:left="640" w:right="679" w:firstLine="1003"/>
        <w:spacing w:after="0" w:line="255" w:lineRule="auto"/>
        <w:tabs>
          <w:tab w:leader="none" w:pos="1824"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on Section 4.7(d) of the Aspen Disclosure Schedule Aspen has not received any comment letter from the SEC or the staff thereof or any correspondence from Nasdaq or the staff thereof relating to the delisting or maintenance of listing of the Aspen Common Stock on Nasdaq. Aspen has not disclosed any unresolved comments in the Aspen SEC Documents.</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51" w:lineRule="auto"/>
        <w:tabs>
          <w:tab w:leader="none" w:pos="1817"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formal internal investigations regarding financial reporting or accounting policies and practices discussed with, reviewed by or initiated at the direction of the chief executive officer, chief financial officer or general counsel of Aspen, the Aspen Board or any committee thereof, other than ordinary course audits or reviews of accounting policies and practices or internal controls required by the Sarbanes-Oxley Act.</w:t>
      </w:r>
    </w:p>
    <w:p>
      <w:pPr>
        <w:spacing w:after="0" w:line="132" w:lineRule="exact"/>
        <w:rPr>
          <w:rFonts w:ascii="Times New Roman" w:cs="Times New Roman" w:eastAsia="Times New Roman" w:hAnsi="Times New Roman"/>
          <w:sz w:val="13"/>
          <w:szCs w:val="13"/>
          <w:color w:val="auto"/>
        </w:rPr>
      </w:pPr>
    </w:p>
    <w:p>
      <w:pPr>
        <w:ind w:left="640" w:right="799" w:firstLine="1003"/>
        <w:spacing w:after="0" w:line="309" w:lineRule="auto"/>
        <w:tabs>
          <w:tab w:leader="none" w:pos="1803"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on Section 4.7(f) of the Aspen Disclosure Schedule, Aspen is in compliance in all material respects with the applicable provisions of the Sarbanes-Oxley Act, the Exchange Act and the applicable listing and governance rules and regulations of Nasdaq.</w:t>
      </w:r>
    </w:p>
    <w:p>
      <w:pPr>
        <w:spacing w:after="0" w:line="99" w:lineRule="exact"/>
        <w:rPr>
          <w:rFonts w:ascii="Times New Roman" w:cs="Times New Roman" w:eastAsia="Times New Roman" w:hAnsi="Times New Roman"/>
          <w:sz w:val="12"/>
          <w:szCs w:val="12"/>
          <w:color w:val="auto"/>
        </w:rPr>
      </w:pPr>
    </w:p>
    <w:p>
      <w:pPr>
        <w:ind w:left="640" w:right="799" w:firstLine="1003"/>
        <w:spacing w:after="0" w:line="271" w:lineRule="auto"/>
        <w:tabs>
          <w:tab w:leader="none" w:pos="1824"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Aspen maintains, and since January 1, 2021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policies and procedures that:</w:t>
      </w:r>
    </w:p>
    <w:p>
      <w:pPr>
        <w:jc w:val="both"/>
        <w:ind w:left="640" w:right="679" w:hanging="3"/>
        <w:spacing w:after="0" w:line="263" w:lineRule="auto"/>
        <w:tabs>
          <w:tab w:leader="none" w:pos="791"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pertain to the maintenance of records that in reasonable detail accurately and fairly reflect the transactions and dispositions of the assets of Aspen and its Subsidiaries; (ii) provide reasonable assurance that transactions are recorded as necessary to permit preparation of financial statements in conformity with GAAP and that receipts and expenditures are being made only in accordance with authorizations of management and the Aspen Board; and</w:t>
      </w:r>
    </w:p>
    <w:p>
      <w:pPr>
        <w:spacing w:after="0" w:line="1" w:lineRule="exact"/>
        <w:rPr>
          <w:rFonts w:ascii="Times New Roman" w:cs="Times New Roman" w:eastAsia="Times New Roman" w:hAnsi="Times New Roman"/>
          <w:sz w:val="12"/>
          <w:szCs w:val="12"/>
          <w:color w:val="auto"/>
        </w:rPr>
      </w:pPr>
    </w:p>
    <w:p>
      <w:pPr>
        <w:ind w:left="640" w:right="659" w:hanging="3"/>
        <w:spacing w:after="0" w:line="243" w:lineRule="auto"/>
        <w:tabs>
          <w:tab w:leader="none" w:pos="861"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reasonable assurance regarding prevention or timely detection of unauthorized acquisition, use or disposition of the assets of Aspen and its Subsidiaries that could have a material effect on Aspen’s financial statements. Since January 1, 2021, neither Aspen nor Aspen’s independent registered accountant has identified or been made aware of: (A) any significant deficiency or material weakness in the design or operation of the internal control over financial reporting utilized by Aspen, which is reasonably likely to adversely affect Aspen’s ability to record, process, summarize and report financial information; or (B) any fraud, whether or not material, that involves the management or other employees of Aspen who have a significant role in Aspen’s internal control over financial reporting. Aspen maintains disclosure controls and procedures (as defined by Rule 13a-15(e) or 15d-15(e) under the Exchange Act) that are reasonably designed to ensure that all information required to be disclosed in Aspen’s reports that it files or submits under the Exchange Act is recorded, processed, summarized and reported within the time periods specified in the rules and forms of the SEC and that all such information is accumulated and communicated to Aspen’s management as appropriate to allow timely decisions regarding required disclosure. Since January 1, 2021, the principal executive officer and the principal financial officer of Aspen have made all certifications required by the Exchange Act and the Sarbanes-Oxley Act. Aspen is in compliance in all material respects with all current listing and corporate governance requirements of Nasdaq.</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5" w:name="page66"/>
    <w:bookmarkEnd w:id="65"/>
    <w:p>
      <w:pPr>
        <w:ind w:left="640" w:right="939" w:firstLine="1003"/>
        <w:spacing w:after="0" w:line="309" w:lineRule="auto"/>
        <w:tabs>
          <w:tab w:leader="none" w:pos="1824"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Aspen or any of its Subsidiaries has effected, entered into or created, or has any commitment to effect, enter into or create, any securitization transaction or “off-balance sheet arrangement” (as defined in Section 2.03 of Form 8-K under the Exchange Act).</w:t>
      </w:r>
    </w:p>
    <w:p>
      <w:pPr>
        <w:spacing w:after="0" w:line="99" w:lineRule="exact"/>
        <w:rPr>
          <w:rFonts w:ascii="Times New Roman" w:cs="Times New Roman" w:eastAsia="Times New Roman" w:hAnsi="Times New Roman"/>
          <w:sz w:val="12"/>
          <w:szCs w:val="12"/>
          <w:color w:val="auto"/>
        </w:rPr>
      </w:pPr>
    </w:p>
    <w:p>
      <w:pPr>
        <w:ind w:left="640" w:right="679" w:firstLine="1003"/>
        <w:spacing w:after="0" w:line="251" w:lineRule="auto"/>
        <w:tabs>
          <w:tab w:leader="none" w:pos="1796"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there are no outstanding or unresolved comments in comment letters received from the SEC with respect to the Aspen SEC Documents. To the Knowledge of Aspen, (i) none of the Aspen SEC Documents is the subject of ongoing SEC review and (ii) there are no material inquiries or investigations by the SEC or any internal investigations pending or threatened in writing regarding any accounting practices of Aspen.</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796"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permitted by the Exchange Act, including Sections 13(k)(2) and (3), since January 1, 2021, none of Aspen or any of its Subsidiaries has made or permitted to remain outstanding any “extensions of credit” (within the meaning of Section 402 of the Sarbanes-Oxley Act) or prohibited loans to any executive officer (as defined in Rule 3b-7 under the Exchange Act) or director of Aspen.</w:t>
      </w:r>
    </w:p>
    <w:p>
      <w:pPr>
        <w:spacing w:after="0" w:line="130"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xml:space="preserve"> of the Aspen Disclosure Schedule, between December 31, 2022 and the date of this Agreement, Aspen has conducted its business only in the Ordinary Course of Business (except for the execution and performance of this Agreement and the discussions, negotiations and transactions related thereto) and there has not been any (a) Aspen Material Adverse Effect or (b) action, event or occurrence that would have required consent of the Company pursuant to </w:t>
      </w:r>
      <w:r>
        <w:rPr>
          <w:rFonts w:ascii="Times New Roman" w:cs="Times New Roman" w:eastAsia="Times New Roman" w:hAnsi="Times New Roman"/>
          <w:sz w:val="13"/>
          <w:szCs w:val="13"/>
          <w:u w:val="single" w:color="auto"/>
          <w:color w:val="auto"/>
        </w:rPr>
        <w:t>Section 5.1(b)</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4" w:lineRule="exact"/>
        <w:rPr>
          <w:sz w:val="20"/>
          <w:szCs w:val="20"/>
          <w:color w:val="auto"/>
        </w:rPr>
      </w:pPr>
    </w:p>
    <w:p>
      <w:pPr>
        <w:ind w:left="640" w:right="659" w:firstLine="696"/>
        <w:spacing w:after="0" w:line="272" w:lineRule="auto"/>
        <w:rPr>
          <w:sz w:val="20"/>
          <w:szCs w:val="20"/>
          <w:color w:val="auto"/>
        </w:rPr>
      </w:pPr>
      <w:r>
        <w:rPr>
          <w:rFonts w:ascii="Times New Roman" w:cs="Times New Roman" w:eastAsia="Times New Roman" w:hAnsi="Times New Roman"/>
          <w:sz w:val="12"/>
          <w:szCs w:val="12"/>
          <w:color w:val="auto"/>
        </w:rPr>
        <w:t xml:space="preserve">4.9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Since December 31, 2022, Aspen and its Subsidiaries do not have any Liabilities of a type required to be reflected or reserved for on a balance sheet prepared in accordance with GAAP, except for (i) Liabilities or obligations specifically disclosed, reflected or reserved against in the Aspen Balance Sheet; (ii) Liabilities incurred in the Ordinary Course of Business since the date of the Aspen Balance Sheet; (iii) Liabilities to perform under Contracts entered into by Aspen or its Subsidiaries (none of which is a Liability for breach of contract, breach of warranty, tort, infringement, violation of Law, or that relates to any lawsuit); (iv) Liabilities incurred in connection with the Contemplated Transactions; and (v) Liabilities that would not be reasonably expected to have, individually or in the aggregate, an Aspen Material Adverse Effect.</w:t>
      </w:r>
    </w:p>
    <w:p>
      <w:pPr>
        <w:spacing w:after="0" w:line="123"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Each of Aspen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Aspen Balance Sheet and (b) all other tangible assets reflected in the books and records of Aspen as being owned by Aspen. All of such assets are owned or, in the case of leased assets, leased by Aspen or any of its Subsidiaries free and clear of any Encumbrances, other than Permitted Encumbrances.</w:t>
      </w:r>
    </w:p>
    <w:p>
      <w:pPr>
        <w:spacing w:after="0" w:line="134" w:lineRule="exact"/>
        <w:rPr>
          <w:sz w:val="20"/>
          <w:szCs w:val="20"/>
          <w:color w:val="auto"/>
        </w:rPr>
      </w:pPr>
    </w:p>
    <w:p>
      <w:pPr>
        <w:ind w:left="640" w:right="7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Real Property; Leasehold</w:t>
      </w:r>
      <w:r>
        <w:rPr>
          <w:rFonts w:ascii="Times New Roman" w:cs="Times New Roman" w:eastAsia="Times New Roman" w:hAnsi="Times New Roman"/>
          <w:sz w:val="13"/>
          <w:szCs w:val="13"/>
          <w:color w:val="auto"/>
        </w:rPr>
        <w:t>. Neither Aspen nor any of its Subsidiaries owns or has ever owned any real property. Aspen has made available to the Company (a) an accurate and complete list of all real properties with respect to which Aspen directly or indirectly holds a valid leasehold interest as well as any other real estate that is in the possession of or leased by Aspen or any of its Subsidiaries and (b) copies of all leases under which any such real property is possessed (the “</w:t>
      </w:r>
      <w:r>
        <w:rPr>
          <w:rFonts w:ascii="Times New Roman" w:cs="Times New Roman" w:eastAsia="Times New Roman" w:hAnsi="Times New Roman"/>
          <w:sz w:val="13"/>
          <w:szCs w:val="13"/>
          <w:b w:val="1"/>
          <w:bCs w:val="1"/>
          <w:color w:val="auto"/>
        </w:rPr>
        <w:t>Aspen Real Estate Leases</w:t>
      </w:r>
      <w:r>
        <w:rPr>
          <w:rFonts w:ascii="Times New Roman" w:cs="Times New Roman" w:eastAsia="Times New Roman" w:hAnsi="Times New Roman"/>
          <w:sz w:val="13"/>
          <w:szCs w:val="13"/>
          <w:color w:val="auto"/>
        </w:rPr>
        <w:t>”), each of which is in full force and effect, with no existing material default thereunder.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6" w:name="page67"/>
    <w:bookmarkEnd w:id="66"/>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1003"/>
        <w:spacing w:after="0" w:line="269" w:lineRule="auto"/>
        <w:tabs>
          <w:tab w:leader="none" w:pos="1817"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Aspen Disclosure Schedule contains a true and complete list of all issued Patents, Marks and Copyrights included in the Aspen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cs="Times New Roman" w:eastAsia="Times New Roman" w:hAnsi="Times New Roman"/>
          <w:sz w:val="12"/>
          <w:szCs w:val="12"/>
          <w:b w:val="1"/>
          <w:bCs w:val="1"/>
          <w:color w:val="auto"/>
        </w:rPr>
        <w:t>Aspen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Registered IP</w:t>
      </w:r>
      <w:r>
        <w:rPr>
          <w:rFonts w:ascii="Times New Roman" w:cs="Times New Roman" w:eastAsia="Times New Roman" w:hAnsi="Times New Roman"/>
          <w:sz w:val="12"/>
          <w:szCs w:val="12"/>
          <w:color w:val="auto"/>
        </w:rPr>
        <w:t>”), including, with respect to each such item, (i) the jurisdiction of application/registration, (ii) the application or registration number,</w:t>
      </w:r>
    </w:p>
    <w:p>
      <w:pPr>
        <w:ind w:left="640" w:right="819" w:hanging="3"/>
        <w:spacing w:after="0" w:line="268" w:lineRule="auto"/>
        <w:tabs>
          <w:tab w:leader="none" w:pos="861"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filing, or issuance or registration, and (iv) the record owner or owners, for each such item. Each material item of Aspen Registered IP, except for Patents, is subsisting, valid and enforceable. With respect to Patents, each material item of Aspen Registered IP is subsisting and, to the Knowledge of Aspen, all issued Patents within the Aspen Registered IP are valid and enforceable. All filing, registration, maintenance, renewal and similar fees applicable to any Aspen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an Aspen Material Adverse Effect.</w:t>
      </w:r>
    </w:p>
    <w:p>
      <w:pPr>
        <w:spacing w:after="0" w:line="123" w:lineRule="exact"/>
        <w:rPr>
          <w:rFonts w:ascii="Times New Roman" w:cs="Times New Roman" w:eastAsia="Times New Roman" w:hAnsi="Times New Roman"/>
          <w:sz w:val="12"/>
          <w:szCs w:val="12"/>
          <w:color w:val="auto"/>
        </w:rPr>
      </w:pPr>
    </w:p>
    <w:p>
      <w:pPr>
        <w:ind w:left="640" w:right="899" w:firstLine="1003"/>
        <w:spacing w:after="0" w:line="251" w:lineRule="auto"/>
        <w:tabs>
          <w:tab w:leader="none" w:pos="1824"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interference, opposition, reissue, reexamination, or cancellation proceeding or other Legal Proceeding (other than routine ordinary course proceedings as part of patent prosecution) is pending or, to the Knowledge of Aspen, threatened regarding any Aspen Intellectual Property, including with respect to the scope, validity, enforceability, registration, priority, inventorship or ownership of, or rights to, any Aspen Intellectual Property.</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71" w:lineRule="auto"/>
        <w:tabs>
          <w:tab w:leader="none" w:pos="1817" w:val="left"/>
        </w:tabs>
        <w:numPr>
          <w:ilvl w:val="1"/>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founders, key employees and any other employees, contractors, consultants or other personnel involved in the development of Aspen Owned Intellectual Property have signed confidentiality and invention assignment agreements or similar agreements for the transfer or assignment of such Aspen Owned Intellectual Property pursuant to which both (i) Aspen has obtained ownership of and are the exclusive owners of all right, title and interest in and to such Aspen Owned Intellectual Property, and (ii) such personnel are bound by commercially reasonable confidentiality obligations with respect to all Aspen Intellectual Property. To the Knowledge of Aspen, no such personnel are in violation of any such agreements, or of any agreements with any prior employer or other Person with respect to development of any Aspen Owned Intellectual Property, except as would not reasonably be expected to have, individually or in the aggregate, an Aspen Material Adverse Effect.</w:t>
      </w:r>
    </w:p>
    <w:p>
      <w:pPr>
        <w:spacing w:after="0" w:line="122" w:lineRule="exact"/>
        <w:rPr>
          <w:rFonts w:ascii="Times New Roman" w:cs="Times New Roman" w:eastAsia="Times New Roman" w:hAnsi="Times New Roman"/>
          <w:sz w:val="12"/>
          <w:szCs w:val="12"/>
          <w:color w:val="auto"/>
        </w:rPr>
      </w:pPr>
    </w:p>
    <w:p>
      <w:pPr>
        <w:ind w:left="640" w:right="659" w:firstLine="1003"/>
        <w:spacing w:after="0" w:line="268" w:lineRule="auto"/>
        <w:tabs>
          <w:tab w:leader="none" w:pos="1824" w:val="left"/>
        </w:tabs>
        <w:numPr>
          <w:ilvl w:val="1"/>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Aspen Owned Intellectual Property is solely and exclusively owned by Aspen free and clear of any Encumbrance, other than Permitted Encumbrances. To the Knowledge of Aspen, except as would not reasonably be expected to have, individually or in the aggregate, an Aspen Material Adverse Effect, the Aspen Licensed Intellectual Property is in-licensed by Aspen, free and clear of any Encumbrance, other than Permitted Encumbrances. Except as would not reasonably be expected to have, individually or in the aggregate, an Aspen Material Adverse Effect, such ownership or licenses will not be affected by the execution, delivery, or performance of this Agreement or the consummation of the Transactions, and all Intellectual Property subject thereto will be owned or in-licensed by Aspen on the same terms and conditions thereafter. To the Knowledge of Aspen, Aspen owns or has a valid and enforceable license to use all material Intellectual Property necessary for, or used or held for use in, the operation of the business of Aspen as presently conducted; provided that the foregoing is not, and shall not be construed as, a representation or warranty regarding non-infringement, misappropriation or other violation by Aspen of the Intellectual Property of other Persons. To the Knowledge of Aspen, no current or former director, officer, employee or contractor of, or consultant to, Aspen owns or has any claim, right (whether or not currently exercisable) or interest (or, to the Knowledge of Aspen, has alleged that they own or have any such claim, right or interest) to or in any Aspen Intellectual Property.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7" w:name="page68"/>
    <w:bookmarkEnd w:id="67"/>
    <w:p>
      <w:pPr>
        <w:ind w:left="640" w:right="679" w:firstLine="1003"/>
        <w:spacing w:after="0" w:line="246" w:lineRule="auto"/>
        <w:tabs>
          <w:tab w:leader="none" w:pos="1817"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Knowledge of Aspen, the operation of the business of Aspen as of the date of this Agreement does not infringe, misappropriate or otherwise violate, and as currently conducted has not infringed, misappropriated or otherwise violated, and the further research, development and commercialization of Aspen Products as currently planned by Aspen will not infringe, misappropriate or otherwise violate, any Intellectual Property owned by any other Person, except as would not reasonably be expected to have, individually or in the aggregate, an Aspen Material Adverse Effect. As of the date hereof, neither Aspen, nor, to the Knowledge of Aspen, any of the licensors of Aspen, has received any notice or claim alleging any such infringement, misappropriation or other violation, including any so-called “invitation to license” letter. As of the date hereof, no Legal Proceeding, is pending or, to the Knowledge of Aspen, has been threatened, against Aspen or such licensors relating to any infringement, misappropriation or other violation of any Intellectual Property of any other Person.</w:t>
      </w:r>
    </w:p>
    <w:p>
      <w:pPr>
        <w:spacing w:after="0" w:line="138"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803"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Aspen nor Aspen Owned Intellectual Property is subject to any Order as of the date hereof, and neither Aspen nor, to the Knowledge of Aspen, any of its licensors has entered into or is a party to any agreement made in settlement of any pending litigation or other Legal Proceeding, which in any case restricts, impairs or relates Aspen’s to use or other exploitation in any manner of any Aspen Intellectual Property or of any other Intellectual Property owned by any other Person.</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824"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Aspen, no Person is infringing, misappropriating or otherwise violating, or has infringed, misappropriated or otherwise violated, any Aspen Intellectual Property, and no Legal Proceeding has been asserted or is pending or has been threatened against any Person alleging any such infringement, misappropriation or other violation of any Aspen Intellectual Property, except as would not reasonably be expected to have, individually or in the aggregate, an Aspen Material Adverse Effect.</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17"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has taken commercially reasonable steps necessary to maintain and protect the secrecy and confidentiality (including limitations on use) of all Trade Secrets and other confidential information included in Aspen Intellectual Property and, to the Knowledge of Aspen, there has not been any unauthorized use, disclosure of or access to any such Trade Secrets or other confidential information, except as would not reasonably be expected to have, individually or in the aggregate, an Aspen Material Adverse Effect.</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796"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4.12(i)</w:t>
      </w:r>
      <w:r>
        <w:rPr>
          <w:rFonts w:ascii="Times New Roman" w:cs="Times New Roman" w:eastAsia="Times New Roman" w:hAnsi="Times New Roman"/>
          <w:sz w:val="13"/>
          <w:szCs w:val="13"/>
          <w:color w:val="auto"/>
        </w:rPr>
        <w:t xml:space="preserve"> of Aspen Disclosure Schedule contains a true and complete list of any and all material Aspen Intellectual Property that is Government Funded IP. Aspen, and, to the Knowledge of Aspen, each of its licensors with respect to any Government Funded IP, have complied with any and all any Intellectual Property disclosure, licensing and other obligations under any applicable Aspen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an Aspen Material Adverse Effect.</w:t>
      </w:r>
    </w:p>
    <w:p>
      <w:pPr>
        <w:spacing w:after="0" w:line="134" w:lineRule="exact"/>
        <w:rPr>
          <w:rFonts w:ascii="Times New Roman" w:cs="Times New Roman" w:eastAsia="Times New Roman" w:hAnsi="Times New Roman"/>
          <w:sz w:val="13"/>
          <w:szCs w:val="13"/>
          <w:color w:val="auto"/>
        </w:rPr>
      </w:pPr>
    </w:p>
    <w:p>
      <w:pPr>
        <w:jc w:val="both"/>
        <w:ind w:left="640" w:right="799" w:firstLine="1003"/>
        <w:spacing w:after="0" w:line="251" w:lineRule="auto"/>
        <w:tabs>
          <w:tab w:leader="none" w:pos="1796"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Aspen, each item of Aspen Intellectual Property that is Aspen Registered IP owned by Aspen is and at all times has been filed and maintained in compliance with all applicable Law and all filings, payments, and other actions required to be made or taken to maintain such item of Aspen Registered IP in full force and effect have been made by the applicable deadline, except as would not reasonably be expected to have, individually or in the aggregate, an Aspen Material Adverse Effect.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68" w:name="page69"/>
    <w:bookmarkEnd w:id="68"/>
    <w:p>
      <w:pPr>
        <w:ind w:left="640" w:right="659" w:firstLine="1003"/>
        <w:spacing w:after="0" w:line="249" w:lineRule="auto"/>
        <w:tabs>
          <w:tab w:leader="none" w:pos="182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contained in agreements entered into in the ordinary course of business by Aspen as of the Closing Date or as disclosed in Section 4.12(k) of this Disclosure Schedule, (i) Aspen is not bound by any Aspen Contract to indemnify, defend, hold harmless, or reimburse any other Person with respect to any infringement, misappropriation, or similar claim relating to Intellectual Property that is material to Aspen, taken as a whole and (ii) Aspen has not ever assumed, or agreed to discharge or otherwise take responsibility for, any existing or potential liability of another Person for infringement, misappropriation, or violation of any material Intellectual Property right.</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796"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has delivered or made available to Aspen, a complete and accurate copy of all Aspen License Agreements. With respect to each of the material Aspen License Agreements: and except as disclosed in Section 4.12(l) of the Disclosure Schedule (i) to the Knowledge of Aspen each such agreement is valid, binding on, enforceable against Aspen, in accordance with its terms, subject to the Enforceability Exceptions, (ii) Aspen has not received any written notice of termination or cancellation under such agreement, or received any written notice of breach or default under such agreement, which breach has not been cured or waived and (iii) neither Aspen nor to the Knowledge of Aspen, no other party to any such agreement, is in breach or default thereof in any material respect.</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jc w:val="both"/>
        <w:ind w:left="640" w:right="679" w:firstLine="1003"/>
        <w:spacing w:after="0" w:line="286" w:lineRule="auto"/>
        <w:tabs>
          <w:tab w:leader="none" w:pos="1817"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4.13(a)</w:t>
      </w:r>
      <w:r>
        <w:rPr>
          <w:rFonts w:ascii="Times New Roman" w:cs="Times New Roman" w:eastAsia="Times New Roman" w:hAnsi="Times New Roman"/>
          <w:sz w:val="12"/>
          <w:szCs w:val="12"/>
          <w:color w:val="auto"/>
        </w:rPr>
        <w:t xml:space="preserve"> of the Aspen Disclosure Schedule identifies each of the following types of Aspen Contracts that is in effect as of the date of this Agreement, other than Aspen Employee Plans, the definitive agreements in respect of the Contemplated Transactions and Contracts filed as exhibits to the Aspen SEC Documents (each, an “</w:t>
      </w:r>
      <w:r>
        <w:rPr>
          <w:rFonts w:ascii="Times New Roman" w:cs="Times New Roman" w:eastAsia="Times New Roman" w:hAnsi="Times New Roman"/>
          <w:sz w:val="12"/>
          <w:szCs w:val="12"/>
          <w:b w:val="1"/>
          <w:bCs w:val="1"/>
          <w:color w:val="auto"/>
        </w:rPr>
        <w:t>Aspen Material Contract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Aspen Material Contracts</w:t>
      </w:r>
      <w:r>
        <w:rPr>
          <w:rFonts w:ascii="Times New Roman" w:cs="Times New Roman" w:eastAsia="Times New Roman" w:hAnsi="Times New Roman"/>
          <w:sz w:val="12"/>
          <w:szCs w:val="12"/>
          <w:color w:val="auto"/>
        </w:rPr>
        <w:t>”):</w:t>
      </w:r>
    </w:p>
    <w:p>
      <w:pPr>
        <w:spacing w:after="0" w:line="37" w:lineRule="exact"/>
        <w:rPr>
          <w:rFonts w:ascii="Times New Roman" w:cs="Times New Roman" w:eastAsia="Times New Roman" w:hAnsi="Times New Roman"/>
          <w:sz w:val="12"/>
          <w:szCs w:val="12"/>
          <w:color w:val="auto"/>
        </w:rPr>
      </w:pPr>
    </w:p>
    <w:p>
      <w:pPr>
        <w:ind w:left="2060" w:hanging="148"/>
        <w:spacing w:after="0"/>
        <w:tabs>
          <w:tab w:leader="none" w:pos="206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is a “material contract” (as such term is defined in Item 601(b)(10) of Regulation S-K of the Exchange Act);</w:t>
      </w:r>
    </w:p>
    <w:p>
      <w:pPr>
        <w:spacing w:after="0" w:line="77" w:lineRule="exact"/>
        <w:rPr>
          <w:rFonts w:ascii="Times New Roman" w:cs="Times New Roman" w:eastAsia="Times New Roman" w:hAnsi="Times New Roman"/>
          <w:sz w:val="13"/>
          <w:szCs w:val="13"/>
          <w:color w:val="auto"/>
        </w:rPr>
      </w:pPr>
    </w:p>
    <w:p>
      <w:pPr>
        <w:ind w:left="2100" w:hanging="188"/>
        <w:spacing w:after="0"/>
        <w:tabs>
          <w:tab w:leader="none" w:pos="21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relates to any material bonus, deferred compensation, or severance plans or arrangements;</w:t>
      </w:r>
    </w:p>
    <w:p>
      <w:pPr>
        <w:spacing w:after="0" w:line="77" w:lineRule="exact"/>
        <w:rPr>
          <w:rFonts w:ascii="Times New Roman" w:cs="Times New Roman" w:eastAsia="Times New Roman" w:hAnsi="Times New Roman"/>
          <w:sz w:val="13"/>
          <w:szCs w:val="13"/>
          <w:color w:val="auto"/>
        </w:rPr>
      </w:pPr>
    </w:p>
    <w:p>
      <w:pPr>
        <w:ind w:left="940" w:right="799" w:firstLine="972"/>
        <w:spacing w:after="0" w:line="267" w:lineRule="auto"/>
        <w:tabs>
          <w:tab w:leader="none" w:pos="2126"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evidencing a commitment by Aspen or any of its Subsidiaries to make a future capital expenditure in excess of $250,000 that is not terminable by such Entity upon notice of sixty (60) days or less without penalty or liability;</w:t>
      </w:r>
    </w:p>
    <w:p>
      <w:pPr>
        <w:spacing w:after="0" w:line="46" w:lineRule="exact"/>
        <w:rPr>
          <w:rFonts w:ascii="Times New Roman" w:cs="Times New Roman" w:eastAsia="Times New Roman" w:hAnsi="Times New Roman"/>
          <w:sz w:val="13"/>
          <w:szCs w:val="13"/>
          <w:color w:val="auto"/>
        </w:rPr>
      </w:pPr>
    </w:p>
    <w:p>
      <w:pPr>
        <w:ind w:left="940" w:right="719" w:firstLine="972"/>
        <w:spacing w:after="0" w:line="249" w:lineRule="auto"/>
        <w:tabs>
          <w:tab w:leader="none" w:pos="2119"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requires payments by Aspen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Aspen or any of its Subsidiaries on thirty (30) calendar days’ or less notice without liability, except to the extent general principles of wrongful termination Law may limit Aspen’s, or such successor’s ability to terminate employees at will;</w:t>
      </w:r>
    </w:p>
    <w:p>
      <w:pPr>
        <w:spacing w:after="0" w:line="58" w:lineRule="exact"/>
        <w:rPr>
          <w:rFonts w:ascii="Times New Roman" w:cs="Times New Roman" w:eastAsia="Times New Roman" w:hAnsi="Times New Roman"/>
          <w:sz w:val="13"/>
          <w:szCs w:val="13"/>
          <w:color w:val="auto"/>
        </w:rPr>
      </w:pPr>
    </w:p>
    <w:p>
      <w:pPr>
        <w:ind w:left="940" w:right="659" w:firstLine="972"/>
        <w:spacing w:after="0" w:line="247" w:lineRule="auto"/>
        <w:tabs>
          <w:tab w:leader="none" w:pos="2084"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that includes (1) any “most favored nations” terms or conditions, including with respect to pricing, (2) containing exclusivity obligations or otherwise limiting the freedom or right of Aspen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 occupy any securities, assets (including Intellectual Property) or other interest of Aspen or any of its Subsidiaries or (B) containing any provision or covenant that materially limits, or purports to materially limit, the ability of Aspen or any of its Subsidiaries to engage in any line of business (whether generally or in any geographic area) or compete with any Person or in any line of business or geographic area;</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69" w:name="page70"/>
    <w:bookmarkEnd w:id="69"/>
    <w:p>
      <w:pPr>
        <w:ind w:left="940" w:right="979" w:firstLine="972"/>
        <w:spacing w:after="0" w:line="255" w:lineRule="auto"/>
        <w:tabs>
          <w:tab w:leader="none" w:pos="2119"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relating to or evidencing indebtedness for borrowed money or any guarantee of indebtedness for borrowed money by Aspen or any of its Subsidiaries in excess of $250,000 (excluding loans by Aspen to wholly-owned Subsidiaries in the Ordinary Course of Business);</w:t>
      </w:r>
    </w:p>
    <w:p>
      <w:pPr>
        <w:spacing w:after="0" w:line="54" w:lineRule="exact"/>
        <w:rPr>
          <w:rFonts w:ascii="Times New Roman" w:cs="Times New Roman" w:eastAsia="Times New Roman" w:hAnsi="Times New Roman"/>
          <w:sz w:val="13"/>
          <w:szCs w:val="13"/>
          <w:color w:val="auto"/>
        </w:rPr>
      </w:pPr>
    </w:p>
    <w:p>
      <w:pPr>
        <w:ind w:left="940" w:right="839" w:firstLine="972"/>
        <w:spacing w:after="0" w:line="267" w:lineRule="auto"/>
        <w:tabs>
          <w:tab w:leader="none" w:pos="2154"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for or governing the formation of any joint venture, partnership, strategic alliance, research and development collaboration, or similar arrangement;</w:t>
      </w:r>
    </w:p>
    <w:p>
      <w:pPr>
        <w:spacing w:after="0" w:line="46" w:lineRule="exact"/>
        <w:rPr>
          <w:rFonts w:ascii="Times New Roman" w:cs="Times New Roman" w:eastAsia="Times New Roman" w:hAnsi="Times New Roman"/>
          <w:sz w:val="13"/>
          <w:szCs w:val="13"/>
          <w:color w:val="auto"/>
        </w:rPr>
      </w:pPr>
    </w:p>
    <w:p>
      <w:pPr>
        <w:ind w:left="940" w:right="1099" w:firstLine="972"/>
        <w:spacing w:after="0" w:line="267" w:lineRule="auto"/>
        <w:tabs>
          <w:tab w:leader="none" w:pos="2189"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for uncapped indemnification or guaranty to a third party, in each case except (A) as entered into in the Ordinary Course of Business and (B) for any Aspen Outbound License;</w:t>
      </w:r>
    </w:p>
    <w:p>
      <w:pPr>
        <w:spacing w:after="0" w:line="46" w:lineRule="exact"/>
        <w:rPr>
          <w:rFonts w:ascii="Times New Roman" w:cs="Times New Roman" w:eastAsia="Times New Roman" w:hAnsi="Times New Roman"/>
          <w:sz w:val="13"/>
          <w:szCs w:val="13"/>
          <w:color w:val="auto"/>
        </w:rPr>
      </w:pPr>
    </w:p>
    <w:p>
      <w:pPr>
        <w:ind w:left="940" w:right="839" w:firstLine="972"/>
        <w:spacing w:after="0" w:line="255" w:lineRule="auto"/>
        <w:tabs>
          <w:tab w:leader="none" w:pos="2119"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pursuant to which any Person granted Aspen an exclusive license under any Intellectual Property, or (B) pursuant to which Aspen or any of its Subsidiaries granted any Person an exclusive license under any Aspen Intellectual Property (“</w:t>
      </w:r>
      <w:r>
        <w:rPr>
          <w:rFonts w:ascii="Times New Roman" w:cs="Times New Roman" w:eastAsia="Times New Roman" w:hAnsi="Times New Roman"/>
          <w:sz w:val="13"/>
          <w:szCs w:val="13"/>
          <w:b w:val="1"/>
          <w:bCs w:val="1"/>
          <w:color w:val="auto"/>
        </w:rPr>
        <w:t>Aspen License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Agreements</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jc w:val="both"/>
        <w:ind w:left="940" w:right="719" w:firstLine="972"/>
        <w:spacing w:after="0" w:line="255" w:lineRule="auto"/>
        <w:tabs>
          <w:tab w:leader="none" w:pos="2084"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has continuing obligations or interests involving (A) “milestone” or other similar contingent payments, including upon the achievement of development, regulatory or commercial milestones, or (B) payment of royalties or other amounts calculated based upon sales, revenue, income or similar measure of Aspen or any of its Subsidiaries;</w:t>
      </w:r>
    </w:p>
    <w:p>
      <w:pPr>
        <w:spacing w:after="0" w:line="54" w:lineRule="exact"/>
        <w:rPr>
          <w:rFonts w:ascii="Times New Roman" w:cs="Times New Roman" w:eastAsia="Times New Roman" w:hAnsi="Times New Roman"/>
          <w:sz w:val="13"/>
          <w:szCs w:val="13"/>
          <w:color w:val="auto"/>
        </w:rPr>
      </w:pPr>
    </w:p>
    <w:p>
      <w:pPr>
        <w:jc w:val="both"/>
        <w:ind w:left="940" w:right="959" w:firstLine="972"/>
        <w:spacing w:after="0" w:line="286" w:lineRule="auto"/>
        <w:tabs>
          <w:tab w:leader="none" w:pos="2119"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is a settlement, conciliation or similar Contract with or approved by any Governmental Authority (A) pursuant to which Aspen or any of its Subsidiaries will be required after the date of this Agreement to pay any monetary obligations or (B) that contains material obligations or limitations on the conduct of Aspen or any of its Subsidiaries (other than customary confidentiality obligations);</w:t>
      </w:r>
    </w:p>
    <w:p>
      <w:pPr>
        <w:spacing w:after="0" w:line="37" w:lineRule="exact"/>
        <w:rPr>
          <w:rFonts w:ascii="Times New Roman" w:cs="Times New Roman" w:eastAsia="Times New Roman" w:hAnsi="Times New Roman"/>
          <w:sz w:val="12"/>
          <w:szCs w:val="12"/>
          <w:color w:val="auto"/>
        </w:rPr>
      </w:pPr>
    </w:p>
    <w:p>
      <w:pPr>
        <w:ind w:left="940" w:right="859" w:firstLine="972"/>
        <w:spacing w:after="0" w:line="267" w:lineRule="auto"/>
        <w:tabs>
          <w:tab w:leader="none" w:pos="2154"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any Governmental Authority, except for materials transfer agreements, agreements with academic institutions and non-disclosure agreements entered into in the Ordinary Course of Business;</w:t>
      </w:r>
    </w:p>
    <w:p>
      <w:pPr>
        <w:spacing w:after="0" w:line="46" w:lineRule="exact"/>
        <w:rPr>
          <w:rFonts w:ascii="Times New Roman" w:cs="Times New Roman" w:eastAsia="Times New Roman" w:hAnsi="Times New Roman"/>
          <w:sz w:val="13"/>
          <w:szCs w:val="13"/>
          <w:color w:val="auto"/>
        </w:rPr>
      </w:pPr>
    </w:p>
    <w:p>
      <w:pPr>
        <w:ind w:left="2200" w:hanging="288"/>
        <w:spacing w:after="0"/>
        <w:tabs>
          <w:tab w:leader="none" w:pos="22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is a clinical trial agreement, clinical study agreement or similar agreement;</w:t>
      </w:r>
    </w:p>
    <w:p>
      <w:pPr>
        <w:spacing w:after="0" w:line="77" w:lineRule="exact"/>
        <w:rPr>
          <w:rFonts w:ascii="Times New Roman" w:cs="Times New Roman" w:eastAsia="Times New Roman" w:hAnsi="Times New Roman"/>
          <w:sz w:val="13"/>
          <w:szCs w:val="13"/>
          <w:color w:val="auto"/>
        </w:rPr>
      </w:pPr>
    </w:p>
    <w:p>
      <w:pPr>
        <w:ind w:left="2180" w:hanging="268"/>
        <w:spacing w:after="0"/>
        <w:tabs>
          <w:tab w:leader="none" w:pos="21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that is a collective bargaining agreement or (B) with any labor organization;</w:t>
      </w:r>
    </w:p>
    <w:p>
      <w:pPr>
        <w:spacing w:after="0" w:line="77" w:lineRule="exact"/>
        <w:rPr>
          <w:rFonts w:ascii="Times New Roman" w:cs="Times New Roman" w:eastAsia="Times New Roman" w:hAnsi="Times New Roman"/>
          <w:sz w:val="13"/>
          <w:szCs w:val="13"/>
          <w:color w:val="auto"/>
        </w:rPr>
      </w:pPr>
    </w:p>
    <w:p>
      <w:pPr>
        <w:ind w:left="940" w:right="699" w:firstLine="972"/>
        <w:spacing w:after="0" w:line="255" w:lineRule="auto"/>
        <w:tabs>
          <w:tab w:leader="none" w:pos="2147"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prohibits the payment of dividends or distributions in respect of the capital stock of Aspen or any of its Subsidiaries, the pledging of the capital stock or other equity interests of Aspen or any of its Subsidiaries or the issuance of any guaranty by Aspen or any of its Subsidiaries;</w:t>
      </w:r>
    </w:p>
    <w:p>
      <w:pPr>
        <w:spacing w:after="0" w:line="54" w:lineRule="exact"/>
        <w:rPr>
          <w:rFonts w:ascii="Times New Roman" w:cs="Times New Roman" w:eastAsia="Times New Roman" w:hAnsi="Times New Roman"/>
          <w:sz w:val="13"/>
          <w:szCs w:val="13"/>
          <w:color w:val="auto"/>
        </w:rPr>
      </w:pPr>
    </w:p>
    <w:p>
      <w:pPr>
        <w:ind w:left="2180" w:hanging="268"/>
        <w:spacing w:after="0"/>
        <w:tabs>
          <w:tab w:leader="none" w:pos="21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relating to the disposition or acquisition of material assets or any ownership interest in any Entity;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0" w:name="page71"/>
    <w:bookmarkEnd w:id="70"/>
    <w:p>
      <w:pPr>
        <w:ind w:left="940" w:right="779" w:firstLine="972"/>
        <w:spacing w:after="0" w:line="271" w:lineRule="auto"/>
        <w:tabs>
          <w:tab w:leader="none" w:pos="2217" w:val="left"/>
        </w:tabs>
        <w:numPr>
          <w:ilvl w:val="2"/>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requiring payment by or to Aspen or any of its Subsidiaries after the date of this Agreement in excess of $150,000 pursuant to its express terms relating to: (A) any distribution agreement (identifying any that contain exclusivity provisions), (B) any agreement involving provision of services or products with respect to any pre-clinical or clinical development activities of Aspen or any of its Subsidiaries,</w:t>
      </w:r>
    </w:p>
    <w:p>
      <w:pPr>
        <w:ind w:left="940" w:right="699" w:firstLine="7"/>
        <w:spacing w:after="0" w:line="244" w:lineRule="auto"/>
        <w:tabs>
          <w:tab w:leader="none" w:pos="114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dealer, distributor, joint marketing, alliance, joint venture, cooperation, development or other agreement currently in force under which Aspen or any of its Subsidiaries has continuing obligations to develop or market any product, technology or service, or any agreement pursuant to which Aspen or any of its Subsidiaries has continuing obligations to develop any Intellectual Property that will not be owned, in whole or in part, by Aspen or (D) any Contract to license any patent, trademark registration, service mark registration, trade name or copyright registration to or from any third party to manufacture or produce any product, service or technology of Aspen or any of its Subsidiaries or any Contract to sell, distribute or commercialize any products or service of Aspen or any of its Subsidiaries, in each case, except for Aspen Contracts entered into in the Ordinary Course of Business;</w:t>
      </w:r>
    </w:p>
    <w:p>
      <w:pPr>
        <w:spacing w:after="0" w:line="60" w:lineRule="exact"/>
        <w:rPr>
          <w:rFonts w:ascii="Times New Roman" w:cs="Times New Roman" w:eastAsia="Times New Roman" w:hAnsi="Times New Roman"/>
          <w:sz w:val="13"/>
          <w:szCs w:val="13"/>
          <w:color w:val="auto"/>
        </w:rPr>
      </w:pPr>
    </w:p>
    <w:p>
      <w:pPr>
        <w:ind w:left="940" w:right="759" w:firstLine="972"/>
        <w:spacing w:after="0" w:line="267" w:lineRule="auto"/>
        <w:tabs>
          <w:tab w:leader="none" w:pos="2252" w:val="left"/>
        </w:tabs>
        <w:numPr>
          <w:ilvl w:val="2"/>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any Person, including any financial advisor, broker, finder, investment banker or other Person, providing advisory services to Aspen or any of its Subsidiaries in connection with the Contemplated Transactions; or</w:t>
      </w:r>
    </w:p>
    <w:p>
      <w:pPr>
        <w:spacing w:after="0" w:line="46" w:lineRule="exact"/>
        <w:rPr>
          <w:rFonts w:ascii="Times New Roman" w:cs="Times New Roman" w:eastAsia="Times New Roman" w:hAnsi="Times New Roman"/>
          <w:sz w:val="13"/>
          <w:szCs w:val="13"/>
          <w:color w:val="auto"/>
        </w:rPr>
      </w:pPr>
    </w:p>
    <w:p>
      <w:pPr>
        <w:ind w:left="940" w:right="679" w:firstLine="972"/>
        <w:spacing w:after="0" w:line="286" w:lineRule="auto"/>
        <w:tabs>
          <w:tab w:leader="none" w:pos="2182" w:val="left"/>
        </w:tabs>
        <w:numPr>
          <w:ilvl w:val="2"/>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was entered into since January 1, 2021 and (A) was entered into with any present or former officer, director or employee of Aspen or any of its Subsidiaries (other than indemnification agreements or any Employee Plans entered into in the ordinary course of business) or (B) is the type of Contract that would be required to be disclosed under Item 404 of Regulation S-K of the Exchange Act.</w:t>
      </w:r>
    </w:p>
    <w:p>
      <w:pPr>
        <w:spacing w:after="0" w:line="113" w:lineRule="exact"/>
        <w:rPr>
          <w:rFonts w:ascii="Times New Roman" w:cs="Times New Roman" w:eastAsia="Times New Roman" w:hAnsi="Times New Roman"/>
          <w:sz w:val="12"/>
          <w:szCs w:val="12"/>
          <w:color w:val="auto"/>
        </w:rPr>
      </w:pPr>
    </w:p>
    <w:p>
      <w:pPr>
        <w:ind w:left="640" w:right="699" w:firstLine="1003"/>
        <w:spacing w:after="0" w:line="246" w:lineRule="auto"/>
        <w:tabs>
          <w:tab w:leader="none" w:pos="1824"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has delivered or made available to the Company accurate and complete copies of all Aspen Material Contracts, including all amendments thereto. There are no Aspen Material Contracts that are not in written form. Aspen has not nor, to Aspen’s Knowledge as of the date of this Agreement, has any other party to an Aspen Material Contract, breached, violated or defaulted under, or received notice that it breached, violated or defaulted under, any of the terms or conditions of any Aspen Material Contract in such manner as would permit any other party to cancel or terminate any such Aspen Material Contract, or would permit any other party to seek damages which would reasonably be expected to have an Aspen Material Adverse Effect. As to Aspen and its Subsidiaries, as of the date of this Agreement, each Aspen Material Contract is valid, binding, enforceable and in full force and effect, subject to the Enforceability Exceptions. No Person is renegotiating, or has a right pursuant to the terms of any Aspen Material Contract to change any material amount paid or payable to Aspen under any Aspen Material Contract or any other material term or provision of any Aspen Material Contract.</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79" w:lineRule="auto"/>
        <w:tabs>
          <w:tab w:leader="none" w:pos="1817"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Aspen and its Subsidiaries is, and since January 1, 2021, has been in compliance in all material respects with all Laws applicable to Aspen and its Subsidiaries, and, since January 1, 2021, Aspen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an Aspen Material Adverse Effect.</w:t>
      </w:r>
    </w:p>
    <w:p>
      <w:pPr>
        <w:spacing w:after="0" w:line="116" w:lineRule="exact"/>
        <w:rPr>
          <w:rFonts w:ascii="Times New Roman" w:cs="Times New Roman" w:eastAsia="Times New Roman" w:hAnsi="Times New Roman"/>
          <w:sz w:val="12"/>
          <w:szCs w:val="12"/>
          <w:color w:val="auto"/>
        </w:rPr>
      </w:pPr>
    </w:p>
    <w:p>
      <w:pPr>
        <w:ind w:left="640" w:right="679" w:firstLine="1003"/>
        <w:spacing w:after="0" w:line="249" w:lineRule="auto"/>
        <w:tabs>
          <w:tab w:leader="none" w:pos="1824"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Aspen and its Subsidiaries holds, and since January 1, 2021 has held, all Governmental Authorizations necessary for Aspen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Aspen and its Subsidiaries, taken as a whole. The Governmental Authorizations held by Aspen and its Subsidiaries are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1" w:name="page72"/>
    <w:bookmarkEnd w:id="71"/>
    <w:p>
      <w:pPr>
        <w:ind w:left="640" w:right="699" w:hanging="3"/>
        <w:spacing w:after="0" w:line="249" w:lineRule="auto"/>
        <w:tabs>
          <w:tab w:leader="none" w:pos="791"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valid and in full force and effect and (ii) are not subject to any administrative or judicial proceeding that would reasonably be expected to result in any termination, suspension, revocation or nonrenewal thereof (and, to the Knowledge of Aspen, no such termination, suspension, revocation or nonrenewal has been otherwise threatened in writing), and Aspen and its Subsidiaries are in compliance with the terms and requirements thereof, except in the case of each of clauses (i) and (ii) as would not reasonably be expected to be, individually or in the aggregate, material to Aspen and its Subsidiaries, taken as a whole.</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67" w:lineRule="auto"/>
        <w:tabs>
          <w:tab w:leader="none" w:pos="1817"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Aspen Products,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an Aspen Material Adverse Effect. As of the date hereof, neither Aspen nor its Subsidiaries nor, to the Knowledge of Aspen, any Collaboration Partner has received any written notices or other correspondence from any Drug Governmental Authority or any institutional review board or ethics committee with respect to any ongoing clinical or preclinical studies or trials</w:t>
      </w:r>
    </w:p>
    <w:p>
      <w:pPr>
        <w:spacing w:after="0" w:line="1" w:lineRule="exact"/>
        <w:rPr>
          <w:rFonts w:ascii="Times New Roman" w:cs="Times New Roman" w:eastAsia="Times New Roman" w:hAnsi="Times New Roman"/>
          <w:sz w:val="12"/>
          <w:szCs w:val="12"/>
          <w:color w:val="auto"/>
        </w:rPr>
      </w:pPr>
    </w:p>
    <w:p>
      <w:pPr>
        <w:ind w:left="780" w:hanging="143"/>
        <w:spacing w:after="0"/>
        <w:tabs>
          <w:tab w:leader="none" w:pos="7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placing a clinical hold order on any such studies or trials or (ii) otherwise requiring the delay, termination, or suspension of such studies or trials.</w:t>
      </w:r>
    </w:p>
    <w:p>
      <w:pPr>
        <w:spacing w:after="0" w:line="2" w:lineRule="exact"/>
        <w:rPr>
          <w:rFonts w:ascii="Times New Roman" w:cs="Times New Roman" w:eastAsia="Times New Roman" w:hAnsi="Times New Roman"/>
          <w:sz w:val="13"/>
          <w:szCs w:val="13"/>
          <w:color w:val="auto"/>
        </w:rPr>
      </w:pPr>
    </w:p>
    <w:p>
      <w:pPr>
        <w:ind w:left="640" w:right="75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2021, neither Aspen nor its Subsidiaries nor, to the Knowledge of Aspen, any Collaboration Partner has received any Form FDA 483, warning letter, notice of violation, or other written administrative, regulatory or enforcement notice from the FDA or any other Drug Governmental Authority related to the Aspen Products.</w:t>
      </w:r>
    </w:p>
    <w:p>
      <w:pPr>
        <w:spacing w:after="0" w:line="135" w:lineRule="exact"/>
        <w:rPr>
          <w:rFonts w:ascii="Times New Roman" w:cs="Times New Roman" w:eastAsia="Times New Roman" w:hAnsi="Times New Roman"/>
          <w:sz w:val="13"/>
          <w:szCs w:val="13"/>
          <w:color w:val="auto"/>
        </w:rPr>
      </w:pPr>
    </w:p>
    <w:p>
      <w:pPr>
        <w:ind w:left="640" w:right="739" w:firstLine="1003"/>
        <w:spacing w:after="0" w:line="248" w:lineRule="auto"/>
        <w:tabs>
          <w:tab w:leader="none" w:pos="1824"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and its Subsidiaries have filed with the applicable Drug Governmental Authorities all required material Healthcare Submissions with respect to the Aspen Products. All filings for Aspen Governmental Authorizations and Healthcare Submissions were complete and accurate in all material respects and in material compliance with applicable Laws and Orders when filed, or were subsequently corrected or completed by a subsequent filing made prior to the date hereof. No deficiencies have been asserted in writing by any applicable Drug Governmental Authority to Aspen and its Subsidiaries with respect to any Healthcare Submission, except as are not, and would not reasonably be expected to be, individually or in the aggregate, material to Aspen and its Subsidiaries, taken as a whole. </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17"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2021, neither Aspen nor its Subsidiaries, nor any authorized person acting on their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an Aspen Material Adverse Effect.</w:t>
      </w:r>
    </w:p>
    <w:p>
      <w:pPr>
        <w:spacing w:after="0" w:line="138" w:lineRule="exact"/>
        <w:rPr>
          <w:rFonts w:ascii="Times New Roman" w:cs="Times New Roman" w:eastAsia="Times New Roman" w:hAnsi="Times New Roman"/>
          <w:sz w:val="13"/>
          <w:szCs w:val="13"/>
          <w:color w:val="auto"/>
        </w:rPr>
      </w:pPr>
    </w:p>
    <w:p>
      <w:pPr>
        <w:ind w:left="640" w:right="699" w:firstLine="1003"/>
        <w:spacing w:after="0" w:line="247" w:lineRule="auto"/>
        <w:tabs>
          <w:tab w:leader="none" w:pos="1803"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Aspen nor its Subsidiaries, nor any director, officer or employee of Aspen or its Subsidiaries (acting in the capacity of a director, officer or employee of Aspen or its Subsidiaries) or, to the Knowledge of Aspen, any representative or agent of Aspen or its Subsidiaries (acting in the capacity of a representative or agent of Aspen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 (iv) convicted of any crime or engaged in any conduct that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2" w:name="page73"/>
    <w:bookmarkEnd w:id="72"/>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would reasonably be expected to result in debarment, exclusion or suspension as described in the foregoing clauses (i), (ii) or (iii); (v) declared ineligible for awards of contracts by any U.S. or non-U.S. federal, state, provincial or other agency; (vi) disqualified as a clinical investigator by the FDA or any other Drug Governmental Authority; or (vii) convicted of any offense related to any U.S. or non-U.S. federal, state, provincial or other healthcare program.</w:t>
      </w:r>
    </w:p>
    <w:p>
      <w:pPr>
        <w:spacing w:after="0" w:line="133" w:lineRule="exact"/>
        <w:rPr>
          <w:sz w:val="20"/>
          <w:szCs w:val="20"/>
          <w:color w:val="auto"/>
        </w:rPr>
      </w:pPr>
    </w:p>
    <w:p>
      <w:pPr>
        <w:ind w:left="640" w:right="679" w:firstLine="1003"/>
        <w:spacing w:after="0" w:line="245" w:lineRule="auto"/>
        <w:tabs>
          <w:tab w:leader="none" w:pos="1824"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with respect to any Aspen Product for which Aspen has withdrawn and/or terminated the IND and/or CTA, as applicable, and excluding any compassionate use/named patient activities not sponsored by Aspen, Aspen has made available to the Company complete and accurate copies of (i) each investigational new drug application and all material correspondence relating to clinical trial applications submitted to the FDA or any other Drug Governmental Authority by or on behalf of Aspen, including any supplements or amendments thereto, relating to any Aspen Product, (ii) all final preclinical study and clinical trial results or reports relating to any Aspen Product, (iii) all documents in the possession of Aspen or its Subsidiaries related to inspections by any Drug Governmental Authority, in each case relating to any Aspen Product, (iv) all material information relating to adverse drug experiences, events or reactions or other safety information obtained or otherwise received by Aspen relating to any Aspen Product, and (v) clinical trial databases, clinical trial master files, and statistical programs for ongoing and completed clinical trials and studies in the possession of Aspen or its Subsidiaries or, to the Knowledge of Aspen, in a Collaboration Partner’s possession, relating to any Aspen Product. Aspen has a complete log of the material correspondence described in clause (i) of this section, except as has not been, and would not reasonably be expected to be, individually or in the aggregate, material to Aspen and its Subsidiaries, taken as a whole.</w:t>
      </w:r>
    </w:p>
    <w:p>
      <w:pPr>
        <w:spacing w:after="0" w:line="140"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24"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neither Aspen nor any of its Subsidiaries has any current or future obligation or requirement to issue any safety reports to the FDA or any other Drug Governmental Authority on any matter, including with respect to any investigational new drug application (IND) or clinical trial application (CTA), including with respect to any Aspen Product, and any such prior obligation or requirement has either been terminated by the FDA or other applicable Drug Governmental Authority or has been transferred to a third party without any further requirement on the part of Aspen in respect of such drug safety reporting or otherwise.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51" w:lineRule="auto"/>
        <w:tabs>
          <w:tab w:leader="none" w:pos="1817"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4.15(a)</w:t>
      </w:r>
      <w:r>
        <w:rPr>
          <w:rFonts w:ascii="Times New Roman" w:cs="Times New Roman" w:eastAsia="Times New Roman" w:hAnsi="Times New Roman"/>
          <w:sz w:val="13"/>
          <w:szCs w:val="13"/>
          <w:color w:val="auto"/>
        </w:rPr>
        <w:t xml:space="preserve"> of the Aspen Disclosure Schedule, there is no pending Legal Proceeding and, to the Knowledge of Aspen, no Person has threatened in writing to commence any Legal Proceeding: (i) that involves Aspen or any of its Subsidiaries or any Aspen Associate (in his or her capacity as such) or any of the material assets owned or used by Aspen or any of its Subsidiaries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640" w:right="799" w:firstLine="1003"/>
        <w:spacing w:after="0" w:line="251" w:lineRule="auto"/>
        <w:tabs>
          <w:tab w:leader="none" w:pos="1824"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Aspen or any of its Subsidiaries, or any of the material assets owned or used by Aspen or any of its Subsidiaries is subject. To the Knowledge of Aspen, no officer or other Aspen Key Employee or any of its Subsidiaries is subject to any Order that prohibits such officer or employee from engaging in or continuing any conduct, activity or practice relating to the business of Aspen or any of its Subsidiaries or to any material assets owned or used by Aspen or any of its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3" w:name="page74"/>
    <w:bookmarkEnd w:id="73"/>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4.16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6"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Aspen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Aspen and its Subsidiaries have been paid regardless of whether such Taxes have been shown as due and payable on any Tax Return. Aspen and its Subsidiaries have established on their relevant books and records, in accordance with GAAP, reserves that are adequate for the payment of any income or other material Taxes not yet due and payable. None of Aspen and its Subsidiaries currently is the beneficiary of any extension of time within which to file any income or other material Tax Return, other than customary extensions that have been obtained consistent with past practice. There are no Encumbrances on any of the assets of Aspen and its Subsidiaries that arose in connection with any failure to pay any material Tax, other than Permitted Encumbrances.</w:t>
      </w:r>
    </w:p>
    <w:p>
      <w:pPr>
        <w:spacing w:after="0" w:line="138"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2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Aspen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w:t>
      </w:r>
    </w:p>
    <w:p>
      <w:pPr>
        <w:spacing w:after="0" w:line="130" w:lineRule="exact"/>
        <w:rPr>
          <w:rFonts w:ascii="Times New Roman" w:cs="Times New Roman" w:eastAsia="Times New Roman" w:hAnsi="Times New Roman"/>
          <w:sz w:val="13"/>
          <w:szCs w:val="13"/>
          <w:color w:val="auto"/>
        </w:rPr>
      </w:pPr>
    </w:p>
    <w:p>
      <w:pPr>
        <w:ind w:left="640" w:right="739" w:firstLine="1003"/>
        <w:spacing w:after="0" w:line="247"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be material to Aspen and its Subsidiaries, taken as a whole, Aspen and its Subsidiaries have: (i) 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w:t>
      </w:r>
    </w:p>
    <w:p>
      <w:pPr>
        <w:spacing w:after="0" w:line="136" w:lineRule="exact"/>
        <w:rPr>
          <w:rFonts w:ascii="Times New Roman" w:cs="Times New Roman" w:eastAsia="Times New Roman" w:hAnsi="Times New Roman"/>
          <w:sz w:val="13"/>
          <w:szCs w:val="13"/>
          <w:color w:val="auto"/>
        </w:rPr>
      </w:pPr>
    </w:p>
    <w:p>
      <w:pPr>
        <w:jc w:val="both"/>
        <w:ind w:left="640" w:right="699" w:firstLine="1003"/>
        <w:spacing w:after="0" w:line="251" w:lineRule="auto"/>
        <w:tabs>
          <w:tab w:leader="none" w:pos="182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be material to Aspen and its Subsidiaries, taken as a whole, there is no dispute, audits, examinations, assessments or other actions concerning any Tax liability of Aspen and its Subsidiaries pending or, to the Knowledge of Aspen, threatened by any Governmental Authority against, or with respect to, Aspen and its Subsidiaries that remains unpaid, and none of Aspen and its Subsidiaries has received written notice of any threatened audits, examinations or assessments relating to any Taxes.</w:t>
      </w:r>
    </w:p>
    <w:p>
      <w:pPr>
        <w:spacing w:after="0" w:line="132" w:lineRule="exact"/>
        <w:rPr>
          <w:rFonts w:ascii="Times New Roman" w:cs="Times New Roman" w:eastAsia="Times New Roman" w:hAnsi="Times New Roman"/>
          <w:sz w:val="13"/>
          <w:szCs w:val="13"/>
          <w:color w:val="auto"/>
        </w:rPr>
      </w:pPr>
    </w:p>
    <w:p>
      <w:pPr>
        <w:jc w:val="both"/>
        <w:ind w:left="640" w:right="1099" w:firstLine="1003"/>
        <w:spacing w:after="0" w:line="255"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Aspen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w:t>
      </w:r>
    </w:p>
    <w:p>
      <w:pPr>
        <w:spacing w:after="0" w:line="130" w:lineRule="exact"/>
        <w:rPr>
          <w:rFonts w:ascii="Times New Roman" w:cs="Times New Roman" w:eastAsia="Times New Roman" w:hAnsi="Times New Roman"/>
          <w:sz w:val="13"/>
          <w:szCs w:val="13"/>
          <w:color w:val="auto"/>
        </w:rPr>
      </w:pPr>
    </w:p>
    <w:p>
      <w:pPr>
        <w:ind w:left="640" w:right="819" w:firstLine="1003"/>
        <w:spacing w:after="0" w:line="251" w:lineRule="auto"/>
        <w:tabs>
          <w:tab w:leader="none" w:pos="180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Aspen and its Subsidiaries has constituted a “distributing corporation” or “controlled corporation” in a distribution of stock intended to qualify for Tax-free treatment under Section 355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w:t>
      </w:r>
    </w:p>
    <w:p>
      <w:pPr>
        <w:spacing w:after="0" w:line="132" w:lineRule="exact"/>
        <w:rPr>
          <w:rFonts w:ascii="Times New Roman" w:cs="Times New Roman" w:eastAsia="Times New Roman" w:hAnsi="Times New Roman"/>
          <w:sz w:val="13"/>
          <w:szCs w:val="13"/>
          <w:color w:val="auto"/>
        </w:rPr>
      </w:pPr>
    </w:p>
    <w:p>
      <w:pPr>
        <w:ind w:left="640" w:right="939" w:firstLine="1003"/>
        <w:spacing w:after="0" w:line="309" w:lineRule="auto"/>
        <w:tabs>
          <w:tab w:leader="none" w:pos="1824"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Aspen, none of Aspen and its Subsidiaries has entered into or been a party to any “listed transaction” within the meaning of Treasury regulations Section 1.6011-4(b)(2) for a taxable period for which the applicable statute of limitations remains open.</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4" w:name="page75"/>
    <w:bookmarkEnd w:id="74"/>
    <w:p>
      <w:pPr>
        <w:ind w:left="640" w:right="779" w:firstLine="1003"/>
        <w:spacing w:after="0" w:line="255" w:lineRule="auto"/>
        <w:tabs>
          <w:tab w:leader="none" w:pos="1824"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Aspen and its Subsidiaries are party to any agreements relating to the allocation or sharing of Taxes, including Tax indemnity agreements, other than customary commercial contracts entered into in the Ordinary Course of Business the primary purpose of which does not relate to Tax.</w:t>
      </w:r>
    </w:p>
    <w:p>
      <w:pPr>
        <w:spacing w:after="0" w:line="130"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Aspen and its Subsidiaries (i) has been a member of an affiliated group of corporations within the meaning of</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Section 1504 of the Code (or similar provision of local, state or non-U.S. Law), other than any affiliated group of which Aspen is the common parent or</w:t>
      </w:r>
    </w:p>
    <w:p>
      <w:pPr>
        <w:spacing w:after="0" w:line="14" w:lineRule="exact"/>
        <w:rPr>
          <w:sz w:val="20"/>
          <w:szCs w:val="20"/>
          <w:color w:val="auto"/>
        </w:rPr>
      </w:pPr>
    </w:p>
    <w:p>
      <w:pPr>
        <w:ind w:left="640" w:right="939" w:hanging="3"/>
        <w:spacing w:after="0" w:line="245" w:lineRule="auto"/>
        <w:tabs>
          <w:tab w:leader="none" w:pos="826"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w:t>
      </w:r>
    </w:p>
    <w:p>
      <w:pPr>
        <w:spacing w:after="0" w:line="135"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796"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Aspen and its Subsidiaries is subject to Tax in any jurisdiction other than the jurisdiction in which it is organized, by virtue of having a permanent establishment, fixed place of business or, to the Knowledge of Aspen, otherwise. As of the date hereof, no claim has been made by a Governmental Authority in a jurisdiction where Aspen or any of its Subsidiaries does not file Tax Returns that Aspen or any of its Subsidiaries is or may be subject to taxation by that jurisdiction.</w:t>
      </w:r>
    </w:p>
    <w:p>
      <w:pPr>
        <w:spacing w:after="0" w:line="132"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24"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is not and has not been a United States real property holding corporation within the meaning of Section 897(c)(2) of the Code in the last five (5) years.</w:t>
      </w:r>
    </w:p>
    <w:p>
      <w:pPr>
        <w:spacing w:after="0" w:line="122" w:lineRule="exact"/>
        <w:rPr>
          <w:rFonts w:ascii="Times New Roman" w:cs="Times New Roman" w:eastAsia="Times New Roman" w:hAnsi="Times New Roman"/>
          <w:sz w:val="13"/>
          <w:szCs w:val="13"/>
          <w:color w:val="auto"/>
        </w:rPr>
      </w:pPr>
    </w:p>
    <w:p>
      <w:pPr>
        <w:jc w:val="both"/>
        <w:ind w:left="640" w:right="879" w:firstLine="1003"/>
        <w:spacing w:after="0" w:line="309" w:lineRule="auto"/>
        <w:tabs>
          <w:tab w:leader="none" w:pos="1796"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Aspen nor any of its Subsidiaries is aware of any facts or circumstances or has taken or agreed to take or refrain from taking any action, in each case, that would reasonably be expected to prevent or impede the Merger from qualifying for the Intended Tax Treatment.</w:t>
      </w:r>
    </w:p>
    <w:p>
      <w:pPr>
        <w:spacing w:after="0" w:line="1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4.17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6" w:lineRule="auto"/>
        <w:tabs>
          <w:tab w:leader="none" w:pos="1817"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Aspen, taken as a whole. Aspen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w:t>
      </w:r>
    </w:p>
    <w:p>
      <w:pPr>
        <w:spacing w:after="0" w:line="137" w:lineRule="exact"/>
        <w:rPr>
          <w:rFonts w:ascii="Times New Roman" w:cs="Times New Roman" w:eastAsia="Times New Roman" w:hAnsi="Times New Roman"/>
          <w:sz w:val="13"/>
          <w:szCs w:val="13"/>
          <w:color w:val="auto"/>
        </w:rPr>
      </w:pPr>
    </w:p>
    <w:p>
      <w:pPr>
        <w:ind w:left="640" w:right="839" w:firstLine="1003"/>
        <w:spacing w:after="0" w:line="248" w:lineRule="auto"/>
        <w:tabs>
          <w:tab w:leader="none" w:pos="1824"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Aspen and, as of the date hereof, there is not, to the Knowledge of Aspen, any attempt to organize any employees of Aspen for the purpose of forming or joining a labor union or works council. Since January 1, 2021 to the date hereof, there has been no strike, slowdown, picketing, lockout, job action, work stoppage, union organizing activity or other labor dispute, or, to the Knowledge of Aspen, any threat thereof, affecting Aspen or any of its employees.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5" w:name="page76"/>
    <w:bookmarkEnd w:id="75"/>
    <w:p>
      <w:pPr>
        <w:ind w:left="640" w:right="659" w:firstLine="1003"/>
        <w:spacing w:after="0" w:line="248" w:lineRule="auto"/>
        <w:tabs>
          <w:tab w:leader="none" w:pos="1817"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is not, and since January 1, 2021 has not been, any Legal Proceeding pending, or to the Knowledge of Aspen,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employee of Aspen, including unfair labor practices, misclassification of independent contractors or consultants, unlawful retaliation, discrimination or harassment complaints, in each case that is material to Aspen, taken as a whole.</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24"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the past three (3) years, Aspen has not implemented any plant closing or layoff of employees that (in either case) violated the United States Worker Adjustment and Retraining Notification Act, as amended, or any similar state, local or foreign law (together, “</w:t>
      </w:r>
      <w:r>
        <w:rPr>
          <w:rFonts w:ascii="Times New Roman" w:cs="Times New Roman" w:eastAsia="Times New Roman" w:hAnsi="Times New Roman"/>
          <w:sz w:val="13"/>
          <w:szCs w:val="13"/>
          <w:u w:val="single" w:color="auto"/>
          <w:color w:val="auto"/>
        </w:rPr>
        <w:t>WARN</w:t>
      </w:r>
      <w:r>
        <w:rPr>
          <w:rFonts w:ascii="Times New Roman" w:cs="Times New Roman" w:eastAsia="Times New Roman" w:hAnsi="Times New Roman"/>
          <w:sz w:val="13"/>
          <w:szCs w:val="13"/>
          <w:color w:val="auto"/>
        </w:rPr>
        <w:t>”) and Aspen has not incurred any material liability under WARN that remains unsatisfied.</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17"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4.17(e)</w:t>
      </w:r>
      <w:r>
        <w:rPr>
          <w:rFonts w:ascii="Times New Roman" w:cs="Times New Roman" w:eastAsia="Times New Roman" w:hAnsi="Times New Roman"/>
          <w:sz w:val="13"/>
          <w:szCs w:val="13"/>
          <w:color w:val="auto"/>
        </w:rPr>
        <w:t xml:space="preserve"> of the Aspen Disclosure Schedule sets forth a correct and complete list of each material Aspen Employee Plan. Aspen has made available to Company, with respect to each material Aspen Employee Plan, accurate and complete copies (as applicable) of: (i) all plan documents and all amendments thereto, and all related trust or other funding documents, and in the case of unwritten material Aspen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Aspen Employee Plan.</w:t>
      </w:r>
    </w:p>
    <w:p>
      <w:pPr>
        <w:spacing w:after="0" w:line="138"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03"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Aspen Employee Plan that is intended to be qualified under Section 401(a) of the Code has received or is permitted to rely upon a favorable determination or opinion letter that it is so qualified, and to the Knowledge of Aspen, there are no circumstances that would reasonably be expected to cause the loss of such qualification.</w:t>
      </w:r>
    </w:p>
    <w:p>
      <w:pPr>
        <w:spacing w:after="0" w:line="130" w:lineRule="exact"/>
        <w:rPr>
          <w:rFonts w:ascii="Times New Roman" w:cs="Times New Roman" w:eastAsia="Times New Roman" w:hAnsi="Times New Roman"/>
          <w:sz w:val="13"/>
          <w:szCs w:val="13"/>
          <w:color w:val="auto"/>
        </w:rPr>
      </w:pPr>
    </w:p>
    <w:p>
      <w:pPr>
        <w:ind w:left="640" w:right="739" w:firstLine="1003"/>
        <w:spacing w:after="0" w:line="247" w:lineRule="auto"/>
        <w:tabs>
          <w:tab w:leader="none" w:pos="1824"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is not, and would not reasonably be expected to be, individually or in the aggregate, material to Aspen and its Subsidiaries, taken as a whole, each Aspen Employee Plan has been operated, maintained and administered in compliance with its terms and with the requirements prescribed by applicable Laws, including ERISA and the Code. As of the date hereof, no Legal Proceeding or governmental audit is pending with respect to any Aspen Employee Plan (other than routine claims for benefits) and, to the Knowledge of the Aspen, no such Legal Proceeding or governmental audit is threatened; and there are no governmental investigations pending or, to the Knowledge of the Aspen, threatened in connection with any Aspen Employee Plan, the assets of any trust under any Aspen Employee Plan or the plan sponsor, the plan administrator or any fiduciary under any Aspen Employee Plan.</w:t>
      </w:r>
    </w:p>
    <w:p>
      <w:pPr>
        <w:spacing w:after="0" w:line="136" w:lineRule="exact"/>
        <w:rPr>
          <w:rFonts w:ascii="Times New Roman" w:cs="Times New Roman" w:eastAsia="Times New Roman" w:hAnsi="Times New Roman"/>
          <w:sz w:val="13"/>
          <w:szCs w:val="13"/>
          <w:color w:val="auto"/>
        </w:rPr>
      </w:pPr>
    </w:p>
    <w:p>
      <w:pPr>
        <w:ind w:left="640" w:right="719" w:firstLine="1003"/>
        <w:spacing w:after="0" w:line="275" w:lineRule="auto"/>
        <w:tabs>
          <w:tab w:leader="none" w:pos="1824"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Aspen nor any of its respective directors, officers, employees or agents has, with respect to any Aspen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Aspen or any Aspen Employee Plan or for which Aspen has any future indemnification obligation, except, in each case, as would not reasonably be expected, individually or in the aggregate, to result in material liability to Aspen.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6" w:name="page77"/>
    <w:bookmarkEnd w:id="76"/>
    <w:p>
      <w:pPr>
        <w:ind w:left="640" w:right="679" w:firstLine="1003"/>
        <w:spacing w:after="0" w:line="248" w:lineRule="auto"/>
        <w:tabs>
          <w:tab w:leader="none" w:pos="1796"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Aspen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Aspen.</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796"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Aspen Employee Plan provides for, and Aspen does not have any present or future obligation to provide, post-retirement or post-termination health, life insurance or other welfare benefits except as required under Part 6 of Subtitle B of Title I of ERISA or Section 4980B of the Code or similar state Law.</w:t>
      </w:r>
    </w:p>
    <w:p>
      <w:pPr>
        <w:spacing w:after="0" w:line="130"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24"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does not have any obligation to pay or provide any tax “gross-up” or similar “make-whole” payments or indemnities to any current or former employee, officer, director or other service provider of Aspen.</w:t>
      </w:r>
    </w:p>
    <w:p>
      <w:pPr>
        <w:spacing w:after="0" w:line="122" w:lineRule="exact"/>
        <w:rPr>
          <w:rFonts w:ascii="Times New Roman" w:cs="Times New Roman" w:eastAsia="Times New Roman" w:hAnsi="Times New Roman"/>
          <w:sz w:val="13"/>
          <w:szCs w:val="13"/>
          <w:color w:val="auto"/>
        </w:rPr>
      </w:pPr>
    </w:p>
    <w:p>
      <w:pPr>
        <w:ind w:left="640" w:right="939" w:firstLine="1003"/>
        <w:spacing w:after="0" w:line="251" w:lineRule="auto"/>
        <w:tabs>
          <w:tab w:leader="none" w:pos="1796"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applicable, all Aspen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Aspen.</w:t>
      </w:r>
    </w:p>
    <w:p>
      <w:pPr>
        <w:spacing w:after="0" w:line="132" w:lineRule="exact"/>
        <w:rPr>
          <w:rFonts w:ascii="Times New Roman" w:cs="Times New Roman" w:eastAsia="Times New Roman" w:hAnsi="Times New Roman"/>
          <w:sz w:val="13"/>
          <w:szCs w:val="13"/>
          <w:color w:val="auto"/>
        </w:rPr>
      </w:pPr>
    </w:p>
    <w:p>
      <w:pPr>
        <w:ind w:left="640" w:right="779" w:firstLine="1003"/>
        <w:spacing w:after="0" w:line="269" w:lineRule="auto"/>
        <w:tabs>
          <w:tab w:leader="none" w:pos="1859"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Aspen of any payment or benefit that is or could be characterized as a “parachute payment” (within the meaning of Section 280G of the Code), determined without regard to the application of</w:t>
      </w: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Section 280G(b)(5) of the Code.</w:t>
      </w:r>
    </w:p>
    <w:p>
      <w:pPr>
        <w:spacing w:after="0" w:line="140"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Aspen Employee Plan that is a “nonqualified deferred compensation plan” (as such term is defined under Section 409A(d)</w:t>
      </w:r>
    </w:p>
    <w:p>
      <w:pPr>
        <w:spacing w:after="0" w:line="26"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and the guidance thereunder) has been operated and maintained in compliance in all material respects with the requirements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Section 409A of the Code and the applicable guidance thereunder.</w:t>
      </w:r>
    </w:p>
    <w:p>
      <w:pPr>
        <w:spacing w:after="0" w:line="141"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4.18 </w:t>
      </w:r>
      <w:r>
        <w:rPr>
          <w:rFonts w:ascii="Times New Roman" w:cs="Times New Roman" w:eastAsia="Times New Roman" w:hAnsi="Times New Roman"/>
          <w:sz w:val="12"/>
          <w:szCs w:val="12"/>
          <w:u w:val="single" w:color="auto"/>
          <w:color w:val="auto"/>
        </w:rPr>
        <w:t>Environmental Matters</w:t>
      </w:r>
      <w:r>
        <w:rPr>
          <w:rFonts w:ascii="Times New Roman" w:cs="Times New Roman" w:eastAsia="Times New Roman" w:hAnsi="Times New Roman"/>
          <w:sz w:val="12"/>
          <w:szCs w:val="12"/>
          <w:color w:val="auto"/>
        </w:rPr>
        <w:t>. Since January 1, 2022, Aspen and each of its Subsidiaries has complied with all applicable Environmental Laws, which compliance includes the possession by Aspen of all permits and other Governmental Authorizations required under applicable Environmental Laws and compliance with the terms and conditions thereof, except for any failure to be in compliance that, individually or in the aggregate, would not result in an Aspen Material Adverse Effect. Neither Aspen nor any of its Subsidiaries has received since January 1, 2022, any written notice or other communication (in writing or otherwise), whether from a Governmental Authority, citizens group, employee or otherwise, that alleges that Aspen or any of its Subsidiaries is not in compliance with any Environmental Law, and, to the Knowledge of Aspen, there are no circumstances that may prevent or interfere with Aspen’s or any of its Subsidiaries’ compliance with any Environmental Law in the future, except where such failure to comply would not reasonably be expected to have an Aspen Material Adverse Effect. To the Knowledge of Aspen: (i) no current or prior owner of any property leased or controlled by Aspen or any of its Subsidiaries has received since January 1, 2022, any written notice or other communication relating to property owned or leased at any time by Aspen or any of its Subsidiaries, whether from a Governmental Authority, citizens group, employee or otherwise, that alleges that such current or prior owner or Aspen or any of its Subsidiaries is not in compliance with or violated any Environmental Law relating to such property and (ii) neither Aspen nor any of its Subsidiaries has any material liability under any Environmental Law.</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7" w:name="page78"/>
    <w:bookmarkEnd w:id="77"/>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4.19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Aspen has made available to the Company accurate and complete copies or summaries of all material insurance policies and all material self-insurance programs and arrangements relating to the business, assets, liabilities and operations of Aspen and its Subsidiaries (including Merger Sub). Each of such insurance policies is in full force and effect and Aspen and its Subsidiaries (including Merger Sub) are in compliance in all material respects with the terms thereof. Other than customary end of policy notifications from insurance carriers, since January 1, 2022, neither Aspen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Aspen and its Subsidiaries (including Merger Sub) has provided timely written notice to the appropriate insurance carrier(s) of each Legal Proceeding pending against Aspen or such Subsidiary for which Aspen or such Subsidiary has insurance coverage, and no such carrier has issued a denial of coverage or a reservation of rights with respect to any such Legal Proceeding, or informed Aspen or any of its Subsidiaries of its intent to do so.</w:t>
      </w:r>
    </w:p>
    <w:p>
      <w:pPr>
        <w:spacing w:after="0" w:line="136"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4.20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xml:space="preserve">. Except as set forth in the Aspen SEC Documents filed prior to the date of this Agreement, since the date of Aspen’s last proxy statement filed in 2023 with the SEC, no event has occurred that would be required to be reported by Aspen pursuant to Item 404 of Regulation S-K promulgated by the SEC. </w:t>
      </w:r>
      <w:r>
        <w:rPr>
          <w:rFonts w:ascii="Times New Roman" w:cs="Times New Roman" w:eastAsia="Times New Roman" w:hAnsi="Times New Roman"/>
          <w:sz w:val="13"/>
          <w:szCs w:val="13"/>
          <w:u w:val="single" w:color="auto"/>
          <w:color w:val="auto"/>
        </w:rPr>
        <w:t>Section 4.20</w:t>
      </w:r>
      <w:r>
        <w:rPr>
          <w:rFonts w:ascii="Times New Roman" w:cs="Times New Roman" w:eastAsia="Times New Roman" w:hAnsi="Times New Roman"/>
          <w:sz w:val="13"/>
          <w:szCs w:val="13"/>
          <w:color w:val="auto"/>
        </w:rPr>
        <w:t xml:space="preserve"> of the Aspen Disclosure Schedule identifies each Person who is (or who may be deemed to be) an Affiliate of Aspen as of the date of this Agreement.</w:t>
      </w:r>
    </w:p>
    <w:p>
      <w:pPr>
        <w:spacing w:after="0" w:line="133"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4.21 No Financial Advisors. Except as set forth on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 xml:space="preserve"> of the Aspen Disclosure Schedule, no broker, finder or investment banker is entitled to any brokerage fee, finder’s fee, opinion fee, success fee, transaction fee or other fee or commission in connection with the Contemplated Transactions based upon arrangements made by or on behalf of Aspen.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-215265</wp:posOffset>
            </wp:positionV>
            <wp:extent cx="74612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6125" cy="5715"/>
                    </a:xfrm>
                    <a:prstGeom prst="rect">
                      <a:avLst/>
                    </a:prstGeom>
                    <a:noFill/>
                  </pic:spPr>
                </pic:pic>
              </a:graphicData>
            </a:graphic>
          </wp:anchor>
        </w:drawing>
      </w:r>
    </w:p>
    <w:p>
      <w:pPr>
        <w:spacing w:after="0" w:line="110"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4.22 </w:t>
      </w:r>
      <w:r>
        <w:rPr>
          <w:rFonts w:ascii="Times New Roman" w:cs="Times New Roman" w:eastAsia="Times New Roman" w:hAnsi="Times New Roman"/>
          <w:sz w:val="13"/>
          <w:szCs w:val="13"/>
          <w:u w:val="single" w:color="auto"/>
          <w:color w:val="auto"/>
        </w:rPr>
        <w:t>Valid Issuance</w:t>
      </w:r>
      <w:r>
        <w:rPr>
          <w:rFonts w:ascii="Times New Roman" w:cs="Times New Roman" w:eastAsia="Times New Roman" w:hAnsi="Times New Roman"/>
          <w:sz w:val="13"/>
          <w:szCs w:val="13"/>
          <w:color w:val="auto"/>
        </w:rPr>
        <w:t>. The Aspen Common Stock to be issued in the Merger will, when issued in accordance with the provisions of this Agreement, be validly issued, fully paid and nonassessable.</w:t>
      </w:r>
    </w:p>
    <w:p>
      <w:pPr>
        <w:spacing w:after="0" w:line="122"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4.23 </w:t>
      </w:r>
      <w:r>
        <w:rPr>
          <w:rFonts w:ascii="Times New Roman" w:cs="Times New Roman" w:eastAsia="Times New Roman" w:hAnsi="Times New Roman"/>
          <w:sz w:val="13"/>
          <w:szCs w:val="13"/>
          <w:u w:val="single" w:color="auto"/>
          <w:color w:val="auto"/>
        </w:rPr>
        <w:t>Privacy and Data Security</w:t>
      </w:r>
      <w:r>
        <w:rPr>
          <w:rFonts w:ascii="Times New Roman" w:cs="Times New Roman" w:eastAsia="Times New Roman" w:hAnsi="Times New Roman"/>
          <w:sz w:val="13"/>
          <w:szCs w:val="13"/>
          <w:color w:val="auto"/>
        </w:rPr>
        <w:t>. Since January 1, 2021, each of Aspen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Aspen and its Subsidiaries, taken as a whole. Since January 1, 2021, Aspen and its Subsidiaries have complied in all material respects with each of their respective Privacy Policies, if applicable and required. Aspen and its Subsidiaries maintain commercially reasonable policies, procedures and security measures with respect to the physical and electronic security and privacy of Personal Information that are designed to achieve compliance in all material respects with Privacy Laws, and Aspen and its Subsidiaries are in compliance in all material respects with such policies and procedures. To the Knowledge of Aspen, there have been no material breaches or material violations of any security measures of Aspen and its Subsidiaries, or any material unauthorized access, use or disclosure of any Personal Information. None of Aspen and its Subsidiaries has received written notice (or, to the Knowledge of Aspen, any other communication) of (a) any material violation or breach, or alleged material violation or breach, of Privacy Laws and/or Privacy Policies, or (b) any claims against any of Aspen and its Subsidiaries by any Person, and there is no Legal Proceeding pending or, to Knowledge of Aspen, threatened against any of Aspen and its Subsidiaries, alleging a violation or breach of Privacy Laws and/or Privacy Policies, except in each case as would not be material to Aspen and its Subsidiaries, taken as a whole.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8" w:name="page79"/>
    <w:bookmarkEnd w:id="7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4.24 </w:t>
      </w:r>
      <w:r>
        <w:rPr>
          <w:rFonts w:ascii="Times New Roman" w:cs="Times New Roman" w:eastAsia="Times New Roman" w:hAnsi="Times New Roman"/>
          <w:sz w:val="13"/>
          <w:szCs w:val="13"/>
          <w:u w:val="single" w:color="auto"/>
          <w:color w:val="auto"/>
        </w:rPr>
        <w:t>Anti-Corruption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7" w:lineRule="auto"/>
        <w:tabs>
          <w:tab w:leader="none" w:pos="1817"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Aspen nor Merger Sub, nor any director or officer or, to the Knowledge of Aspen, any employee of Aspen or Merger Sub (acting in the capacity of a director, officer or employee of Aspen or Merger Sub) or, to the Knowledge of Aspen or Merger Sub, any representative or agent of Aspen or Merger Sub (acting in the capacity of a representative or agent of Aspen or Merger Sub), has directly or indirectly (i) given any funds (whether of Aspen or Merger Sub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campaigns or solicited or accepted any such payment or thing of value, or</w:t>
      </w:r>
    </w:p>
    <w:p>
      <w:pPr>
        <w:spacing w:after="0" w:line="1"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61"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violated any provision of any Anti-Corruption Law.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has not received any written communication (or, to the Knowledge of Aspen, any other communication) that alleges any of the foregoing. To the Knowledge of Aspen, Aspen has disclosed to the Company any and all allegations that have been made of any potential wrongdoing by Aspen, Merger Sub, or by any director, officer, employee, agent or representative of Aspen or Merger Sub (acting in the capacity of a director, officer, employee, agent or representative of Aspen or Merger Sub) with respect to any Anti-Corruption Law.</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not, and since January 1, 2021, there have not been, any Legal Proceedings with respect to any Anti-Corruption Law pending or, to the Knowledge of Aspen, threatened in writing against Aspen, Merger Sub,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has made any disclosure (voluntary or otherwise) to any Governmental Authority with respect to any alleged irregularity, misstatement, omission or other potential violation or liability arising under or relating to any Anti-Corruption Law.</w:t>
      </w:r>
    </w:p>
    <w:p>
      <w:pPr>
        <w:spacing w:after="0" w:line="137" w:lineRule="exact"/>
        <w:rPr>
          <w:sz w:val="20"/>
          <w:szCs w:val="20"/>
          <w:color w:val="auto"/>
        </w:rPr>
      </w:pPr>
    </w:p>
    <w:p>
      <w:pPr>
        <w:ind w:left="640" w:right="659" w:firstLine="696"/>
        <w:spacing w:after="0" w:line="268" w:lineRule="auto"/>
        <w:rPr>
          <w:sz w:val="20"/>
          <w:szCs w:val="20"/>
          <w:color w:val="auto"/>
        </w:rPr>
      </w:pPr>
      <w:r>
        <w:rPr>
          <w:rFonts w:ascii="Times New Roman" w:cs="Times New Roman" w:eastAsia="Times New Roman" w:hAnsi="Times New Roman"/>
          <w:sz w:val="12"/>
          <w:szCs w:val="12"/>
          <w:color w:val="auto"/>
        </w:rPr>
        <w:t xml:space="preserve">4.25 </w:t>
      </w:r>
      <w:r>
        <w:rPr>
          <w:rFonts w:ascii="Times New Roman" w:cs="Times New Roman" w:eastAsia="Times New Roman" w:hAnsi="Times New Roman"/>
          <w:sz w:val="12"/>
          <w:szCs w:val="12"/>
          <w:u w:val="single" w:color="auto"/>
          <w:color w:val="auto"/>
        </w:rPr>
        <w:t>Sanctions Laws</w:t>
      </w:r>
      <w:r>
        <w:rPr>
          <w:rFonts w:ascii="Times New Roman" w:cs="Times New Roman" w:eastAsia="Times New Roman" w:hAnsi="Times New Roman"/>
          <w:sz w:val="12"/>
          <w:szCs w:val="12"/>
          <w:color w:val="auto"/>
        </w:rPr>
        <w:t>. Since January 1, 2021, neither Aspen nor Merger Sub, nor any director or officer or, to the Knowledge of Aspen, any employee of Aspen nor Merger Sub (acting in the capacity of a director, officer or employee of Aspen or Merger Sub) or, to the Knowledge of Aspen, any representative or agent of Aspen nor Merger Sub (acting in the capacity of a representative or agent of Aspen nor Merger Sub),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since January 1, 2021, there have not been, any Legal Proceedings, allegations, investigations or inquiries concerning any actual or suspected violations of any Sanctions Law pending or to the Knowledge of Aspen threatened in writing against Aspen, any director or officer or, to the Knowledge of Aspen, any employee of Aspen nor Merger Sub (acting in the capacity of a director, officer or employee of Aspen nor Merger Sub) or, to the Knowledge of Aspen, any representative or agent of Aspen nor Merger Sub (acting in the capacity of a representative or agent of Aspen nor Merger Sub). Neither Aspen nor Merger Sub, nor any director, officer or employee of any of Aspen or Merger Sub, is a Sanctioned Person. Since January 1, 2021, neither Aspen nor Merger Sub has had, directly or indirectly, any unlawful transactions with or unlawful investments in any Sanctioned Person or Sanctioned Country.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79" w:name="page80"/>
    <w:bookmarkEnd w:id="79"/>
    <w:p>
      <w:pPr>
        <w:ind w:left="640" w:right="719" w:firstLine="696"/>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4.26 No Other Representations or Warranties. Aspen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Aspen, Merger Sub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(in each case as qualified and limited by the Company Disclosure Schedule)) none of Aspen, Merger Sub nor any of their respective Representatives or stockholders, has relied on any such information (including the accuracy or completeness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-596900</wp:posOffset>
            </wp:positionV>
            <wp:extent cx="130556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05560" cy="5715"/>
                    </a:xfrm>
                    <a:prstGeom prst="rect">
                      <a:avLst/>
                    </a:prstGeom>
                    <a:noFill/>
                  </pic:spPr>
                </pic:pic>
              </a:graphicData>
            </a:graphic>
          </wp:anchor>
        </w:drawing>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Certain Covenants of the Parties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Operation of Aspen’s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7" w:lineRule="auto"/>
        <w:tabs>
          <w:tab w:leader="none" w:pos="1817"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(ii) as set forth on Section 5.1(a) of the Aspen Disclosure Schedule, (iii) as required by applicable Law, or (iv) with the prior written consent of the Company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and the Effective Time (the “</w:t>
      </w:r>
      <w:r>
        <w:rPr>
          <w:rFonts w:ascii="Times New Roman" w:cs="Times New Roman" w:eastAsia="Times New Roman" w:hAnsi="Times New Roman"/>
          <w:sz w:val="13"/>
          <w:szCs w:val="13"/>
          <w:b w:val="1"/>
          <w:bCs w:val="1"/>
          <w:color w:val="auto"/>
        </w:rPr>
        <w:t>Pre-Closing Period</w:t>
      </w:r>
      <w:r>
        <w:rPr>
          <w:rFonts w:ascii="Times New Roman" w:cs="Times New Roman" w:eastAsia="Times New Roman" w:hAnsi="Times New Roman"/>
          <w:sz w:val="13"/>
          <w:szCs w:val="13"/>
          <w:color w:val="auto"/>
        </w:rPr>
        <w:t>”), Aspen shall, and shall cause its Subsidiaries to, use commercially reasonable efforts to (x) conduct its business and operations in the Ordinary Course of Business and in material compliance with all applicable Law and the requirements of all Contracts that constitute Aspen Material Contracts and (y) continue to pay material outstanding accounts payable and other material current Liabilities (including payroll) when due and payable.</w:t>
      </w:r>
    </w:p>
    <w:p>
      <w:pPr>
        <w:spacing w:after="0" w:line="136"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824"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(ii) as set forth in </w:t>
      </w:r>
      <w:r>
        <w:rPr>
          <w:rFonts w:ascii="Times New Roman" w:cs="Times New Roman" w:eastAsia="Times New Roman" w:hAnsi="Times New Roman"/>
          <w:sz w:val="13"/>
          <w:szCs w:val="13"/>
          <w:u w:val="single" w:color="auto"/>
          <w:color w:val="auto"/>
        </w:rPr>
        <w:t>Section 5.1(b)</w:t>
      </w:r>
      <w:r>
        <w:rPr>
          <w:rFonts w:ascii="Times New Roman" w:cs="Times New Roman" w:eastAsia="Times New Roman" w:hAnsi="Times New Roman"/>
          <w:sz w:val="13"/>
          <w:szCs w:val="13"/>
          <w:color w:val="auto"/>
        </w:rPr>
        <w:t xml:space="preserve"> of the Aspen Disclosure Schedule, (iii) as required by applicable Law, or (iv) with the prior written consent of the Company (which consent shall not be unreasonably withheld, delayed or conditioned), at all times during the Pre-Closing Period, Aspen shall not, nor shall it cause or permit any of its Subsidiaries to, do any of the following:</w:t>
      </w:r>
    </w:p>
    <w:p>
      <w:pPr>
        <w:spacing w:after="0" w:line="56" w:lineRule="exact"/>
        <w:rPr>
          <w:rFonts w:ascii="Times New Roman" w:cs="Times New Roman" w:eastAsia="Times New Roman" w:hAnsi="Times New Roman"/>
          <w:sz w:val="13"/>
          <w:szCs w:val="13"/>
          <w:color w:val="auto"/>
        </w:rPr>
      </w:pPr>
    </w:p>
    <w:p>
      <w:pPr>
        <w:ind w:left="940" w:right="799" w:firstLine="972"/>
        <w:spacing w:after="0" w:line="255" w:lineRule="auto"/>
        <w:tabs>
          <w:tab w:leader="none" w:pos="2056"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accrue, set aside or pay any dividend or make any other distribution in respect of any shares of its capital stock or repurchase, redeem or otherwise reacquire any shares of its capital stock or other securities (except for shares of Aspen Common Stock from terminated employees, directors or consultants of Aspen);</w:t>
      </w:r>
    </w:p>
    <w:p>
      <w:pPr>
        <w:spacing w:after="0" w:line="54" w:lineRule="exact"/>
        <w:rPr>
          <w:rFonts w:ascii="Times New Roman" w:cs="Times New Roman" w:eastAsia="Times New Roman" w:hAnsi="Times New Roman"/>
          <w:sz w:val="13"/>
          <w:szCs w:val="13"/>
          <w:color w:val="auto"/>
        </w:rPr>
      </w:pPr>
    </w:p>
    <w:p>
      <w:pPr>
        <w:ind w:left="940" w:right="779" w:firstLine="972"/>
        <w:spacing w:after="0" w:line="251" w:lineRule="auto"/>
        <w:tabs>
          <w:tab w:leader="none" w:pos="2091"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issue, grant, pledge or otherwise dispose of or encumber or authorize the issuance of: (A) any capital stock or other security (except for Aspen Common Stock issued upon the valid exercise or settlement of outstanding Aspen Options or Aspen Restricted Stock Units, as applicable), (B) any option, warrant or right to acquire any capital stock or any other security or (C) any instrument convertible into or exchangeable for any capital stock or other security;</w:t>
      </w:r>
    </w:p>
    <w:p>
      <w:pPr>
        <w:spacing w:after="0" w:line="56" w:lineRule="exact"/>
        <w:rPr>
          <w:rFonts w:ascii="Times New Roman" w:cs="Times New Roman" w:eastAsia="Times New Roman" w:hAnsi="Times New Roman"/>
          <w:sz w:val="13"/>
          <w:szCs w:val="13"/>
          <w:color w:val="auto"/>
        </w:rPr>
      </w:pPr>
    </w:p>
    <w:p>
      <w:pPr>
        <w:jc w:val="both"/>
        <w:ind w:left="940" w:right="719" w:firstLine="972"/>
        <w:spacing w:after="0" w:line="255" w:lineRule="auto"/>
        <w:tabs>
          <w:tab w:leader="none" w:pos="2126"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54"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 any</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other Entity;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0" w:name="page81"/>
    <w:bookmarkEnd w:id="80"/>
    <w:p>
      <w:pPr>
        <w:ind w:left="940" w:right="1059" w:firstLine="972"/>
        <w:spacing w:after="0" w:line="267" w:lineRule="auto"/>
        <w:tabs>
          <w:tab w:leader="none" w:pos="2084"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lend money to any Person, (B) incur or guarantee any indebtedness for borrowed money, (C) guarantee any debt securities of others or (D) make any capital expenditure or commitment;</w:t>
      </w:r>
    </w:p>
    <w:p>
      <w:pPr>
        <w:spacing w:after="0" w:line="46"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1"/>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adopt, establish or enter into any Aspen Employee Plan, including, for avoidance of doubt, any equity awards plans,</w:t>
      </w:r>
    </w:p>
    <w:p>
      <w:pPr>
        <w:spacing w:after="0" w:line="26" w:lineRule="exact"/>
        <w:rPr>
          <w:rFonts w:ascii="Times New Roman" w:cs="Times New Roman" w:eastAsia="Times New Roman" w:hAnsi="Times New Roman"/>
          <w:sz w:val="12"/>
          <w:szCs w:val="12"/>
          <w:color w:val="auto"/>
        </w:rPr>
      </w:pPr>
    </w:p>
    <w:p>
      <w:pPr>
        <w:ind w:left="940" w:right="759" w:firstLine="7"/>
        <w:spacing w:after="0" w:line="263" w:lineRule="auto"/>
        <w:tabs>
          <w:tab w:leader="none" w:pos="114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or permit any Aspen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w:t>
      </w:r>
    </w:p>
    <w:p>
      <w:pPr>
        <w:spacing w:after="0" w:line="1" w:lineRule="exact"/>
        <w:rPr>
          <w:rFonts w:ascii="Times New Roman" w:cs="Times New Roman" w:eastAsia="Times New Roman" w:hAnsi="Times New Roman"/>
          <w:sz w:val="12"/>
          <w:szCs w:val="12"/>
          <w:color w:val="auto"/>
        </w:rPr>
      </w:pPr>
    </w:p>
    <w:p>
      <w:pPr>
        <w:jc w:val="both"/>
        <w:ind w:left="940" w:right="679" w:firstLine="7"/>
        <w:spacing w:after="0" w:line="244" w:lineRule="auto"/>
        <w:tabs>
          <w:tab w:leader="none" w:pos="1147"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or amend the severance or change of control benefits offered to any current or new employees, directors or consultants, or (E) hire or engage any officer, or, employee; provided, however, that consultants may be retained on terms permitting termination by Aspen without notice to provide supplemental support services as reasonably may be needed by Aspen, or to fill vacancies to the extent such positions are existing as of the date hereof and which vacancies occur after the date hereof;</w:t>
      </w:r>
    </w:p>
    <w:p>
      <w:pPr>
        <w:spacing w:after="0" w:line="61" w:lineRule="exact"/>
        <w:rPr>
          <w:rFonts w:ascii="Times New Roman" w:cs="Times New Roman" w:eastAsia="Times New Roman" w:hAnsi="Times New Roman"/>
          <w:sz w:val="13"/>
          <w:szCs w:val="13"/>
          <w:color w:val="auto"/>
        </w:rPr>
      </w:pPr>
    </w:p>
    <w:p>
      <w:pPr>
        <w:ind w:left="2160" w:hanging="248"/>
        <w:spacing w:after="0"/>
        <w:tabs>
          <w:tab w:leader="none" w:pos="2160"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material transaction outside the Ordinary Course of Business;</w:t>
      </w:r>
    </w:p>
    <w:p>
      <w:pPr>
        <w:spacing w:after="0" w:line="77" w:lineRule="exact"/>
        <w:rPr>
          <w:rFonts w:ascii="Times New Roman" w:cs="Times New Roman" w:eastAsia="Times New Roman" w:hAnsi="Times New Roman"/>
          <w:sz w:val="13"/>
          <w:szCs w:val="13"/>
          <w:color w:val="auto"/>
        </w:rPr>
      </w:pPr>
    </w:p>
    <w:p>
      <w:pPr>
        <w:ind w:left="940" w:right="659" w:firstLine="972"/>
        <w:spacing w:after="0" w:line="267" w:lineRule="auto"/>
        <w:tabs>
          <w:tab w:leader="none" w:pos="2189"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material asset or sell, lease, license or otherwise irrevocably dispose of any of its assets or properties, or grant any Encumbrance with respect to such assets or properties;</w:t>
      </w:r>
    </w:p>
    <w:p>
      <w:pPr>
        <w:spacing w:after="0" w:line="46"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make, change or revoke any material Tax election; (B) file any amended income or other material Tax Return;</w:t>
      </w:r>
    </w:p>
    <w:p>
      <w:pPr>
        <w:spacing w:after="0" w:line="15" w:lineRule="exact"/>
        <w:rPr>
          <w:rFonts w:ascii="Times New Roman" w:cs="Times New Roman" w:eastAsia="Times New Roman" w:hAnsi="Times New Roman"/>
          <w:sz w:val="13"/>
          <w:szCs w:val="13"/>
          <w:color w:val="auto"/>
        </w:rPr>
      </w:pPr>
    </w:p>
    <w:p>
      <w:pPr>
        <w:ind w:left="940" w:right="799" w:firstLine="7"/>
        <w:spacing w:after="0" w:line="244" w:lineRule="auto"/>
        <w:tabs>
          <w:tab w:leader="none" w:pos="114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(other than as a result of any extension to file a Tax Return that is automatically granted); or (F) apply for or surrender any claim for Tax refund;</w:t>
      </w:r>
    </w:p>
    <w:p>
      <w:pPr>
        <w:spacing w:after="0" w:line="61" w:lineRule="exact"/>
        <w:rPr>
          <w:rFonts w:ascii="Times New Roman" w:cs="Times New Roman" w:eastAsia="Times New Roman" w:hAnsi="Times New Roman"/>
          <w:sz w:val="13"/>
          <w:szCs w:val="13"/>
          <w:color w:val="auto"/>
        </w:rPr>
      </w:pPr>
    </w:p>
    <w:p>
      <w:pPr>
        <w:ind w:left="940" w:right="699" w:firstLine="972"/>
        <w:spacing w:after="0" w:line="249" w:lineRule="auto"/>
        <w:tabs>
          <w:tab w:leader="none" w:pos="2084"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settle or compromise any pending or threatened Legal Proceeding against Aspen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Aspen or its Subsidiaries, taken as a whole, or any equitable relief on, or the admission of wrongdoing by Aspen or any of its Subsidiaries;</w:t>
      </w:r>
    </w:p>
    <w:p>
      <w:pPr>
        <w:spacing w:after="0" w:line="58" w:lineRule="exact"/>
        <w:rPr>
          <w:rFonts w:ascii="Times New Roman" w:cs="Times New Roman" w:eastAsia="Times New Roman" w:hAnsi="Times New Roman"/>
          <w:sz w:val="13"/>
          <w:szCs w:val="13"/>
          <w:color w:val="auto"/>
        </w:rPr>
      </w:pPr>
    </w:p>
    <w:p>
      <w:pPr>
        <w:ind w:left="940" w:right="819" w:firstLine="972"/>
        <w:spacing w:after="0" w:line="255" w:lineRule="auto"/>
        <w:tabs>
          <w:tab w:leader="none" w:pos="2119"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 or fail to repay when due any material obligation, including accounts payable and accrued expenses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any such accounts payable or accrued expenses need not be paid if the validity or amount thereof shall at the time be contested in good faith);</w:t>
      </w:r>
    </w:p>
    <w:p>
      <w:pPr>
        <w:spacing w:after="0" w:line="54" w:lineRule="exact"/>
        <w:rPr>
          <w:rFonts w:ascii="Times New Roman" w:cs="Times New Roman" w:eastAsia="Times New Roman" w:hAnsi="Times New Roman"/>
          <w:sz w:val="13"/>
          <w:szCs w:val="13"/>
          <w:color w:val="auto"/>
        </w:rPr>
      </w:pPr>
    </w:p>
    <w:p>
      <w:pPr>
        <w:ind w:left="2160" w:hanging="248"/>
        <w:spacing w:after="0"/>
        <w:tabs>
          <w:tab w:leader="none" w:pos="2160"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forgive any loans to any Person, including its employees, officers, directors or Affiliate;</w:t>
      </w:r>
    </w:p>
    <w:p>
      <w:pPr>
        <w:spacing w:after="0" w:line="77" w:lineRule="exact"/>
        <w:rPr>
          <w:rFonts w:ascii="Times New Roman" w:cs="Times New Roman" w:eastAsia="Times New Roman" w:hAnsi="Times New Roman"/>
          <w:sz w:val="13"/>
          <w:szCs w:val="13"/>
          <w:color w:val="auto"/>
        </w:rPr>
      </w:pPr>
    </w:p>
    <w:p>
      <w:pPr>
        <w:ind w:left="2200" w:hanging="288"/>
        <w:spacing w:after="0"/>
        <w:tabs>
          <w:tab w:leader="none" w:pos="2200"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terminate or modify in any material respect, or fail to exercise renewal rights with respect to, any material insurance</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policy;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81" w:name="page82"/>
    <w:bookmarkEnd w:id="81"/>
    <w:p>
      <w:pPr>
        <w:jc w:val="both"/>
        <w:ind w:left="940" w:right="959" w:firstLine="972"/>
        <w:spacing w:after="0" w:line="255" w:lineRule="auto"/>
        <w:tabs>
          <w:tab w:leader="none" w:pos="2182"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materially change pricing or royalties or other payments set or charged by Aspen or any of its Subsidiaries to its customers or licensees or (B) agree to materially change pricing or royalties or other payments set or charged by Persons who have licensed Intellectual Property to Aspen or any of its Subsidiaries;</w:t>
      </w:r>
    </w:p>
    <w:p>
      <w:pPr>
        <w:spacing w:after="0" w:line="54" w:lineRule="exact"/>
        <w:rPr>
          <w:rFonts w:ascii="Times New Roman" w:cs="Times New Roman" w:eastAsia="Times New Roman" w:hAnsi="Times New Roman"/>
          <w:sz w:val="13"/>
          <w:szCs w:val="13"/>
          <w:color w:val="auto"/>
        </w:rPr>
      </w:pPr>
    </w:p>
    <w:p>
      <w:pPr>
        <w:ind w:left="2160" w:hanging="248"/>
        <w:spacing w:after="0"/>
        <w:tabs>
          <w:tab w:leader="none" w:pos="21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or terminate any Aspen Material Contract except as permitted under subparagraph (c) below; or</w:t>
      </w:r>
    </w:p>
    <w:p>
      <w:pPr>
        <w:spacing w:after="0" w:line="77" w:lineRule="exact"/>
        <w:rPr>
          <w:rFonts w:ascii="Times New Roman" w:cs="Times New Roman" w:eastAsia="Times New Roman" w:hAnsi="Times New Roman"/>
          <w:sz w:val="13"/>
          <w:szCs w:val="13"/>
          <w:color w:val="auto"/>
        </w:rPr>
      </w:pPr>
    </w:p>
    <w:p>
      <w:pPr>
        <w:ind w:left="2180" w:hanging="268"/>
        <w:spacing w:after="0"/>
        <w:tabs>
          <w:tab w:leader="none" w:pos="218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4" w:lineRule="exact"/>
        <w:rPr>
          <w:sz w:val="20"/>
          <w:szCs w:val="20"/>
          <w:color w:val="auto"/>
        </w:rPr>
      </w:pPr>
    </w:p>
    <w:p>
      <w:pPr>
        <w:ind w:left="640" w:right="899"/>
        <w:spacing w:after="0" w:line="255" w:lineRule="auto"/>
        <w:rPr>
          <w:sz w:val="20"/>
          <w:szCs w:val="20"/>
          <w:color w:val="auto"/>
        </w:rPr>
      </w:pPr>
      <w:r>
        <w:rPr>
          <w:rFonts w:ascii="Times New Roman" w:cs="Times New Roman" w:eastAsia="Times New Roman" w:hAnsi="Times New Roman"/>
          <w:sz w:val="13"/>
          <w:szCs w:val="13"/>
          <w:color w:val="auto"/>
        </w:rPr>
        <w:t>Nothing contained in this Agreement shall give the Company, directly or indirectly, the right to control or direct the operations of Aspen prior to the Effective Time. Prior to the Effective Time, Aspen shall exercise, consistent with the terms and conditions of this Agreement, complete unilateral control and supervision over its business operations.</w:t>
      </w:r>
    </w:p>
    <w:p>
      <w:pPr>
        <w:spacing w:after="0" w:line="130" w:lineRule="exact"/>
        <w:rPr>
          <w:sz w:val="20"/>
          <w:szCs w:val="20"/>
          <w:color w:val="auto"/>
        </w:rPr>
      </w:pPr>
    </w:p>
    <w:p>
      <w:pPr>
        <w:ind w:left="640" w:right="699" w:firstLine="1003"/>
        <w:spacing w:after="0" w:line="272" w:lineRule="auto"/>
        <w:tabs>
          <w:tab w:leader="none" w:pos="1817"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 provision herein to the contrary (including the foregoing provisions of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Aspen may engage in the sale, license, transfer, disposition, divestiture or other monetization transaction (i.e., a royalty transaction) and/or winding down of Aspen’s business or operations as they exist prior to the Closing or the sale, license, transfer, disposition, divestiture or other monetization transaction (i.e., a royalty transaction) or other disposition of any Aspen Pre-Closing Asset (each, an “</w:t>
      </w:r>
      <w:r>
        <w:rPr>
          <w:rFonts w:ascii="Times New Roman" w:cs="Times New Roman" w:eastAsia="Times New Roman" w:hAnsi="Times New Roman"/>
          <w:sz w:val="12"/>
          <w:szCs w:val="12"/>
          <w:b w:val="1"/>
          <w:bCs w:val="1"/>
          <w:color w:val="auto"/>
        </w:rPr>
        <w:t>Aspen Pre-Closing Transaction</w:t>
      </w:r>
      <w:r>
        <w:rPr>
          <w:rFonts w:ascii="Times New Roman" w:cs="Times New Roman" w:eastAsia="Times New Roman" w:hAnsi="Times New Roman"/>
          <w:sz w:val="12"/>
          <w:szCs w:val="12"/>
          <w:color w:val="auto"/>
        </w:rPr>
        <w:t xml:space="preserve">”), including entering into Contracts or amending or terminating Contracts in connection with any of the foregoing;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Aspen Pre-Closing Transaction results in obligations of Aspen that will extend after Closing, then such terms shall be reasonably acceptable to Company.</w:t>
      </w:r>
    </w:p>
    <w:p>
      <w:pPr>
        <w:spacing w:after="0" w:line="1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Operation of the Company’s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1003"/>
        <w:spacing w:after="0" w:line="249" w:lineRule="auto"/>
        <w:tabs>
          <w:tab w:leader="none" w:pos="1817"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including the Subscription Agreement, (ii) as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of the Company Disclosure Schedule, (iii) as required by applicable Law, or (iv) with the prior written consent of Aspen (which consent shall not be unreasonably withheld, delayed or conditioned), during the Pre-Closing Period the Company shall, and shall cause its Subsidiaries to, use commercially reasonable efforts to conduct its business and operations in the Ordinary Course of Business and in material compliance with all applicable Law and the requirements of all Contracts that constitute Company Material Contracts.</w:t>
      </w:r>
    </w:p>
    <w:p>
      <w:pPr>
        <w:spacing w:after="0" w:line="134" w:lineRule="exact"/>
        <w:rPr>
          <w:rFonts w:ascii="Times New Roman" w:cs="Times New Roman" w:eastAsia="Times New Roman" w:hAnsi="Times New Roman"/>
          <w:sz w:val="13"/>
          <w:szCs w:val="13"/>
          <w:color w:val="auto"/>
        </w:rPr>
      </w:pPr>
    </w:p>
    <w:p>
      <w:pPr>
        <w:jc w:val="both"/>
        <w:ind w:left="640" w:right="759" w:firstLine="1003"/>
        <w:spacing w:after="0" w:line="251" w:lineRule="auto"/>
        <w:tabs>
          <w:tab w:leader="none" w:pos="1824"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including the Subscription Agreement, (ii) as set forth in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 xml:space="preserve"> of the Company Disclosure Schedule, (iii) as required by applicable Law, or (iv) with the prior written consent of Aspen (which consent shall not be unreasonably withheld, delayed or conditioned), at all times during the Pre-Closing Period, the Company shall not, nor shall it cause or permit any of its Subsidiaries to, do any of the following:</w:t>
      </w:r>
    </w:p>
    <w:p>
      <w:pPr>
        <w:spacing w:after="0" w:line="56" w:lineRule="exact"/>
        <w:rPr>
          <w:rFonts w:ascii="Times New Roman" w:cs="Times New Roman" w:eastAsia="Times New Roman" w:hAnsi="Times New Roman"/>
          <w:sz w:val="13"/>
          <w:szCs w:val="13"/>
          <w:color w:val="auto"/>
        </w:rPr>
      </w:pPr>
    </w:p>
    <w:p>
      <w:pPr>
        <w:ind w:left="940" w:right="919" w:firstLine="972"/>
        <w:spacing w:after="0" w:line="255" w:lineRule="auto"/>
        <w:tabs>
          <w:tab w:leader="none" w:pos="2056"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w:t>
      </w:r>
    </w:p>
    <w:p>
      <w:pPr>
        <w:spacing w:after="0" w:line="54" w:lineRule="exact"/>
        <w:rPr>
          <w:rFonts w:ascii="Times New Roman" w:cs="Times New Roman" w:eastAsia="Times New Roman" w:hAnsi="Times New Roman"/>
          <w:sz w:val="13"/>
          <w:szCs w:val="13"/>
          <w:color w:val="auto"/>
        </w:rPr>
      </w:pPr>
    </w:p>
    <w:p>
      <w:pPr>
        <w:jc w:val="both"/>
        <w:ind w:left="940" w:right="739" w:firstLine="972"/>
        <w:spacing w:after="0" w:line="286" w:lineRule="auto"/>
        <w:tabs>
          <w:tab w:leader="none" w:pos="2091"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2" w:name="page83"/>
    <w:bookmarkEnd w:id="82"/>
    <w:p>
      <w:pPr>
        <w:ind w:left="940" w:right="699" w:firstLine="972"/>
        <w:spacing w:after="0" w:line="251" w:lineRule="auto"/>
        <w:tabs>
          <w:tab w:leader="none" w:pos="2126" w:val="left"/>
        </w:tabs>
        <w:numPr>
          <w:ilvl w:val="2"/>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 issue, grant, pledge or otherwise dispose of or encumber or authorize any of the foregoing actions with respect to: (A) any capital stock or other security of the Company or any of its Subsidiaries (except for shares of outstanding Company Common Stock issued upon the valid exercise of Company Options), (B) any option, warrant or right to acquire any capital stock or any other security or (C) any instrument convertible into or exchangeable for any capital stock or other security of the Company or any of its Subsidiaries;</w:t>
      </w:r>
    </w:p>
    <w:p>
      <w:pPr>
        <w:spacing w:after="0" w:line="56"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2"/>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 any</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other Entity;</w:t>
      </w:r>
    </w:p>
    <w:p>
      <w:pPr>
        <w:spacing w:after="0" w:line="65" w:lineRule="exact"/>
        <w:rPr>
          <w:rFonts w:ascii="Times New Roman" w:cs="Times New Roman" w:eastAsia="Times New Roman" w:hAnsi="Times New Roman"/>
          <w:sz w:val="12"/>
          <w:szCs w:val="12"/>
          <w:color w:val="auto"/>
        </w:rPr>
      </w:pPr>
    </w:p>
    <w:p>
      <w:pPr>
        <w:ind w:left="940" w:right="1059" w:firstLine="972"/>
        <w:spacing w:after="0" w:line="267" w:lineRule="auto"/>
        <w:tabs>
          <w:tab w:leader="none" w:pos="2084" w:val="left"/>
        </w:tabs>
        <w:numPr>
          <w:ilvl w:val="2"/>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lend money to any Person, (B) incur or guarantee any indebtedness for borrowed money, (C) guarantee any debt securities of others or (D) make any capital expenditure or commitment in excess of $500,000;</w:t>
      </w:r>
    </w:p>
    <w:p>
      <w:pPr>
        <w:spacing w:after="0" w:line="46" w:lineRule="exact"/>
        <w:rPr>
          <w:rFonts w:ascii="Times New Roman" w:cs="Times New Roman" w:eastAsia="Times New Roman" w:hAnsi="Times New Roman"/>
          <w:sz w:val="13"/>
          <w:szCs w:val="13"/>
          <w:color w:val="auto"/>
        </w:rPr>
      </w:pPr>
    </w:p>
    <w:p>
      <w:pPr>
        <w:ind w:left="940" w:right="659" w:firstLine="972"/>
        <w:spacing w:after="0" w:line="268" w:lineRule="auto"/>
        <w:tabs>
          <w:tab w:leader="none" w:pos="2119" w:val="left"/>
        </w:tabs>
        <w:numPr>
          <w:ilvl w:val="2"/>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adopt, establish or enter into any Company Employee Plan, including, for the avoidance of doubt, any equity awards plans, (B) cause or permit any Company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 (D) increase or amend the severance or change of control benefits offered to any current or new employees, directors or consultants, or</w:t>
      </w:r>
    </w:p>
    <w:p>
      <w:pPr>
        <w:ind w:left="1140" w:hanging="193"/>
        <w:spacing w:after="0"/>
        <w:tabs>
          <w:tab w:leader="none" w:pos="114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or engage any officer or employee;</w:t>
      </w:r>
    </w:p>
    <w:p>
      <w:pPr>
        <w:spacing w:after="0" w:line="65" w:lineRule="exact"/>
        <w:rPr>
          <w:rFonts w:ascii="Times New Roman" w:cs="Times New Roman" w:eastAsia="Times New Roman" w:hAnsi="Times New Roman"/>
          <w:sz w:val="13"/>
          <w:szCs w:val="13"/>
          <w:color w:val="auto"/>
        </w:rPr>
      </w:pPr>
    </w:p>
    <w:p>
      <w:pPr>
        <w:ind w:left="2160" w:hanging="248"/>
        <w:spacing w:after="0"/>
        <w:tabs>
          <w:tab w:leader="none" w:pos="2160" w:val="left"/>
        </w:tabs>
        <w:numPr>
          <w:ilvl w:val="2"/>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material transaction outside the Ordinary Course of Business;</w:t>
      </w:r>
    </w:p>
    <w:p>
      <w:pPr>
        <w:spacing w:after="0" w:line="77" w:lineRule="exact"/>
        <w:rPr>
          <w:rFonts w:ascii="Times New Roman" w:cs="Times New Roman" w:eastAsia="Times New Roman" w:hAnsi="Times New Roman"/>
          <w:sz w:val="13"/>
          <w:szCs w:val="13"/>
          <w:color w:val="auto"/>
        </w:rPr>
      </w:pPr>
    </w:p>
    <w:p>
      <w:pPr>
        <w:ind w:left="940" w:right="659" w:firstLine="972"/>
        <w:spacing w:after="0" w:line="267" w:lineRule="auto"/>
        <w:tabs>
          <w:tab w:leader="none" w:pos="2189" w:val="left"/>
        </w:tabs>
        <w:numPr>
          <w:ilvl w:val="2"/>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material asset or sell, lease, license or otherwise irrevocably dispose of any of its assets or properties, or grant any Encumbrance with respect to such assets or properties in excess of $250,000, except in the Ordinary Course of Business;</w:t>
      </w:r>
    </w:p>
    <w:p>
      <w:pPr>
        <w:spacing w:after="0" w:line="46" w:lineRule="exact"/>
        <w:rPr>
          <w:rFonts w:ascii="Times New Roman" w:cs="Times New Roman" w:eastAsia="Times New Roman" w:hAnsi="Times New Roman"/>
          <w:sz w:val="13"/>
          <w:szCs w:val="13"/>
          <w:color w:val="auto"/>
        </w:rPr>
      </w:pPr>
    </w:p>
    <w:p>
      <w:pPr>
        <w:ind w:left="940" w:right="859" w:firstLine="972"/>
        <w:spacing w:after="0" w:line="267" w:lineRule="auto"/>
        <w:tabs>
          <w:tab w:leader="none" w:pos="2119" w:val="left"/>
        </w:tabs>
        <w:numPr>
          <w:ilvl w:val="2"/>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assign, transfer, license, sublicense or otherwise dispose of any material Company Intellectual Property (other than pursuant to non-exclusive licenses in the Ordinary Course of Business);</w:t>
      </w:r>
    </w:p>
    <w:p>
      <w:pPr>
        <w:spacing w:after="0" w:line="46" w:lineRule="exact"/>
        <w:rPr>
          <w:rFonts w:ascii="Times New Roman" w:cs="Times New Roman" w:eastAsia="Times New Roman" w:hAnsi="Times New Roman"/>
          <w:sz w:val="13"/>
          <w:szCs w:val="13"/>
          <w:color w:val="auto"/>
        </w:rPr>
      </w:pPr>
    </w:p>
    <w:p>
      <w:pPr>
        <w:ind w:left="940" w:right="659" w:firstLine="972"/>
        <w:spacing w:after="0" w:line="279" w:lineRule="auto"/>
        <w:tabs>
          <w:tab w:leader="none" w:pos="2084" w:val="left"/>
        </w:tabs>
        <w:numPr>
          <w:ilvl w:val="2"/>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(other than as a result of any extension to file a Tax Return that is automatically granted); or (F) apply for or surrender any claim for Tax refund;</w:t>
      </w:r>
    </w:p>
    <w:p>
      <w:pPr>
        <w:spacing w:after="0" w:line="40" w:lineRule="exact"/>
        <w:rPr>
          <w:rFonts w:ascii="Times New Roman" w:cs="Times New Roman" w:eastAsia="Times New Roman" w:hAnsi="Times New Roman"/>
          <w:sz w:val="12"/>
          <w:szCs w:val="12"/>
          <w:color w:val="auto"/>
        </w:rPr>
      </w:pPr>
    </w:p>
    <w:p>
      <w:pPr>
        <w:ind w:left="940" w:right="719" w:firstLine="304"/>
        <w:spacing w:after="0" w:line="249" w:lineRule="auto"/>
        <w:tabs>
          <w:tab w:leader="none" w:pos="1451"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settle or compromise any pending or threatened Legal Proceeding against the Company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3" w:name="page84"/>
    <w:bookmarkEnd w:id="83"/>
    <w:p>
      <w:pPr>
        <w:ind w:left="940" w:right="839" w:firstLine="972"/>
        <w:spacing w:after="0" w:line="255" w:lineRule="auto"/>
        <w:tabs>
          <w:tab w:leader="none" w:pos="2154"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delay or fail to repay when due any material obligation, including accounts payable and accrued expenses (provided, however, that any such accounts payable or accrued expenses need not be paid if the validity or amount thereof shall at the time be contested in good faith);</w:t>
      </w:r>
    </w:p>
    <w:p>
      <w:pPr>
        <w:spacing w:after="0" w:line="54" w:lineRule="exact"/>
        <w:rPr>
          <w:rFonts w:ascii="Times New Roman" w:cs="Times New Roman" w:eastAsia="Times New Roman" w:hAnsi="Times New Roman"/>
          <w:sz w:val="13"/>
          <w:szCs w:val="13"/>
          <w:color w:val="auto"/>
        </w:rPr>
      </w:pPr>
    </w:p>
    <w:p>
      <w:pPr>
        <w:ind w:left="2200" w:hanging="288"/>
        <w:spacing w:after="0"/>
        <w:tabs>
          <w:tab w:leader="none" w:pos="22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forgive any loans to any Person, including its employees, officers, directors or Affiliate;</w:t>
      </w:r>
    </w:p>
    <w:p>
      <w:pPr>
        <w:spacing w:after="0" w:line="77" w:lineRule="exact"/>
        <w:rPr>
          <w:rFonts w:ascii="Times New Roman" w:cs="Times New Roman" w:eastAsia="Times New Roman" w:hAnsi="Times New Roman"/>
          <w:sz w:val="13"/>
          <w:szCs w:val="13"/>
          <w:color w:val="auto"/>
        </w:rPr>
      </w:pPr>
    </w:p>
    <w:p>
      <w:pPr>
        <w:ind w:left="2180" w:hanging="268"/>
        <w:spacing w:after="0"/>
        <w:tabs>
          <w:tab w:leader="none" w:pos="21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terminate or modify in any material respect, or fail to exercise renewal rights with respect to, any material insurance</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policy;</w:t>
      </w:r>
    </w:p>
    <w:p>
      <w:pPr>
        <w:spacing w:after="0" w:line="65" w:lineRule="exact"/>
        <w:rPr>
          <w:rFonts w:ascii="Times New Roman" w:cs="Times New Roman" w:eastAsia="Times New Roman" w:hAnsi="Times New Roman"/>
          <w:sz w:val="13"/>
          <w:szCs w:val="13"/>
          <w:color w:val="auto"/>
        </w:rPr>
      </w:pPr>
    </w:p>
    <w:p>
      <w:pPr>
        <w:ind w:left="940" w:right="639" w:firstLine="972"/>
        <w:spacing w:after="0" w:line="255" w:lineRule="auto"/>
        <w:tabs>
          <w:tab w:leader="none" w:pos="2147"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w:t>
      </w:r>
    </w:p>
    <w:p>
      <w:pPr>
        <w:spacing w:after="0" w:line="54" w:lineRule="exact"/>
        <w:rPr>
          <w:rFonts w:ascii="Times New Roman" w:cs="Times New Roman" w:eastAsia="Times New Roman" w:hAnsi="Times New Roman"/>
          <w:sz w:val="13"/>
          <w:szCs w:val="13"/>
          <w:color w:val="auto"/>
        </w:rPr>
      </w:pPr>
    </w:p>
    <w:p>
      <w:pPr>
        <w:jc w:val="both"/>
        <w:ind w:left="940" w:right="819" w:firstLine="972"/>
        <w:spacing w:after="0" w:line="255" w:lineRule="auto"/>
        <w:tabs>
          <w:tab w:leader="none" w:pos="2182"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amend or terminate any Company Material Contract, except in the Ordinary Course of Business in a manner that would not otherwise require Aspen’s consent pursuant to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xml:space="preserve"> and would not reasonably be expected to prevent or to materially impede or delay the consummation of the Contemplated Transactions; or</w:t>
      </w:r>
    </w:p>
    <w:p>
      <w:pPr>
        <w:spacing w:after="0" w:line="54" w:lineRule="exact"/>
        <w:rPr>
          <w:rFonts w:ascii="Times New Roman" w:cs="Times New Roman" w:eastAsia="Times New Roman" w:hAnsi="Times New Roman"/>
          <w:sz w:val="13"/>
          <w:szCs w:val="13"/>
          <w:color w:val="auto"/>
        </w:rPr>
      </w:pPr>
    </w:p>
    <w:p>
      <w:pPr>
        <w:ind w:left="2220" w:hanging="308"/>
        <w:spacing w:after="0"/>
        <w:tabs>
          <w:tab w:leader="none" w:pos="222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4"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Nothing contained in this Agreement shall give Aspen,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Access and Investigation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8" w:lineRule="auto"/>
        <w:tabs>
          <w:tab w:leader="none" w:pos="1817"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of the Confidentiality Agreement, which the Parties agree will continue in full force following the date of this Agreement, during the Pre-Closing Period, upon reasonable notice, Aspen,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4" w:name="page85"/>
    <w:bookmarkEnd w:id="84"/>
    <w:p>
      <w:pPr>
        <w:ind w:left="640" w:right="719" w:hanging="3"/>
        <w:spacing w:after="0" w:line="279" w:lineRule="auto"/>
        <w:tabs>
          <w:tab w:leader="none" w:pos="819"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make available to the other Party copies of any material notice, report or other document filed with or sent to or received from any Governmental Authority in connection with the Contemplated Transactions. Any investigation conducted by either Aspen or the Company pursuant to this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shall be conducted in such manner as not to interfere unreasonably with the conduct of the business of the other Party. Aspen shall not be required to provide any information or documents pursuant to this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relating to any Acquisition Transaction or Acquisition Inquiry.</w:t>
      </w:r>
    </w:p>
    <w:p>
      <w:pPr>
        <w:spacing w:after="0" w:line="116" w:lineRule="exact"/>
        <w:rPr>
          <w:rFonts w:ascii="Times New Roman" w:cs="Times New Roman" w:eastAsia="Times New Roman" w:hAnsi="Times New Roman"/>
          <w:sz w:val="12"/>
          <w:szCs w:val="12"/>
          <w:color w:val="auto"/>
        </w:rPr>
      </w:pPr>
    </w:p>
    <w:p>
      <w:pPr>
        <w:ind w:left="640" w:right="779" w:firstLine="1003"/>
        <w:spacing w:after="0" w:line="247" w:lineRule="auto"/>
        <w:tabs>
          <w:tab w:leader="none" w:pos="1824"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herein to the contrary in this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no access or examination contemplated by this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shall be permitted to the extent that it would require any Party or its Subsidiaries to waive the attorney-client privilege or attorney work product privilege, or violate any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5" w:lineRule="auto"/>
        <w:tabs>
          <w:tab w:leader="none" w:pos="1817"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Aspen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or submission of any Acquisition Proposal or Acquisition Inquiry, (ii) furnish any non-public information regarding Aspen or the Company (as applicable) to any Person in connection with or in response to an Acquisition Proposal or Acquisition Inquiry, (iii) engage in discussions or negotiations (other than to inform any Person of the existence of the provisions of this Agreement) with any Person with respect to any Acquisition Proposal or Acquisition Inquiry, (iv) approve, endorse or recommend any Acquisition Proposal (except as provided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(v) execute or enter into any letter of intent or any Contract contemplating or otherwise relating to any Acquisition Transaction (except as provided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or (vi) publicly propose, resolve or agree to do any of the foregoing (except as provided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anything contained in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prior to the receipt of the Required Aspen Stockholder Vote as to Aspen or prior to the receipt of the Required Company Stockholder Vote, as to the Company, each Party may furnish non-public information regarding itself and its Subsidiaries to, and enter into discussions or negotiations with, any Person in response to a bona fide written Acquisition Proposal by such Person which that Party’s Board (or a committee thereof) determines in good faith, after consultation with its financial advisors and outside legal counsel, constitutes, or is reasonably likely to constitute or result in, a Superior Offer (and is not withdrawn) if: (A) such Party and the Representatives of such Party shall not have breached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in any material respect, (B) the Party’s Board (or a committee thereof) concludes in good faith based on the advice of outside legal counsel, that the failure to take such action would be inconsistent with such Party’s Board’s fiduciary duties under applicable Law, (C) prior to providing any non-public information about itself, the Party receives from such Person an executed Acceptable Confidentiality Agreement (the negotiation of which shall not be prohibited by this Agreement) and</w:t>
      </w:r>
    </w:p>
    <w:p>
      <w:pPr>
        <w:ind w:left="640" w:right="699" w:hanging="3"/>
        <w:spacing w:after="0" w:line="246" w:lineRule="auto"/>
        <w:tabs>
          <w:tab w:leader="none" w:pos="847"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simultaneous with furnishing any such non-public information to such Person, the Party furnishes such non-public information to the other Party (to the extent such information has not been previously furnished to the other Party). Without limiting the generality of</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5" w:name="page86"/>
    <w:bookmarkEnd w:id="85"/>
    <w:p>
      <w:pPr>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foregoing, each of Aspen and the Company acknowledges and agrees that, in the event any of its Representative takes any action with its consent that, if taken by such Party, would constitute a breach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by such Party, the taking of such action by such Representative shall be deemed to constitute a breach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by such Party for purposes of this Agreement. Notwithstanding anything to the contrary in this Agreement,</w:t>
      </w:r>
    </w:p>
    <w:p>
      <w:pPr>
        <w:ind w:left="640" w:right="719" w:hanging="3"/>
        <w:spacing w:after="0" w:line="244" w:lineRule="auto"/>
        <w:tabs>
          <w:tab w:leader="none" w:pos="812"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Aspen and the Company may (i) grant any waiver with respect to, or release, any standstill provision or similar restriction in order to permit a third party to make an Acquisition Proposal or Acquisition Inquiry or (ii) contact any Person that has made an Acquisition Proposal or Acquisition Inquiry after the date hereof to clarify the terms thereof so that the receiving Party’s Board (or a committee thereof) may inform itself of such Acquisition Proposal or Acquisition Inquiry and (b) nothing in this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shall prohibit the Company from contacting any Person for the purposes of entering into transactions for capital raising purposes that are otherwise in accordance with the terms of this Agreement.</w:t>
      </w:r>
    </w:p>
    <w:p>
      <w:pPr>
        <w:spacing w:after="0" w:line="136"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24" w:val="left"/>
        </w:tabs>
        <w:numPr>
          <w:ilvl w:val="1"/>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34" w:lineRule="exact"/>
        <w:rPr>
          <w:rFonts w:ascii="Times New Roman" w:cs="Times New Roman" w:eastAsia="Times New Roman" w:hAnsi="Times New Roman"/>
          <w:sz w:val="13"/>
          <w:szCs w:val="13"/>
          <w:color w:val="auto"/>
        </w:rPr>
      </w:pPr>
    </w:p>
    <w:p>
      <w:pPr>
        <w:ind w:left="640" w:right="759" w:firstLine="1003"/>
        <w:spacing w:after="0" w:line="255" w:lineRule="auto"/>
        <w:tabs>
          <w:tab w:leader="none" w:pos="1817" w:val="left"/>
        </w:tabs>
        <w:numPr>
          <w:ilvl w:val="1"/>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30"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Notification of Certain Matters</w:t>
      </w:r>
      <w:r>
        <w:rPr>
          <w:rFonts w:ascii="Times New Roman" w:cs="Times New Roman" w:eastAsia="Times New Roman" w:hAnsi="Times New Roman"/>
          <w:sz w:val="12"/>
          <w:szCs w:val="12"/>
          <w:color w:val="auto"/>
        </w:rPr>
        <w:t xml:space="preserve">. During the Pre-Closing Period, each of the Company, on the one hand, and Aspen,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Aspen Key Employee or Company Key Employee (as applicable)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as applicable, impossible or materially less likely. No such notice shall be deemed to supplement or amend the Company Disclosure Schedule or the Aspen Disclosure Schedule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has been satisfied. Any failure by either Party to provide notice pursuant to this </w:t>
      </w:r>
      <w:r>
        <w:rPr>
          <w:rFonts w:ascii="Times New Roman" w:cs="Times New Roman" w:eastAsia="Times New Roman" w:hAnsi="Times New Roman"/>
          <w:sz w:val="12"/>
          <w:szCs w:val="12"/>
          <w:u w:val="single" w:color="auto"/>
          <w:color w:val="auto"/>
        </w:rPr>
        <w:t>Section 5.5</w:t>
      </w:r>
      <w:r>
        <w:rPr>
          <w:rFonts w:ascii="Times New Roman" w:cs="Times New Roman" w:eastAsia="Times New Roman" w:hAnsi="Times New Roman"/>
          <w:sz w:val="12"/>
          <w:szCs w:val="12"/>
          <w:color w:val="auto"/>
        </w:rPr>
        <w:t xml:space="preserve"> shall not be deemed to be a breach for purposes of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9.2</w:t>
      </w:r>
      <w:r>
        <w:rPr>
          <w:rFonts w:ascii="Times New Roman" w:cs="Times New Roman" w:eastAsia="Times New Roman" w:hAnsi="Times New Roman"/>
          <w:sz w:val="12"/>
          <w:szCs w:val="12"/>
          <w:color w:val="auto"/>
        </w:rPr>
        <w:t>, as applicable, unless such failure to provide such notice was knowing and intentional.</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6" w:name="page87"/>
    <w:bookmarkEnd w:id="8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 </w:t>
      </w:r>
      <w:r>
        <w:rPr>
          <w:rFonts w:ascii="Times New Roman" w:cs="Times New Roman" w:eastAsia="Times New Roman" w:hAnsi="Times New Roman"/>
          <w:sz w:val="13"/>
          <w:szCs w:val="13"/>
          <w:u w:val="single" w:color="auto"/>
          <w:color w:val="auto"/>
        </w:rPr>
        <w:t>Additional Agreements of the Parties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Registration Statement, Proxy Statement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5" w:lineRule="auto"/>
        <w:tabs>
          <w:tab w:leader="none" w:pos="1817"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promptly as practicable after the date of this Agreement, (i) Aspen shall prepare and file with the SEC a proxy statement relating to the Aspen Stockholder Meeting to be held in connection with the Merger (together with any amendments thereof or supplements thereto, the “</w:t>
      </w:r>
      <w:r>
        <w:rPr>
          <w:rFonts w:ascii="Times New Roman" w:cs="Times New Roman" w:eastAsia="Times New Roman" w:hAnsi="Times New Roman"/>
          <w:sz w:val="13"/>
          <w:szCs w:val="13"/>
          <w:b w:val="1"/>
          <w:bCs w:val="1"/>
          <w:color w:val="auto"/>
        </w:rPr>
        <w:t>Proxy Statement</w:t>
      </w:r>
      <w:r>
        <w:rPr>
          <w:rFonts w:ascii="Times New Roman" w:cs="Times New Roman" w:eastAsia="Times New Roman" w:hAnsi="Times New Roman"/>
          <w:sz w:val="13"/>
          <w:szCs w:val="13"/>
          <w:color w:val="auto"/>
        </w:rPr>
        <w:t>”) and (ii) Aspen, in cooperation with the Company, shall prepare and file with the SEC a registration statement on Form S-4 (the “</w:t>
      </w:r>
      <w:r>
        <w:rPr>
          <w:rFonts w:ascii="Times New Roman" w:cs="Times New Roman" w:eastAsia="Times New Roman" w:hAnsi="Times New Roman"/>
          <w:sz w:val="13"/>
          <w:szCs w:val="13"/>
          <w:b w:val="1"/>
          <w:bCs w:val="1"/>
          <w:color w:val="auto"/>
        </w:rPr>
        <w:t>Form S-4</w:t>
      </w:r>
      <w:r>
        <w:rPr>
          <w:rFonts w:ascii="Times New Roman" w:cs="Times New Roman" w:eastAsia="Times New Roman" w:hAnsi="Times New Roman"/>
          <w:sz w:val="13"/>
          <w:szCs w:val="13"/>
          <w:color w:val="auto"/>
        </w:rPr>
        <w:t>”), in which the Proxy Statement shall be included as a part (the Proxy Statement and the Form S-4, collectively, the “</w:t>
      </w:r>
      <w:r>
        <w:rPr>
          <w:rFonts w:ascii="Times New Roman" w:cs="Times New Roman" w:eastAsia="Times New Roman" w:hAnsi="Times New Roman"/>
          <w:sz w:val="13"/>
          <w:szCs w:val="13"/>
          <w:b w:val="1"/>
          <w:bCs w:val="1"/>
          <w:color w:val="auto"/>
        </w:rPr>
        <w:t>Registration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w:t>
      </w:r>
      <w:r>
        <w:rPr>
          <w:rFonts w:ascii="Times New Roman" w:cs="Times New Roman" w:eastAsia="Times New Roman" w:hAnsi="Times New Roman"/>
          <w:sz w:val="13"/>
          <w:szCs w:val="13"/>
          <w:color w:val="auto"/>
        </w:rPr>
        <w:t>”), in connection with the registration under the Securities Act of the shares of Aspen Common Stock to be issued by virtue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Contemplated Transactions. Aspen shall use commercially reasonable efforts to (i) cause the Registration Statement to comply with applicable rules and regulations promulgated by the SEC, (ii) cause the Registration Statement to become effective as promptly as practicable, (iii) respond promptly to any comments or requests of the SEC or its staff related to the Registration Statement. Aspen shall take all or any action required under any applicable federal, state, securities and other Laws in connection with the issuance of shares of Aspen Common Stock pursuant to the Contemplated Transactions.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w:t>
      </w:r>
    </w:p>
    <w:p>
      <w:pPr>
        <w:spacing w:after="0" w:line="139"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24"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covenants and agrees that the Registration Statement (and the letter to stockholders, notice of meeting and form of proxy included therewith) will (i) comply as to form in all material respects with the requirements of applicable U.S. federal securities laws and the DGCL as well as the SEC form requirements,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Aspen for inclusion in the Registration Statement (including the Company Financials)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17"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Aspen shall use commercially reasonable efforts to cause the Proxy Statement to be mailed to Aspen’s stockholders as promptly as practicable after the Registration Statement is declared effective under the Securities Act. If at any time before the Effective Time, (i) Aspen,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Aspen filing such amendment or supplement with the SEC (and, if appropriate, in mailing such amendment or supplement to the Aspen stockholders) or otherwise addressing such SEC request or comments and each Party and shall use their commercially reasonable efforts to cause any such amendment to become effective, if required. Aspen shall promptly notify the Company if it becomes aware (1) that the Registration Statement has become effective, (2) of the issuance of any stop order or suspension of the qualification or registration of the Aspen Common Stock issuable in connection with the Contemplated Transactions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87" w:name="page88"/>
    <w:bookmarkEnd w:id="87"/>
    <w:p>
      <w:pPr>
        <w:ind w:left="640" w:right="659" w:firstLine="1003"/>
        <w:spacing w:after="0" w:line="267" w:lineRule="auto"/>
        <w:tabs>
          <w:tab w:leader="none" w:pos="1824"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shall reasonably cooperate with Aspen and provide, and cause its Representatives to provide, Aspen and its Representatives, with all true, correct and complete information regarding the Company that is required by Law to be included in the Registration Statement or reasonably requested by Aspen to be included in the Registration Statement (collectively, the “</w:t>
      </w:r>
      <w:r>
        <w:rPr>
          <w:rFonts w:ascii="Times New Roman" w:cs="Times New Roman" w:eastAsia="Times New Roman" w:hAnsi="Times New Roman"/>
          <w:sz w:val="12"/>
          <w:szCs w:val="12"/>
          <w:b w:val="1"/>
          <w:bCs w:val="1"/>
          <w:color w:val="auto"/>
        </w:rPr>
        <w:t>Company Required S-4 Information</w:t>
      </w:r>
      <w:r>
        <w:rPr>
          <w:rFonts w:ascii="Times New Roman" w:cs="Times New Roman" w:eastAsia="Times New Roman" w:hAnsi="Times New Roman"/>
          <w:sz w:val="12"/>
          <w:szCs w:val="12"/>
          <w:color w:val="auto"/>
        </w:rPr>
        <w:t xml:space="preserve">”). Without limiting the foregoing, the Company will use commercially reasonable efforts to cause to be delivered to Aspen a consent letter of the Company’s independent accounting firm, dated no more than three (3) Business Days before the date on which the Registration Statement is filed with the SEC (and reasonably satisfactory in form and substance to Aspen),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Aspen may not file the Registration Statement, or any amendment or supplement thereto, without the prior consent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Aspen has included the Company Required S-4 Information in the Registration Statement in substantially the same form as it was provided to Aspen by the Company pursuant to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if the prior consent of the Company is not obtained then, notwithstanding anything else herein, the Company makes no covenant or representation regarding the portion of such information supplied by or on behalf of the Company to Aspen for inclusion in such Registration Statement that the Company reasonably identifies prior to such filing of the Registration Statement.</w:t>
      </w:r>
    </w:p>
    <w:p>
      <w:pPr>
        <w:spacing w:after="0" w:line="125" w:lineRule="exact"/>
        <w:rPr>
          <w:rFonts w:ascii="Times New Roman" w:cs="Times New Roman" w:eastAsia="Times New Roman" w:hAnsi="Times New Roman"/>
          <w:sz w:val="12"/>
          <w:szCs w:val="12"/>
          <w:color w:val="auto"/>
        </w:rPr>
      </w:pPr>
    </w:p>
    <w:p>
      <w:pPr>
        <w:ind w:left="640" w:right="679" w:firstLine="1003"/>
        <w:spacing w:after="0" w:line="269" w:lineRule="auto"/>
        <w:tabs>
          <w:tab w:leader="none" w:pos="181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promptly as reasonably practicable following the date of this Agreement, the Company will furnish to Aspen (i) audited financial statements for each of its fiscal years required to be included in the Registration Statement (the “</w:t>
      </w:r>
      <w:r>
        <w:rPr>
          <w:rFonts w:ascii="Times New Roman" w:cs="Times New Roman" w:eastAsia="Times New Roman" w:hAnsi="Times New Roman"/>
          <w:sz w:val="12"/>
          <w:szCs w:val="12"/>
          <w:b w:val="1"/>
          <w:bCs w:val="1"/>
          <w:color w:val="auto"/>
        </w:rPr>
        <w:t>Company Audited Financial Statements</w:t>
      </w:r>
      <w:r>
        <w:rPr>
          <w:rFonts w:ascii="Times New Roman" w:cs="Times New Roman" w:eastAsia="Times New Roman" w:hAnsi="Times New Roman"/>
          <w:sz w:val="12"/>
          <w:szCs w:val="12"/>
          <w:color w:val="auto"/>
        </w:rPr>
        <w:t>”) and (ii)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2"/>
          <w:szCs w:val="12"/>
          <w:b w:val="1"/>
          <w:bCs w:val="1"/>
          <w:color w:val="auto"/>
        </w:rPr>
        <w:t>Company Interim Financial Statements</w:t>
      </w:r>
      <w:r>
        <w:rPr>
          <w:rFonts w:ascii="Times New Roman" w:cs="Times New Roman" w:eastAsia="Times New Roman" w:hAnsi="Times New Roman"/>
          <w:sz w:val="12"/>
          <w:szCs w:val="12"/>
          <w:color w:val="auto"/>
        </w:rPr>
        <w:t>”).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Company Stockholder Written Consent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1"/>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Registration Statement has been declared effective under the Securities Act, and in any event no later than four</w:t>
      </w:r>
    </w:p>
    <w:p>
      <w:pPr>
        <w:spacing w:after="0" w:line="26" w:lineRule="exact"/>
        <w:rPr>
          <w:rFonts w:ascii="Times New Roman" w:cs="Times New Roman" w:eastAsia="Times New Roman" w:hAnsi="Times New Roman"/>
          <w:sz w:val="12"/>
          <w:szCs w:val="12"/>
          <w:color w:val="auto"/>
        </w:rPr>
      </w:pPr>
    </w:p>
    <w:p>
      <w:pPr>
        <w:ind w:left="640" w:right="679" w:hanging="3"/>
        <w:spacing w:after="0" w:line="267" w:lineRule="auto"/>
        <w:tabs>
          <w:tab w:leader="none" w:pos="819"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Days thereafter, the Company shall have obtained the approval by written consent from Company stockholders representing no less than 88% of the voting power of the Company, which is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 copy of which will be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cs="Times New Roman" w:eastAsia="Times New Roman" w:hAnsi="Times New Roman"/>
          <w:sz w:val="12"/>
          <w:szCs w:val="12"/>
          <w:b w:val="1"/>
          <w:bCs w:val="1"/>
          <w:color w:val="auto"/>
        </w:rPr>
        <w:t>Company Stockholder Written Consents</w:t>
      </w:r>
      <w:r>
        <w:rPr>
          <w:rFonts w:ascii="Times New Roman" w:cs="Times New Roman" w:eastAsia="Times New Roman" w:hAnsi="Times New Roman"/>
          <w:sz w:val="12"/>
          <w:szCs w:val="12"/>
          <w:color w:val="auto"/>
        </w:rPr>
        <w:t>”). Under no circumstances shall the Company assert that any other approval or consent is necessary by its stockholders to approve this Agreement and the Contemplated Transactions.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31" w:right="1440" w:bottom="1440" w:gutter="0" w:footer="0" w:header="0"/>
        </w:sectPr>
      </w:pPr>
    </w:p>
    <w:bookmarkStart w:id="88" w:name="page89"/>
    <w:bookmarkEnd w:id="88"/>
    <w:p>
      <w:pPr>
        <w:jc w:val="both"/>
        <w:ind w:left="640" w:right="679" w:firstLine="1003"/>
        <w:spacing w:after="0" w:line="271" w:lineRule="auto"/>
        <w:tabs>
          <w:tab w:leader="none" w:pos="1824"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promptly as reasonably practicable following receipt of the Required Company Stockholder Vote, the Company shall prepare and mail a notice (the “</w:t>
      </w:r>
      <w:r>
        <w:rPr>
          <w:rFonts w:ascii="Times New Roman" w:cs="Times New Roman" w:eastAsia="Times New Roman" w:hAnsi="Times New Roman"/>
          <w:sz w:val="12"/>
          <w:szCs w:val="12"/>
          <w:b w:val="1"/>
          <w:bCs w:val="1"/>
          <w:color w:val="auto"/>
        </w:rPr>
        <w:t>Stockholder Notice</w:t>
      </w:r>
      <w:r>
        <w:rPr>
          <w:rFonts w:ascii="Times New Roman" w:cs="Times New Roman" w:eastAsia="Times New Roman" w:hAnsi="Times New Roman"/>
          <w:sz w:val="12"/>
          <w:szCs w:val="12"/>
          <w:color w:val="auto"/>
        </w:rPr>
        <w:t>”) to every stockholder of the Company that did not execute the Company Stockholder Written Consent. The Stockholder Notice shall (i) be a statement to the effect that the Company Board determined that the Merger is advisable in accordance with</w:t>
      </w:r>
    </w:p>
    <w:p>
      <w:pPr>
        <w:ind w:left="640" w:right="67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shall be subject to Aspen’s advance review and reasonable approval.</w:t>
      </w:r>
    </w:p>
    <w:p>
      <w:pPr>
        <w:spacing w:after="0" w:line="136" w:lineRule="exact"/>
        <w:rPr>
          <w:rFonts w:ascii="Times New Roman" w:cs="Times New Roman" w:eastAsia="Times New Roman" w:hAnsi="Times New Roman"/>
          <w:sz w:val="12"/>
          <w:szCs w:val="12"/>
          <w:color w:val="auto"/>
        </w:rPr>
      </w:pPr>
    </w:p>
    <w:p>
      <w:pPr>
        <w:ind w:left="640" w:right="759" w:firstLine="1003"/>
        <w:spacing w:after="0" w:line="247" w:lineRule="auto"/>
        <w:tabs>
          <w:tab w:leader="none" w:pos="1817"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that: (i) the Company Board shall recommend that the Company’s stockholders vote to adopt and approve this Agreement and the Contemplated Transactions (the recommendation of the Company Board that the Company’s stockholders vote to adopt and approve this Agreement being referred to as the “</w:t>
      </w:r>
      <w:r>
        <w:rPr>
          <w:rFonts w:ascii="Times New Roman" w:cs="Times New Roman" w:eastAsia="Times New Roman" w:hAnsi="Times New Roman"/>
          <w:sz w:val="13"/>
          <w:szCs w:val="13"/>
          <w:b w:val="1"/>
          <w:bCs w:val="1"/>
          <w:color w:val="auto"/>
        </w:rPr>
        <w:t>Company Board Recommendation</w:t>
      </w:r>
      <w:r>
        <w:rPr>
          <w:rFonts w:ascii="Times New Roman" w:cs="Times New Roman" w:eastAsia="Times New Roman" w:hAnsi="Times New Roman"/>
          <w:sz w:val="13"/>
          <w:szCs w:val="13"/>
          <w:color w:val="auto"/>
        </w:rPr>
        <w:t>”) and (ii) except as provided in Section 6.2(d), the Company Board Recommendation shall not be withdrawn or modified (and the Company Board shall not publicly propose to withdraw or modify the Company Board Recommendation) in a manner adverse to Aspen, and no resolution by the Company Board or any committee thereof to withdraw or modify the Company Board Recommendation in a manner adverse to Aspen or to adopt, approve or recommend (or publicly propose to adopt, approve or recommend) any Acquisition Proposal shall be adopted or proposed.</w:t>
      </w:r>
    </w:p>
    <w:p>
      <w:pPr>
        <w:spacing w:after="0" w:line="136"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w:t>
      </w:r>
      <w:r>
        <w:rPr>
          <w:rFonts w:ascii="Times New Roman" w:cs="Times New Roman" w:eastAsia="Times New Roman" w:hAnsi="Times New Roman"/>
          <w:sz w:val="13"/>
          <w:szCs w:val="13"/>
          <w:u w:val="single" w:color="auto"/>
          <w:color w:val="auto"/>
        </w:rPr>
        <w:t>Section 6.2(c)</w:t>
      </w:r>
      <w:r>
        <w:rPr>
          <w:rFonts w:ascii="Times New Roman" w:cs="Times New Roman" w:eastAsia="Times New Roman" w:hAnsi="Times New Roman"/>
          <w:sz w:val="13"/>
          <w:szCs w:val="13"/>
          <w:color w:val="auto"/>
        </w:rPr>
        <w:t xml:space="preserve">, and subject to compliance with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and</w:t>
      </w:r>
    </w:p>
    <w:p>
      <w:pPr>
        <w:spacing w:after="0" w:line="15" w:lineRule="exact"/>
        <w:rPr>
          <w:sz w:val="20"/>
          <w:szCs w:val="20"/>
          <w:color w:val="auto"/>
        </w:rPr>
      </w:pPr>
    </w:p>
    <w:p>
      <w:pPr>
        <w:ind w:left="640" w:right="699"/>
        <w:spacing w:after="0" w:line="243" w:lineRule="auto"/>
        <w:rPr>
          <w:sz w:val="20"/>
          <w:szCs w:val="20"/>
          <w:color w:val="auto"/>
        </w:rPr>
      </w:pP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if at any time prior to approval and adoption of this Agreement by the Required Company Stockholder Vote, the Company receives a Superior Offer, the Company Board may withhold, amend, withdraw or modify the Company Board Recommendation (or publicly propose to withhold, amend, withdraw or modify the Company Board Recommendation) in a manner adverse to Aspen (collectively, a “</w:t>
      </w:r>
      <w:r>
        <w:rPr>
          <w:rFonts w:ascii="Times New Roman" w:cs="Times New Roman" w:eastAsia="Times New Roman" w:hAnsi="Times New Roman"/>
          <w:sz w:val="13"/>
          <w:szCs w:val="13"/>
          <w:b w:val="1"/>
          <w:bCs w:val="1"/>
          <w:color w:val="auto"/>
        </w:rPr>
        <w:t>Company Board 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Recommendation Change</w:t>
      </w:r>
      <w:r>
        <w:rPr>
          <w:rFonts w:ascii="Times New Roman" w:cs="Times New Roman" w:eastAsia="Times New Roman" w:hAnsi="Times New Roman"/>
          <w:sz w:val="13"/>
          <w:szCs w:val="13"/>
          <w:color w:val="auto"/>
        </w:rPr>
        <w:t>”), if, but only if, following the receipt of and on account of such Superior Offer, (i) the Company Board (or a committee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thereof) determines in good faith, after consultation with its outside legal counsel, that the failure to take such action would be inconsistent with its fiduciary duties under applicable Law, (ii) the Company has, and has caused its financial advisors and outside legal counsel to, during the Company Notice Period (as defined below) negotiated with Aspen to the extent required by clause (y) below and (iii) if after Aspen shall have delivered to the Company a written offer to alter the terms or conditions of this Agreement during the Company Notice Period pursuant to clause (y) of the proviso to this sentence, the Company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provided that (x) Aspen receives written notice from the Company confirming that the Company Board has determined to change its recommendation at least four (4) Business Days in advance of the Company Board Adverse Recommendation Change (the “</w:t>
      </w:r>
      <w:r>
        <w:rPr>
          <w:rFonts w:ascii="Times New Roman" w:cs="Times New Roman" w:eastAsia="Times New Roman" w:hAnsi="Times New Roman"/>
          <w:sz w:val="13"/>
          <w:szCs w:val="13"/>
          <w:b w:val="1"/>
          <w:bCs w:val="1"/>
          <w:color w:val="auto"/>
        </w:rPr>
        <w:t>Company Notice Period</w:t>
      </w:r>
      <w:r>
        <w:rPr>
          <w:rFonts w:ascii="Times New Roman" w:cs="Times New Roman" w:eastAsia="Times New Roman" w:hAnsi="Times New Roman"/>
          <w:sz w:val="13"/>
          <w:szCs w:val="13"/>
          <w:color w:val="auto"/>
        </w:rPr>
        <w:t>”), which notice shall include a description in reasonable detail of the reasons for such Company Board Adverse Recommendation Change, and written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89" w:name="page90"/>
    <w:bookmarkEnd w:id="89"/>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copies of any relevant proposed transaction agreements with any party making a potential Superior Offer, (y) during any Company Notice Period, Aspen shall be entitled to deliver to the Company one or more counterproposals to such Acquisition Proposal and the Company will, and cause its Representatives to, negotiate with Aspen in good faith (to the extent Aspen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Company’s stockholders would receive as a result of such potential Superior Offer), the Company shall be required to provide Aspen with notice of such material amendment and the Company Notice Period shall be extended, if applicable, to ensure that at least three (3) Business Days remain in the Company Notice Period following such notification during which the parties shall comply again with the requirements of this Section 6.2(d) and the Company Board shall not make a Company Board Adverse Recommendation Change prior to the end of such Company Notice Period as so extended (it being understood that there may be multiple extensions).</w:t>
      </w:r>
    </w:p>
    <w:p>
      <w:pPr>
        <w:spacing w:after="0" w:line="136" w:lineRule="exact"/>
        <w:rPr>
          <w:sz w:val="20"/>
          <w:szCs w:val="20"/>
          <w:color w:val="auto"/>
        </w:rPr>
      </w:pPr>
    </w:p>
    <w:p>
      <w:pPr>
        <w:jc w:val="both"/>
        <w:ind w:left="640" w:right="1059" w:firstLine="1003"/>
        <w:spacing w:after="0" w:line="255" w:lineRule="auto"/>
        <w:tabs>
          <w:tab w:leader="none" w:pos="1817"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obligation to solicit the consent of its stockholders to sign the Company Stockholder Written Consents in accordance with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Acquisition Inquiry, Acquisition Proposal or Company Board Adverse Recommendation Change.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Aspen Stockholder Meeting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shall take all action necessary under applicable Law to call, give notice of and hold a meeting of the holders of Aspen Common Stock to consider and vote upon the Aspen Stockholder Matters and, if mutually agreed between the parties, the routine annual meeting approvals in compliance with Nasdaq (the “</w:t>
      </w:r>
      <w:r>
        <w:rPr>
          <w:rFonts w:ascii="Times New Roman" w:cs="Times New Roman" w:eastAsia="Times New Roman" w:hAnsi="Times New Roman"/>
          <w:sz w:val="13"/>
          <w:szCs w:val="13"/>
          <w:b w:val="1"/>
          <w:bCs w:val="1"/>
          <w:color w:val="auto"/>
        </w:rPr>
        <w:t>Aspen Stockholder Meeting</w:t>
      </w:r>
      <w:r>
        <w:rPr>
          <w:rFonts w:ascii="Times New Roman" w:cs="Times New Roman" w:eastAsia="Times New Roman" w:hAnsi="Times New Roman"/>
          <w:sz w:val="13"/>
          <w:szCs w:val="13"/>
          <w:color w:val="auto"/>
        </w:rPr>
        <w:t xml:space="preserve">”). The Aspen Stockholder Meeting shall be held as promptly as practicable after the date that the Registration Statement is declared effective under the Securities Act, and in any event, no later than forty-five (45) days after the effective date of the Registration Statement. Aspen shall take reasonable measures to ensure that all proxies solicited in connection with the Aspen Stockholder Meeting are solicited in compliance with all applicable Law. Notwithstanding anything to the contrary contained herein, if on the date of the Aspen Stockholder Meeting, or a date preceding the date on which the Aspen Stockholder Meeting is scheduled, Aspen reasonably believes that (i) it will not receive proxies sufficient to obtain the Required Aspen Stockholder Vote, whether or not a quorum would be present, or (ii) it will not have sufficient shares of Aspen Common Stock represented (whether in person or by proxy) to constitute a quorum necessary to conduct the business of the Aspen Stockholder Meeting, Aspen may postpone or adjourn, or make one or more successive postponements or adjournments of, the Aspen Stockholder Meeting as long as the date of the Aspen Stockholder Meeting is not postponed or adjourned more than an aggregate of forty-five (45) days in connection with any postponements or adjournments,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more than one postponement or adjournment shall not be permitted without the Company’s prior written consent.</w:t>
      </w:r>
    </w:p>
    <w:p>
      <w:pPr>
        <w:spacing w:after="0" w:line="138"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24"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Aspen agrees that (i) the Aspen Board shall recommend that the holders of Aspen Common Stock vote to approve the Specified Aspen Stockholder Matters and (ii) the Proxy Statement shall include a statement to the effect that the Aspen Board recommends that Aspen’s stockholders vote to approve the Specified Aspen Stockholder Matters (such recommendation of the Aspen Board being referred to as the “</w:t>
      </w:r>
      <w:r>
        <w:rPr>
          <w:rFonts w:ascii="Times New Roman" w:cs="Times New Roman" w:eastAsia="Times New Roman" w:hAnsi="Times New Roman"/>
          <w:sz w:val="13"/>
          <w:szCs w:val="13"/>
          <w:b w:val="1"/>
          <w:bCs w:val="1"/>
          <w:color w:val="auto"/>
        </w:rPr>
        <w:t>Aspen Board Recommendation</w:t>
      </w:r>
      <w:r>
        <w:rPr>
          <w:rFonts w:ascii="Times New Roman" w:cs="Times New Roman" w:eastAsia="Times New Roman" w:hAnsi="Times New Roman"/>
          <w:sz w:val="13"/>
          <w:szCs w:val="13"/>
          <w:color w:val="auto"/>
        </w:rPr>
        <w:t>”). In addition, the Aspen Board shall recommend that the holders of Aspen Common Stock vote to approve the other Aspen Stockholder Matters (the “</w:t>
      </w:r>
      <w:r>
        <w:rPr>
          <w:rFonts w:ascii="Times New Roman" w:cs="Times New Roman" w:eastAsia="Times New Roman" w:hAnsi="Times New Roman"/>
          <w:sz w:val="13"/>
          <w:szCs w:val="13"/>
          <w:b w:val="1"/>
          <w:bCs w:val="1"/>
          <w:color w:val="auto"/>
        </w:rPr>
        <w:t>Aspen Second Board Recommendation</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0" w:name="page91"/>
    <w:bookmarkEnd w:id="90"/>
    <w:p>
      <w:pPr>
        <w:ind w:left="640" w:right="679" w:firstLine="1003"/>
        <w:spacing w:after="0" w:line="265" w:lineRule="auto"/>
        <w:tabs>
          <w:tab w:leader="none" w:pos="1817"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contained in </w:t>
      </w:r>
      <w:r>
        <w:rPr>
          <w:rFonts w:ascii="Times New Roman" w:cs="Times New Roman" w:eastAsia="Times New Roman" w:hAnsi="Times New Roman"/>
          <w:sz w:val="12"/>
          <w:szCs w:val="12"/>
          <w:u w:val="single" w:color="auto"/>
          <w:color w:val="auto"/>
        </w:rPr>
        <w:t>Section 6.3(b)</w:t>
      </w:r>
      <w:r>
        <w:rPr>
          <w:rFonts w:ascii="Times New Roman" w:cs="Times New Roman" w:eastAsia="Times New Roman" w:hAnsi="Times New Roman"/>
          <w:sz w:val="12"/>
          <w:szCs w:val="12"/>
          <w:color w:val="auto"/>
        </w:rPr>
        <w:t xml:space="preserve">, and subject to compliance with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if at any time prior to approval and adoption of this Agreement by the Required Aspen Stockholder Vote, if Aspen receives a Superior Offer, the Aspen Board may withhold, amend, withdraw or modify the Aspen Board Recommendation (or publicly propose to withhold, amend, withdraw or modify the Aspen Board Recommendation) in a manner adverse to the Company (collectively, a “</w:t>
      </w:r>
      <w:r>
        <w:rPr>
          <w:rFonts w:ascii="Times New Roman" w:cs="Times New Roman" w:eastAsia="Times New Roman" w:hAnsi="Times New Roman"/>
          <w:sz w:val="12"/>
          <w:szCs w:val="12"/>
          <w:b w:val="1"/>
          <w:bCs w:val="1"/>
          <w:color w:val="auto"/>
        </w:rPr>
        <w:t>Aspen Board Adverse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Recommendation Change</w:t>
      </w:r>
      <w:r>
        <w:rPr>
          <w:rFonts w:ascii="Times New Roman" w:cs="Times New Roman" w:eastAsia="Times New Roman" w:hAnsi="Times New Roman"/>
          <w:sz w:val="12"/>
          <w:szCs w:val="12"/>
          <w:color w:val="auto"/>
        </w:rPr>
        <w:t>”), approve, endorse or recommend an Acquisition Proposal that constitutes a Superior Offer or enter into any agreement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other Contract contemplating or otherwise relating to an Acquisition Proposal that constitutes a Superior Offer, if, but only if, following the receipt of and on account of such Superior Offer: (i) the Aspen Board (or a committee thereof) determines in good faith, after consultation with its outside legal counsel, that the failure to take such action would be inconsistent with its fiduciary duties under applicable Law, (ii) Aspen has, and has caused its financial advisors and outside legal counsel to, during the Aspen Notice Period (as defined below) negotiated with the Company to the extent required by clause (y) below, and (iii) if after the Company shall have delivered to the Company a written offer to alter the terms or conditions of this Agreement during the Aspen Notice Period pursuant to clause (y) of the proviso to this sentence, the Aspen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(x) the Company receives written notice from Aspen confirming that the Aspen Board has determined to change its recommendation at least four (4) Business Days in advance of the Aspen Board Adverse Recommendation Change (the “</w:t>
      </w:r>
      <w:r>
        <w:rPr>
          <w:rFonts w:ascii="Times New Roman" w:cs="Times New Roman" w:eastAsia="Times New Roman" w:hAnsi="Times New Roman"/>
          <w:sz w:val="12"/>
          <w:szCs w:val="12"/>
          <w:b w:val="1"/>
          <w:bCs w:val="1"/>
          <w:color w:val="auto"/>
        </w:rPr>
        <w:t>Aspen Notice Period</w:t>
      </w:r>
      <w:r>
        <w:rPr>
          <w:rFonts w:ascii="Times New Roman" w:cs="Times New Roman" w:eastAsia="Times New Roman" w:hAnsi="Times New Roman"/>
          <w:sz w:val="12"/>
          <w:szCs w:val="12"/>
          <w:color w:val="auto"/>
        </w:rPr>
        <w:t xml:space="preserve">”), which notice shall include a description in reasonable detail of the reasons for such Aspen Board Adverse Recommendation Change, and written copies of any relevant proposed transaction agreements with any party making a potential Superior Offer, (y) during any Aspen Notice Period, the Company shall be entitled to deliver to Aspen one or more counterproposals to such Acquisition Proposal and Aspen will, and cause its Representatives to, negotiate with the Company in good faith (to the extent the Company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Aspen’s stockholders would receive as a result of such potential Superior Offer), Aspen shall be required to provide the Company with notice of such material amendment and the Aspen Notice Period shall be extended, if applicable, to ensure that at least three (3) Business Days remain in the Aspen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and the Aspen Board shall not make an Aspen Board Adverse Recommendation Change prior to the end of such Aspen Notice Period as so extended (it being understood that there may be multiple extensions). In addition, notwithstanding anything to the contrary in </w:t>
      </w:r>
      <w:r>
        <w:rPr>
          <w:rFonts w:ascii="Times New Roman" w:cs="Times New Roman" w:eastAsia="Times New Roman" w:hAnsi="Times New Roman"/>
          <w:sz w:val="12"/>
          <w:szCs w:val="12"/>
          <w:u w:val="single" w:color="auto"/>
          <w:color w:val="auto"/>
        </w:rPr>
        <w:t>Section 6.3(b)</w:t>
      </w:r>
      <w:r>
        <w:rPr>
          <w:rFonts w:ascii="Times New Roman" w:cs="Times New Roman" w:eastAsia="Times New Roman" w:hAnsi="Times New Roman"/>
          <w:sz w:val="12"/>
          <w:szCs w:val="12"/>
          <w:color w:val="auto"/>
        </w:rPr>
        <w:t>, at any time prior to the adoption of this Agreement by the Required Aspen Stockholder Vote, the Aspen Board may withhold, amend, withdraw or modify the Aspen Second Board Recommendation in its exercise of its fiduciary duties.</w:t>
      </w:r>
    </w:p>
    <w:p>
      <w:pPr>
        <w:spacing w:after="0" w:line="284" w:lineRule="exact"/>
        <w:rPr>
          <w:rFonts w:ascii="Times New Roman" w:cs="Times New Roman" w:eastAsia="Times New Roman" w:hAnsi="Times New Roman"/>
          <w:sz w:val="12"/>
          <w:szCs w:val="12"/>
          <w:color w:val="auto"/>
        </w:rPr>
      </w:pPr>
    </w:p>
    <w:p>
      <w:pPr>
        <w:ind w:left="640" w:right="779" w:firstLine="1003"/>
        <w:spacing w:after="0" w:line="249" w:lineRule="auto"/>
        <w:tabs>
          <w:tab w:leader="none" w:pos="1824"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contained in this Agreement shall prohibit Aspen or the Aspen Board (or a committee thereof) from complying with Rules 14d-9 and 14e-2(a) promulgated under the Exchange Act; provided, however, that in no event shall this Section 6.3(d) permit a definitive Aspen Board Adverse Recommendation Change without complying with the provisions of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For the avoidance of doubt, no statement that Aspen is unable to take a position or is considering its position or a “stop, look and listen” communication shall constitute an Aspen Board Adverse Recommendation Change.</w:t>
      </w:r>
    </w:p>
    <w:p>
      <w:pPr>
        <w:spacing w:after="0" w:line="134" w:lineRule="exact"/>
        <w:rPr>
          <w:rFonts w:ascii="Times New Roman" w:cs="Times New Roman" w:eastAsia="Times New Roman" w:hAnsi="Times New Roman"/>
          <w:sz w:val="13"/>
          <w:szCs w:val="13"/>
          <w:color w:val="auto"/>
        </w:rPr>
      </w:pPr>
    </w:p>
    <w:p>
      <w:pPr>
        <w:jc w:val="both"/>
        <w:ind w:left="640" w:right="699" w:firstLine="1003"/>
        <w:spacing w:after="0" w:line="255" w:lineRule="auto"/>
        <w:tabs>
          <w:tab w:leader="none" w:pos="1817"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Aspen’s obligation to call, give notice of and hold the Aspen Stockholder Meeting in accordance with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Superior Offer or Acquisition Proposal, or by any Aspen Board Adverse Recommendation Change (unless this Agreement is terminated in connection therewith).</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91" w:name="page92"/>
    <w:bookmarkEnd w:id="91"/>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6.4 </w:t>
      </w:r>
      <w:r>
        <w:rPr>
          <w:rFonts w:ascii="Times New Roman" w:cs="Times New Roman" w:eastAsia="Times New Roman" w:hAnsi="Times New Roman"/>
          <w:sz w:val="13"/>
          <w:szCs w:val="13"/>
          <w:u w:val="single" w:color="auto"/>
          <w:color w:val="auto"/>
        </w:rPr>
        <w:t>Efforts; Regulatory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use reasonable best efforts to consummate the Contemplated Transactions. Without limiting the generality of the</w:t>
      </w:r>
    </w:p>
    <w:p>
      <w:pPr>
        <w:spacing w:after="0" w:line="26" w:lineRule="exact"/>
        <w:rPr>
          <w:rFonts w:ascii="Times New Roman" w:cs="Times New Roman" w:eastAsia="Times New Roman" w:hAnsi="Times New Roman"/>
          <w:sz w:val="12"/>
          <w:szCs w:val="12"/>
          <w:color w:val="auto"/>
        </w:rPr>
      </w:pPr>
    </w:p>
    <w:p>
      <w:pPr>
        <w:ind w:left="640" w:right="73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36" w:lineRule="exact"/>
        <w:rPr>
          <w:rFonts w:ascii="Times New Roman" w:cs="Times New Roman" w:eastAsia="Times New Roman" w:hAnsi="Times New Roman"/>
          <w:sz w:val="12"/>
          <w:szCs w:val="12"/>
          <w:color w:val="auto"/>
        </w:rPr>
      </w:pPr>
    </w:p>
    <w:p>
      <w:pPr>
        <w:ind w:left="640" w:right="679" w:firstLine="1003"/>
        <w:spacing w:after="0" w:line="251" w:lineRule="auto"/>
        <w:tabs>
          <w:tab w:leader="none" w:pos="1824"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66" w:lineRule="auto"/>
        <w:tabs>
          <w:tab w:leader="none" w:pos="1817"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Aspen shall give the Company prompt written notice of any litigation against Aspen and/or its directors relating to this Agreement or the Contemplated Transactions (“</w:t>
      </w:r>
      <w:r>
        <w:rPr>
          <w:rFonts w:ascii="Times New Roman" w:cs="Times New Roman" w:eastAsia="Times New Roman" w:hAnsi="Times New Roman"/>
          <w:sz w:val="12"/>
          <w:szCs w:val="12"/>
          <w:b w:val="1"/>
          <w:bCs w:val="1"/>
          <w:color w:val="auto"/>
        </w:rPr>
        <w:t>Aspen Transaction Litigation</w:t>
      </w:r>
      <w:r>
        <w:rPr>
          <w:rFonts w:ascii="Times New Roman" w:cs="Times New Roman" w:eastAsia="Times New Roman" w:hAnsi="Times New Roman"/>
          <w:sz w:val="12"/>
          <w:szCs w:val="12"/>
          <w:color w:val="auto"/>
        </w:rPr>
        <w:t xml:space="preserve">”) (including by providing copies of all pleadings with respect thereto) and keep Company reasonably informed with respect to the status thereof. Aspen will (i) give the Company the opportunity to participate in, but not control, the defense, settlement or prosecution of any Aspen Transaction Litigation (to the extent that the attorney-client privilege is not waived, undermined, or otherwise adversely affected;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Aspen and the Company will use commercially reasonable efforts to find alternative solutions to not undermine or adversely effect the privilege such as entering into common interest agreements, joint defense agreements or similar agreements), (ii) consult with the Company with respect to the defense, settlement and prosecution of any Aspen Transaction Litigation and (iii) consider in good faith the Company’s advice with respect to such Aspen Transaction Litigation. Aspen will obtain the prior written consent of the Company (such consent not to be unreasonably withheld, conditioned or delayed) prior to settling or satisfying any such claim. Without otherwise limiting the D&amp;O Indemnified Parties’ rights with regard to the right to counsel, following the Effective Time, the D&amp;O Indemnified Parties shall be entitled to continue to retain Goodwin Procter LLP or such other counsel selected by such Indemnified Parties to defend any Aspen Transaction Litigation. Prior to the Closing, the Company shall have the right to control the defense and settlement of any litigation brought against the Company and/or its directors, and not against Aspen and/or any of Aspen’s directors, related to this Agreement or the Contemplated Transactions (“</w:t>
      </w:r>
      <w:r>
        <w:rPr>
          <w:rFonts w:ascii="Times New Roman" w:cs="Times New Roman" w:eastAsia="Times New Roman" w:hAnsi="Times New Roman"/>
          <w:sz w:val="12"/>
          <w:szCs w:val="12"/>
          <w:b w:val="1"/>
          <w:bCs w:val="1"/>
          <w:color w:val="auto"/>
        </w:rPr>
        <w:t>Company Transaction Litigation</w:t>
      </w:r>
      <w:r>
        <w:rPr>
          <w:rFonts w:ascii="Times New Roman" w:cs="Times New Roman" w:eastAsia="Times New Roman" w:hAnsi="Times New Roman"/>
          <w:sz w:val="12"/>
          <w:szCs w:val="12"/>
          <w:color w:val="auto"/>
        </w:rPr>
        <w:t>”), but shall reasonably consult with and permit Aspen and its Representatives to participate in consideration to the Company’s advice with respect to such Company Transaction Litigation. The Company shall promptly advise Aspen of the initiation of, and shall keep Aspen reasonably apprised of any material developments in connection with, any such Company Transaction Litigation.</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6.5 </w:t>
      </w:r>
      <w:r>
        <w:rPr>
          <w:rFonts w:ascii="Times New Roman" w:cs="Times New Roman" w:eastAsia="Times New Roman" w:hAnsi="Times New Roman"/>
          <w:sz w:val="13"/>
          <w:szCs w:val="13"/>
          <w:u w:val="single" w:color="auto"/>
          <w:color w:val="auto"/>
        </w:rPr>
        <w:t>Company Options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48" w:lineRule="auto"/>
        <w:tabs>
          <w:tab w:leader="none" w:pos="1817"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Aspen shall assume the Company Equity Incentive Plan and each Company Option, whether vested or unvested, that is outstanding immediately prior to the Effective Time shall, at the Effective Time, cease to represent a right to acquire shares of Company Common Stock and shall be converted, at the Effective Time, into an option to purchase shares of Aspen Common Stock (an “</w:t>
      </w:r>
      <w:r>
        <w:rPr>
          <w:rFonts w:ascii="Times New Roman" w:cs="Times New Roman" w:eastAsia="Times New Roman" w:hAnsi="Times New Roman"/>
          <w:sz w:val="13"/>
          <w:szCs w:val="13"/>
          <w:b w:val="1"/>
          <w:bCs w:val="1"/>
          <w:color w:val="auto"/>
        </w:rPr>
        <w:t>Assumed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Option</w:t>
      </w:r>
      <w:r>
        <w:rPr>
          <w:rFonts w:ascii="Times New Roman" w:cs="Times New Roman" w:eastAsia="Times New Roman" w:hAnsi="Times New Roman"/>
          <w:sz w:val="13"/>
          <w:szCs w:val="13"/>
          <w:color w:val="auto"/>
        </w:rPr>
        <w:t>”), on the same terms and conditions (including any vesting provisions and any provisions providing for accelerated vesting upon certain events)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were applicable under such Company Option as of immediately prior to the Effective Time, except for administrative or ministerial changes as determined by the Company Board (or, following the Effective Time, the Aspen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2" w:name="page93"/>
    <w:bookmarkEnd w:id="92"/>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Board or compensation committee). The number of shares of Aspen Common Stock subject to each such Assumed Option shall be equal to (i) the number of shares of Company Common Stock subject to the respective Company Option immediately prior to the Effective Time </w:t>
      </w:r>
      <w:r>
        <w:rPr>
          <w:rFonts w:ascii="Times New Roman" w:cs="Times New Roman" w:eastAsia="Times New Roman" w:hAnsi="Times New Roman"/>
          <w:sz w:val="13"/>
          <w:szCs w:val="13"/>
          <w:i w:val="1"/>
          <w:iCs w:val="1"/>
          <w:u w:val="single" w:color="auto"/>
          <w:color w:val="auto"/>
        </w:rPr>
        <w:t>multiplied by</w:t>
      </w:r>
      <w:r>
        <w:rPr>
          <w:rFonts w:ascii="Times New Roman" w:cs="Times New Roman" w:eastAsia="Times New Roman" w:hAnsi="Times New Roman"/>
          <w:sz w:val="13"/>
          <w:szCs w:val="13"/>
          <w:color w:val="auto"/>
        </w:rPr>
        <w:t xml:space="preserve"> (ii) the Exchange Ratio, rounded down, if necessary, to the nearest whole share of Aspen Common Stock, and such Assumed Option shall have an exercise price per share (rounded up to the nearest whole cent) equal to (A) the exercise price per share of the Company Common Stock otherwise purchasable pursuant to the respective Company Option immediately prior to the Effective Time </w:t>
      </w:r>
      <w:r>
        <w:rPr>
          <w:rFonts w:ascii="Times New Roman" w:cs="Times New Roman" w:eastAsia="Times New Roman" w:hAnsi="Times New Roman"/>
          <w:sz w:val="13"/>
          <w:szCs w:val="13"/>
          <w:i w:val="1"/>
          <w:iCs w:val="1"/>
          <w:u w:val="single" w:color="auto"/>
          <w:color w:val="auto"/>
        </w:rPr>
        <w:t>divided by</w:t>
      </w:r>
      <w:r>
        <w:rPr>
          <w:rFonts w:ascii="Times New Roman" w:cs="Times New Roman" w:eastAsia="Times New Roman" w:hAnsi="Times New Roman"/>
          <w:sz w:val="13"/>
          <w:szCs w:val="13"/>
          <w:color w:val="auto"/>
        </w:rPr>
        <w:t xml:space="preserve"> (B) the Exchange Ratio;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Aspen Common Stock subject to such option and the terms and conditions of exercise of such option shall be determined in a manner consistent with the requirements of Section 424(a) of the Code;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that in the case of any Assumed Option to which Section 409A of the Code applies as of the Effective Time, the exercise price, the number of shares of Aspen Common Stock subject to such option and the terms and conditions of exercise of such option shall be determined in a manner consistent with the requirements of Section 409A of the Code in order to avoid the imposition of any additional taxes thereunder.</w:t>
      </w:r>
    </w:p>
    <w:p>
      <w:pPr>
        <w:spacing w:after="0" w:line="140" w:lineRule="exact"/>
        <w:rPr>
          <w:sz w:val="20"/>
          <w:szCs w:val="20"/>
          <w:color w:val="auto"/>
        </w:rPr>
      </w:pPr>
    </w:p>
    <w:p>
      <w:pPr>
        <w:ind w:left="640" w:right="739" w:firstLine="1003"/>
        <w:spacing w:after="0" w:line="255" w:lineRule="auto"/>
        <w:tabs>
          <w:tab w:leader="none" w:pos="1824"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shall, prior to the Effective Time, take all actions necessary to effect the foregoing, and the Company shall ensure that there will be no “single-trigger” accelerated vesting of any Company Options triggered at and as of the consummation of any of the transactions contemplated hereby.</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Employee Benefits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7" w:lineRule="auto"/>
        <w:tabs>
          <w:tab w:leader="none" w:pos="1817"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Aspen shall comply with the terms of any employment, severance, retention, change of control, or similar agreement specified on </w:t>
      </w:r>
      <w:r>
        <w:rPr>
          <w:rFonts w:ascii="Times New Roman" w:cs="Times New Roman" w:eastAsia="Times New Roman" w:hAnsi="Times New Roman"/>
          <w:sz w:val="13"/>
          <w:szCs w:val="13"/>
          <w:u w:val="single" w:color="auto"/>
          <w:color w:val="auto"/>
        </w:rPr>
        <w:t>Section 4.17(d)</w:t>
      </w:r>
      <w:r>
        <w:rPr>
          <w:rFonts w:ascii="Times New Roman" w:cs="Times New Roman" w:eastAsia="Times New Roman" w:hAnsi="Times New Roman"/>
          <w:sz w:val="13"/>
          <w:szCs w:val="13"/>
          <w:color w:val="auto"/>
        </w:rPr>
        <w:t xml:space="preserve"> or contemplated by </w:t>
      </w:r>
      <w:r>
        <w:rPr>
          <w:rFonts w:ascii="Times New Roman" w:cs="Times New Roman" w:eastAsia="Times New Roman" w:hAnsi="Times New Roman"/>
          <w:sz w:val="13"/>
          <w:szCs w:val="13"/>
          <w:u w:val="single" w:color="auto"/>
          <w:color w:val="auto"/>
        </w:rPr>
        <w:t>Section 5.1(b)</w:t>
      </w:r>
      <w:r>
        <w:rPr>
          <w:rFonts w:ascii="Times New Roman" w:cs="Times New Roman" w:eastAsia="Times New Roman" w:hAnsi="Times New Roman"/>
          <w:sz w:val="13"/>
          <w:szCs w:val="13"/>
          <w:color w:val="auto"/>
        </w:rPr>
        <w:t xml:space="preserve"> of the Aspen Disclosure Schedule, subject to the provisions of such agreements.</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Effective Time, with respect to each benefit plan maintained by Aspen or the Surviving Corporation that is an “employee welfare benefit plan” as defined in Section 3(1) of ERISA (each, a “</w:t>
      </w:r>
      <w:r>
        <w:rPr>
          <w:rFonts w:ascii="Times New Roman" w:cs="Times New Roman" w:eastAsia="Times New Roman" w:hAnsi="Times New Roman"/>
          <w:sz w:val="12"/>
          <w:szCs w:val="12"/>
          <w:b w:val="1"/>
          <w:bCs w:val="1"/>
          <w:color w:val="auto"/>
        </w:rPr>
        <w:t>Post-Closing Welfare Plan</w:t>
      </w:r>
      <w:r>
        <w:rPr>
          <w:rFonts w:ascii="Times New Roman" w:cs="Times New Roman" w:eastAsia="Times New Roman" w:hAnsi="Times New Roman"/>
          <w:sz w:val="12"/>
          <w:szCs w:val="12"/>
          <w:color w:val="auto"/>
        </w:rPr>
        <w:t>”) in which any current or former employee of Aspen or the Company is or becomes eligible to participate (including under COBRA), Aspen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Aspen or Company employee and his or her eligible dependents to the same extent that such pre-existing conditions, waiting periods, required physical examinations and exclusions would not have applied or would have been waived under the corresponding Aspen Employee Plan or Company Employee Plan, as applicable, in which such current or former Aspen or Company employee was a participant immediately prior to his or her commencement of participation in such Post-Closing Welfare Plan, and (ii) provide each such current or former Aspen or Company employee and his or her eligible dependents with credit for any co-payments and deductibles paid in the plan year that includes the Effective Time, and prior to the date that, such current or former Aspen or Company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Aspen Employee Plan or Company Employee Plan, as applicable.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3" w:name="page94"/>
    <w:bookmarkEnd w:id="93"/>
    <w:p>
      <w:pPr>
        <w:ind w:left="640" w:right="679" w:firstLine="1003"/>
        <w:spacing w:after="0" w:line="249" w:lineRule="auto"/>
        <w:tabs>
          <w:tab w:leader="none" w:pos="1817"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shall be binding upon and inure solely to the benefit of each of the parties to this Agreement, and nothing in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shall confer upon any other Person any rights or remedies of any nature whatsoever. Nothing contained herein shall be construed to establish, amend or modify any benefit plan, program, agreement, or arrangement. The parties hereto acknowledge and agree that the terms set forth in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shall not create any right in any employee or any other Person to any continued employment with the Company, the Surviving Corporation, Aspen or any of their respective Affiliates or compensation or benefits of any nature or kind whatsoever.</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13"/>
          <w:szCs w:val="13"/>
          <w:u w:val="single" w:color="auto"/>
          <w:color w:val="auto"/>
        </w:rPr>
        <w:t>Aspen Equity Awards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5" w:lineRule="auto"/>
        <w:tabs>
          <w:tab w:leader="none" w:pos="1817"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Aspen Options</w:t>
      </w:r>
      <w:r>
        <w:rPr>
          <w:rFonts w:ascii="Times New Roman" w:cs="Times New Roman" w:eastAsia="Times New Roman" w:hAnsi="Times New Roman"/>
          <w:sz w:val="13"/>
          <w:szCs w:val="13"/>
          <w:color w:val="auto"/>
        </w:rPr>
        <w:t xml:space="preserve">. Prior to the Closing, the Aspen Board shall have adopted appropriate resolutions and taken all other actions necessary and appropriate to provide that (i) the vesting and exercisability of each unexpired, unexercised and unvested In the Money Aspen Option outstanding as of immediately prior to the Effective Time (A) that is held by a current employee, director, or consultant of Aspen as of the date hereof shall be accelerated in full effective as of immediately prior to the Effective Time, and (B) each In the Money Aspen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and (ii) the vesting and exercisability of 50% of all unexpired, unexercised and unvested Aspen Options set forth on </w:t>
      </w:r>
      <w:r>
        <w:rPr>
          <w:rFonts w:ascii="Times New Roman" w:cs="Times New Roman" w:eastAsia="Times New Roman" w:hAnsi="Times New Roman"/>
          <w:sz w:val="13"/>
          <w:szCs w:val="13"/>
          <w:u w:val="single" w:color="auto"/>
          <w:color w:val="auto"/>
        </w:rPr>
        <w:t>Section 6.7(a)</w:t>
      </w:r>
      <w:r>
        <w:rPr>
          <w:rFonts w:ascii="Times New Roman" w:cs="Times New Roman" w:eastAsia="Times New Roman" w:hAnsi="Times New Roman"/>
          <w:sz w:val="13"/>
          <w:szCs w:val="13"/>
          <w:color w:val="auto"/>
        </w:rPr>
        <w:t xml:space="preserve"> of the Aspen Disclosure Schedule and that remain outstanding as of immediately prior to the Effective Time (the “</w:t>
      </w:r>
      <w:r>
        <w:rPr>
          <w:rFonts w:ascii="Times New Roman" w:cs="Times New Roman" w:eastAsia="Times New Roman" w:hAnsi="Times New Roman"/>
          <w:sz w:val="13"/>
          <w:szCs w:val="13"/>
          <w:u w:val="single" w:color="auto"/>
          <w:color w:val="auto"/>
        </w:rPr>
        <w:t>Specified Options</w:t>
      </w:r>
      <w:r>
        <w:rPr>
          <w:rFonts w:ascii="Times New Roman" w:cs="Times New Roman" w:eastAsia="Times New Roman" w:hAnsi="Times New Roman"/>
          <w:sz w:val="13"/>
          <w:szCs w:val="13"/>
          <w:color w:val="auto"/>
        </w:rPr>
        <w:t xml:space="preserve">”) (A) that is held by a current employee, director, or consultant of Aspen as of the date hereof shall be accelerated in full effective as of immediately prior to the Effective Time, and (B) each Specified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(for the avoidance of doubt, no Specified Options shall be included in the total number of shares of Aspen Common Stock outstanding for purposes of determining the Aspen Outstanding Shares). Except as otherwise provided by this </w:t>
      </w:r>
      <w:r>
        <w:rPr>
          <w:rFonts w:ascii="Times New Roman" w:cs="Times New Roman" w:eastAsia="Times New Roman" w:hAnsi="Times New Roman"/>
          <w:sz w:val="13"/>
          <w:szCs w:val="13"/>
          <w:u w:val="single" w:color="auto"/>
          <w:color w:val="auto"/>
        </w:rPr>
        <w:t>Section 6.7(a)</w:t>
      </w:r>
      <w:r>
        <w:rPr>
          <w:rFonts w:ascii="Times New Roman" w:cs="Times New Roman" w:eastAsia="Times New Roman" w:hAnsi="Times New Roman"/>
          <w:sz w:val="13"/>
          <w:szCs w:val="13"/>
          <w:color w:val="auto"/>
        </w:rPr>
        <w:t>, each Aspen Option shall continue to be subject to the same terms and conditions after the Effective Time as were applicable under such Aspen Option as of immediately prior to the Effective Time.</w:t>
      </w:r>
    </w:p>
    <w:p>
      <w:pPr>
        <w:spacing w:after="0" w:line="136"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24"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Aspen Restricted Stock Units</w:t>
      </w:r>
      <w:r>
        <w:rPr>
          <w:rFonts w:ascii="Times New Roman" w:cs="Times New Roman" w:eastAsia="Times New Roman" w:hAnsi="Times New Roman"/>
          <w:sz w:val="13"/>
          <w:szCs w:val="13"/>
          <w:color w:val="auto"/>
        </w:rPr>
        <w:t xml:space="preserve">. Prior to the Closing, the Aspen Board shall have adopted appropriate resolutions and taken all other actions necessary and appropriate to provide that (i) the vesting of each outstanding and unvested Aspen Restricted Stock Unit that vests solely on the basis of time shall be accelerated in full effective as of immediately prior to the Effective Time, contingent on the occurrence of the Effective Time, and (ii) for each outstanding and unsettled Aspen Restricted Stock Unit that vests solely on the basis of time (including any Aspen Restricted Stock Units accelerated under </w:t>
      </w:r>
      <w:r>
        <w:rPr>
          <w:rFonts w:ascii="Times New Roman" w:cs="Times New Roman" w:eastAsia="Times New Roman" w:hAnsi="Times New Roman"/>
          <w:sz w:val="13"/>
          <w:szCs w:val="13"/>
          <w:u w:val="single" w:color="auto"/>
          <w:color w:val="auto"/>
        </w:rPr>
        <w:t>Section 6.7(b)(i)</w:t>
      </w:r>
      <w:r>
        <w:rPr>
          <w:rFonts w:ascii="Times New Roman" w:cs="Times New Roman" w:eastAsia="Times New Roman" w:hAnsi="Times New Roman"/>
          <w:sz w:val="13"/>
          <w:szCs w:val="13"/>
          <w:color w:val="auto"/>
        </w:rPr>
        <w:t xml:space="preserve"> above) the holder thereof shall receive, immediately prior to the Effective Time, a number of shares of Aspen Common Stock equal to the number of vested and unsettled shares underlying such Aspen Restricted Stock Units. Notwithstanding anything herein to the contrary, the tax withholding obligations for each holder receiving shares of Aspen Common Stock in accordance with the preceding sentence shall be satisfied by Aspen withholding from issuance that number of shares of Aspen Common Stock calculated by multiplying the legally-required withholding rate for such holder in connection with such issuance by the number of shares of Aspen Common Stock to be issued in accordance with the preceding sentence, and rounding up to the nearest whole share and remitting such withholding in cash to the appropriate taxing authorities. For the avoidance of doubt, any Aspen Restricted Stock Unit that vests in whole or in part based on the achievement of performance goals shall not be impacted by this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and shall remain in effect in accordance with their terms.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4" w:name="page95"/>
    <w:bookmarkEnd w:id="94"/>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6.8 </w:t>
      </w:r>
      <w:r>
        <w:rPr>
          <w:rFonts w:ascii="Times New Roman" w:cs="Times New Roman" w:eastAsia="Times New Roman" w:hAnsi="Times New Roman"/>
          <w:sz w:val="13"/>
          <w:szCs w:val="13"/>
          <w:u w:val="single" w:color="auto"/>
          <w:color w:val="auto"/>
        </w:rPr>
        <w:t>Indemnification of Officers and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44" w:lineRule="auto"/>
        <w:tabs>
          <w:tab w:leader="none" w:pos="1817"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Effective Time through the sixth anniversary of the date on which the Effective Time occurs, each of Aspen and the Surviving Corporation shall indemnify and hold harmless each person who is now, or has been at any time prior to the date hereof, or who becomes prior to the Effective Time, a director or officer of Aspen or the Company, respectively (the “</w:t>
      </w:r>
      <w:r>
        <w:rPr>
          <w:rFonts w:ascii="Times New Roman" w:cs="Times New Roman" w:eastAsia="Times New Roman" w:hAnsi="Times New Roman"/>
          <w:sz w:val="13"/>
          <w:szCs w:val="13"/>
          <w:b w:val="1"/>
          <w:bCs w:val="1"/>
          <w:color w:val="auto"/>
        </w:rPr>
        <w:t>D&amp;O Indemnified Parties</w:t>
      </w:r>
      <w:r>
        <w:rPr>
          <w:rFonts w:ascii="Times New Roman" w:cs="Times New Roman" w:eastAsia="Times New Roman" w:hAnsi="Times New Roman"/>
          <w:sz w:val="13"/>
          <w:szCs w:val="13"/>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3"/>
          <w:szCs w:val="13"/>
          <w:b w:val="1"/>
          <w:bCs w:val="1"/>
          <w:color w:val="auto"/>
        </w:rPr>
        <w:t>Costs</w:t>
      </w:r>
      <w:r>
        <w:rPr>
          <w:rFonts w:ascii="Times New Roman" w:cs="Times New Roman" w:eastAsia="Times New Roman" w:hAnsi="Times New Roman"/>
          <w:sz w:val="13"/>
          <w:szCs w:val="13"/>
          <w:color w:val="auto"/>
        </w:rPr>
        <w:t>”), incurred in connection with any claim, action, suit, proceeding or investigation (each a “</w:t>
      </w:r>
      <w:r>
        <w:rPr>
          <w:rFonts w:ascii="Times New Roman" w:cs="Times New Roman" w:eastAsia="Times New Roman" w:hAnsi="Times New Roman"/>
          <w:sz w:val="13"/>
          <w:szCs w:val="13"/>
          <w:b w:val="1"/>
          <w:bCs w:val="1"/>
          <w:color w:val="auto"/>
        </w:rPr>
        <w:t>Proceeding</w:t>
      </w:r>
      <w:r>
        <w:rPr>
          <w:rFonts w:ascii="Times New Roman" w:cs="Times New Roman" w:eastAsia="Times New Roman" w:hAnsi="Times New Roman"/>
          <w:sz w:val="13"/>
          <w:szCs w:val="13"/>
          <w:color w:val="auto"/>
        </w:rPr>
        <w:t xml:space="preserve">”), whether formal or informal, civil, criminal, administrative or investigative, arising out of or pertaining to the fact that the D&amp;O Indemnified Party is or was (i) a director or officer of Aspen or of the Company, respectively, or (ii) by reason of such D&amp;O Indemnified Party’s service in connection with any other corporation or organization for which he or she serves or has served as a director, officer, employee, agent trustee or fiduciary at the request of the Company or Aspen, respectively (including in any capacity with respect to any employee benefit plan), whether asserted or claimed prior to, at or after the Effective Time, in each case, to the fullest extent permitted under the DGCL;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all rights to being held harmless, indemnification and advancement of expenses in respect of any Proceeding asserted or made, and for which a D&amp;O Indemnified Party delivers a written notice to Aspen or the Surviving Corporation within such six (6) year period asserting a claim for such protections pursuant to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shall continue until the final disposition of such Proceeding. Each D&amp;O Indemnified Party will be entitled to advancement of expenses incurred in the defense of any such Proceeding from each of Aspen and the Surviving Corporation, jointly and severally, upon receipt by Aspen or the Surviving Corporation from the D&amp;O Indemnified Party of a request therefor;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such person to whom expenses are advanced provides an undertaking to Aspen, to the extent then required by the DGCL, to repay such advances if it is ultimately determined that such person is not entitled to indemnification (such undertaking shall be unsecured and made without reference to such D&amp;O Indemnified Party’s ultimate entitlement to indemnification or ability to repay such advances (and no other form of undertaking shall be required)). Without otherwise limiting the D&amp;O Indemnified Parties’ rights with regards to counsel, following the Effective Time, the D&amp;O Indemnified Parties shall be entitled to continue to retain Goodwin Procter LLP or such other counsel selected by the D&amp;O Indemnified Parties.</w:t>
      </w:r>
    </w:p>
    <w:p>
      <w:pPr>
        <w:spacing w:after="0" w:line="144" w:lineRule="exact"/>
        <w:rPr>
          <w:rFonts w:ascii="Times New Roman" w:cs="Times New Roman" w:eastAsia="Times New Roman" w:hAnsi="Times New Roman"/>
          <w:sz w:val="13"/>
          <w:szCs w:val="13"/>
          <w:color w:val="auto"/>
        </w:rPr>
      </w:pPr>
    </w:p>
    <w:p>
      <w:pPr>
        <w:ind w:left="640" w:right="699" w:firstLine="1003"/>
        <w:spacing w:after="0" w:line="247" w:lineRule="auto"/>
        <w:tabs>
          <w:tab w:leader="none" w:pos="1824"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 Organizational Documents of Aspen with respect to indemnification, advancement of expenses and exculpation of present and former directors and officers of Aspen that are presently set forth in the Organizational Documents of Aspen shall not be amended, modified or repealed for a period of six (6) years from the Effective Time in a manner that would adversely affect the rights thereunder of individuals who, at or prior to the Effective Time, were officers or directors of Aspen, unless such modification is required by applicable Law. The Organizational Documents of the Surviving Corporation shall contain, and Aspen shall cause the Organizational Documents of the Surviving Corporation to so contain, provisions no less favorable with respect to indemnification, advancement of expenses and exculpation of present and former directors and officers as those presently set forth in the Organizational Documents of Aspen.</w:t>
      </w:r>
    </w:p>
    <w:p>
      <w:pPr>
        <w:spacing w:after="0" w:line="136" w:lineRule="exact"/>
        <w:rPr>
          <w:rFonts w:ascii="Times New Roman" w:cs="Times New Roman" w:eastAsia="Times New Roman" w:hAnsi="Times New Roman"/>
          <w:sz w:val="13"/>
          <w:szCs w:val="13"/>
          <w:color w:val="auto"/>
        </w:rPr>
      </w:pPr>
    </w:p>
    <w:p>
      <w:pPr>
        <w:ind w:left="640" w:right="779" w:firstLine="1003"/>
        <w:spacing w:after="0" w:line="247" w:lineRule="auto"/>
        <w:tabs>
          <w:tab w:leader="none" w:pos="1817"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Aspen shall fulfill and honor in all respects the obligations of Aspen to its D&amp;O Indemnified Parties as of immediately prior to the Closing pursuant to any indemnification provisions under Aspen’s Organizational Documents and pursuant to any indemnification agreements between Aspen and such D&amp;O Indemnified Parties, with respect to claims arising out of matters occurring at or prior to the Effective Time.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5" w:name="page96"/>
    <w:bookmarkEnd w:id="95"/>
    <w:p>
      <w:pPr>
        <w:ind w:left="640" w:right="739" w:firstLine="1003"/>
        <w:spacing w:after="0" w:line="245" w:lineRule="auto"/>
        <w:tabs>
          <w:tab w:leader="none" w:pos="1824"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From and after the Effective Time, the Surviving Corporation shall maintain directors’ and officers’ liability insurance policies, with an effective date as of the Closing Date, on commercially reasonable terms and conditions and with coverage limits customary for U.S. public companies similarly situated to Aspen. In addition, Aspen shall purchase, prior to the Effective Time, six (6) year prepaid “D&amp;O tail policies” for the non-cancelable extension of the directors’ and officers’ liability coverage of Aspen’s existing directors’ and officers’ insurance policies for a claims reporting or discovery period of at least six (6) years from and after the Effective Time with respect to any claim related to any act, error or omission occurring at or prior to the Effective Time with terms, conditions, retentions and limits of liability that are no less favorable than the coverage provided under Aspen’s existing policies as of the date of this Agreement, except that Aspen will not commit or spend on such “D&amp;O tail policies” annual premiums in excess of 350% of the annual premiums paid by Aspen prior to the Effective Time for Aspen’s policies of directors’ and officers’ liability insurance and fiduciary liability insurance, and if such premiums for such “D&amp;O tail policies” would exceed 350% of a premium, then Aspen shall purchase such “D&amp;O tail policies” that provide the maximum coverage available at an annual premium equal to 350% of such annual premium. Aspen and the Surviving Corporation shall maintain such “D&amp;O tail policies” in full force and effect for their full term and continue to honor the obligations thereunder.</w:t>
      </w:r>
    </w:p>
    <w:p>
      <w:pPr>
        <w:spacing w:after="0" w:line="139" w:lineRule="exact"/>
        <w:rPr>
          <w:rFonts w:ascii="Times New Roman" w:cs="Times New Roman" w:eastAsia="Times New Roman" w:hAnsi="Times New Roman"/>
          <w:sz w:val="13"/>
          <w:szCs w:val="13"/>
          <w:color w:val="auto"/>
        </w:rPr>
      </w:pPr>
    </w:p>
    <w:p>
      <w:pPr>
        <w:ind w:left="640" w:right="699" w:firstLine="1003"/>
        <w:spacing w:after="0" w:line="309" w:lineRule="auto"/>
        <w:tabs>
          <w:tab w:leader="none" w:pos="1817"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the Surviving Corporation shall pay all expenses, including reasonable attorneys’ fees, that are incurred by the persons referred to in this </w:t>
      </w:r>
      <w:r>
        <w:rPr>
          <w:rFonts w:ascii="Times New Roman" w:cs="Times New Roman" w:eastAsia="Times New Roman" w:hAnsi="Times New Roman"/>
          <w:sz w:val="12"/>
          <w:szCs w:val="12"/>
          <w:u w:val="single" w:color="auto"/>
          <w:color w:val="auto"/>
        </w:rPr>
        <w:t>Section 6.8</w:t>
      </w:r>
      <w:r>
        <w:rPr>
          <w:rFonts w:ascii="Times New Roman" w:cs="Times New Roman" w:eastAsia="Times New Roman" w:hAnsi="Times New Roman"/>
          <w:sz w:val="12"/>
          <w:szCs w:val="12"/>
          <w:color w:val="auto"/>
        </w:rPr>
        <w:t xml:space="preserve"> in connection with their enforcement of the rights provided to such persons in this </w:t>
      </w:r>
      <w:r>
        <w:rPr>
          <w:rFonts w:ascii="Times New Roman" w:cs="Times New Roman" w:eastAsia="Times New Roman" w:hAnsi="Times New Roman"/>
          <w:sz w:val="12"/>
          <w:szCs w:val="12"/>
          <w:u w:val="single" w:color="auto"/>
          <w:color w:val="auto"/>
        </w:rPr>
        <w:t>Section 6.8</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659" w:firstLine="1003"/>
        <w:spacing w:after="0" w:line="255" w:lineRule="auto"/>
        <w:tabs>
          <w:tab w:leader="none" w:pos="1803"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are intended to be in addition to the rights otherwise available to the current and former officers and directors of Aspen and the Company by Law, charter, statute, bylaw or agreement, and shall operate for the benefit of, and shall be enforceable by, each of the D&amp;O Indemnified Parties, their heirs and their Representatives.</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24"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Aspen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Aspen or the Surviving Corporation, as the case may be, shall succeed to the obligations set forth in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Aspen shall cause the Surviving Corporation to perform all of the obligations of the Surviving Corporation under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779" w:firstLine="696"/>
        <w:spacing w:after="0" w:line="268" w:lineRule="auto"/>
        <w:rPr>
          <w:sz w:val="20"/>
          <w:szCs w:val="20"/>
          <w:color w:val="auto"/>
        </w:rPr>
      </w:pPr>
      <w:r>
        <w:rPr>
          <w:rFonts w:ascii="Times New Roman" w:cs="Times New Roman" w:eastAsia="Times New Roman" w:hAnsi="Times New Roman"/>
          <w:sz w:val="12"/>
          <w:szCs w:val="12"/>
          <w:color w:val="auto"/>
        </w:rPr>
        <w:t xml:space="preserve">6.9 </w:t>
      </w: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The Parties shall use their commercially reasonable efforts to agree to the text of any initial press release and Aspen’s Current Report on Form 8-K announcing the execution and delivery of this Agreement.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w:t>
      </w:r>
    </w:p>
    <w:p>
      <w:pPr>
        <w:spacing w:after="0" w:line="1" w:lineRule="exact"/>
        <w:rPr>
          <w:sz w:val="20"/>
          <w:szCs w:val="20"/>
          <w:color w:val="auto"/>
        </w:rPr>
      </w:pPr>
    </w:p>
    <w:p>
      <w:pPr>
        <w:ind w:left="640" w:right="759" w:hanging="3"/>
        <w:spacing w:after="0" w:line="243" w:lineRule="auto"/>
        <w:tabs>
          <w:tab w:leader="none" w:pos="819"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each of the Company and Aspen may make any public statement in response to specific questions by the press, analysts, investors or those attending industry conferences or financial analyst conference calls, or internal employee communications, so long as in each case any such statements or internal employee communications are consistent with previous press releases, public disclosures or public statements made by the Company or Aspen in compliance with this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Notwithstanding the foregoing, Aspen and Merger Sub need not consult with the Company in connection with such portion of any press release, public statement or filing to be issued or made pursuant to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or relating thereto.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6" w:name="page97"/>
    <w:bookmarkEnd w:id="96"/>
    <w:p>
      <w:pPr>
        <w:ind w:left="640" w:right="679" w:firstLine="696"/>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6.10 </w:t>
      </w:r>
      <w:r>
        <w:rPr>
          <w:rFonts w:ascii="Times New Roman" w:cs="Times New Roman" w:eastAsia="Times New Roman" w:hAnsi="Times New Roman"/>
          <w:sz w:val="12"/>
          <w:szCs w:val="12"/>
          <w:u w:val="single" w:color="auto"/>
          <w:color w:val="auto"/>
        </w:rPr>
        <w:t>Listing</w:t>
      </w:r>
      <w:r>
        <w:rPr>
          <w:rFonts w:ascii="Times New Roman" w:cs="Times New Roman" w:eastAsia="Times New Roman" w:hAnsi="Times New Roman"/>
          <w:sz w:val="12"/>
          <w:szCs w:val="12"/>
          <w:color w:val="auto"/>
        </w:rPr>
        <w:t>. At or prior to the Effective Time, Aspen shall use its commercially reasonable efforts to (a) maintain its listing on Nasdaq until the Effective Time and to obtain approval of the listing of the combined corporation on Nasdaq, (b) to the extent required by the rules and regulations of Nasdaq, prepare and submit to Nasdaq a notification form for the listing of the shares of Aspen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Aspen’s certificate of incorporation effecting the Nasdaq Reverse Split, certified by the Secretary of State of the State of Delaware, to Nasdaq on the Closing Date; and (d) to the extent required by Nasdaq Listing Rule 5110, assist the Company in preparing and filing an initial listing application for the Aspen Common Stock on Nasdaq (the “</w:t>
      </w:r>
      <w:r>
        <w:rPr>
          <w:rFonts w:ascii="Times New Roman" w:cs="Times New Roman" w:eastAsia="Times New Roman" w:hAnsi="Times New Roman"/>
          <w:sz w:val="12"/>
          <w:szCs w:val="12"/>
          <w:b w:val="1"/>
          <w:bCs w:val="1"/>
          <w:color w:val="auto"/>
        </w:rPr>
        <w:t>Nasdaq Listing Application</w:t>
      </w:r>
      <w:r>
        <w:rPr>
          <w:rFonts w:ascii="Times New Roman" w:cs="Times New Roman" w:eastAsia="Times New Roman" w:hAnsi="Times New Roman"/>
          <w:sz w:val="12"/>
          <w:szCs w:val="12"/>
          <w:color w:val="auto"/>
        </w:rPr>
        <w:t xml:space="preserve">”)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 xml:space="preserve">. All Nasdaq fees associated with any action contemplated by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Nasdaq Fees</w:t>
      </w:r>
      <w:r>
        <w:rPr>
          <w:rFonts w:ascii="Times New Roman" w:cs="Times New Roman" w:eastAsia="Times New Roman" w:hAnsi="Times New Roman"/>
          <w:sz w:val="12"/>
          <w:szCs w:val="12"/>
          <w:color w:val="auto"/>
        </w:rPr>
        <w:t>”) shall be shared equally by the Company and Aspen.</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6.11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7" w:lineRule="auto"/>
        <w:tabs>
          <w:tab w:leader="none" w:pos="1817"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Merger from qualifying for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including, but not limited to, those set forth in Treasury Regulation Section 1.368-3.</w:t>
      </w:r>
    </w:p>
    <w:p>
      <w:pPr>
        <w:spacing w:after="0" w:line="136" w:lineRule="exact"/>
        <w:rPr>
          <w:rFonts w:ascii="Times New Roman" w:cs="Times New Roman" w:eastAsia="Times New Roman" w:hAnsi="Times New Roman"/>
          <w:sz w:val="13"/>
          <w:szCs w:val="13"/>
          <w:color w:val="auto"/>
        </w:rPr>
      </w:pPr>
    </w:p>
    <w:p>
      <w:pPr>
        <w:ind w:left="640" w:right="839" w:firstLine="1003"/>
        <w:spacing w:after="0" w:line="279" w:lineRule="auto"/>
        <w:tabs>
          <w:tab w:leader="none" w:pos="1824"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Aspen shall promptly notify the Company if, at any time before the Effective Time, Aspen becomes aware of any fact or circumstance that would reasonably be expected to prevent, cause a failure of, or impede the Merger from qualifying for the Intended Tax Treatment. The Company shall promptly notify Aspen if, at any time before the Effective Time, the Company becomes aware of any fact or circumstance that would reasonably be expected to prevent, cause a failure of, or impede the Merger from qualifying for the Intended Tax Treatment.</w:t>
      </w:r>
    </w:p>
    <w:p>
      <w:pPr>
        <w:spacing w:after="0" w:line="116" w:lineRule="exact"/>
        <w:rPr>
          <w:rFonts w:ascii="Times New Roman" w:cs="Times New Roman" w:eastAsia="Times New Roman" w:hAnsi="Times New Roman"/>
          <w:sz w:val="12"/>
          <w:szCs w:val="12"/>
          <w:color w:val="auto"/>
        </w:rPr>
      </w:pPr>
    </w:p>
    <w:p>
      <w:pPr>
        <w:ind w:left="640" w:right="719" w:firstLine="1003"/>
        <w:spacing w:after="0" w:line="249" w:lineRule="auto"/>
        <w:tabs>
          <w:tab w:leader="none" w:pos="1817"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after good faith efforts by Aspen, in cooperation with the Company, to respond to any comments from the SEC requiring or requesting that an opinion with respect to the Intended Tax Treatment be prepared and submitted in connection with the Registration Statement and Proxy Statement (or any other filing required by applicable Law) or the SEC’s review thereof (“</w:t>
      </w:r>
      <w:r>
        <w:rPr>
          <w:rFonts w:ascii="Times New Roman" w:cs="Times New Roman" w:eastAsia="Times New Roman" w:hAnsi="Times New Roman"/>
          <w:sz w:val="13"/>
          <w:szCs w:val="13"/>
          <w:b w:val="1"/>
          <w:bCs w:val="1"/>
          <w:color w:val="auto"/>
        </w:rPr>
        <w:t>Tax Opinion</w:t>
      </w:r>
      <w:r>
        <w:rPr>
          <w:rFonts w:ascii="Times New Roman" w:cs="Times New Roman" w:eastAsia="Times New Roman" w:hAnsi="Times New Roman"/>
          <w:sz w:val="13"/>
          <w:szCs w:val="13"/>
          <w:color w:val="auto"/>
        </w:rPr>
        <w:t>”), the SEC continues to request or require that a Tax Opinion be prepared and submitted, (i) each of Aspen and the Company shall cause Goodwin Procter LLP (or such other nationally recognized law or accounting firm reasonably satisfactory to Aspen and the Company) and Cooley LLP (or such other nationally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7" w:name="page98"/>
    <w:bookmarkEnd w:id="97"/>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recognized law or accounting firm reasonably satisfactory to the Company and Aspen), respectively, to furnish such opinions (as so required or requested and subject to customary assumptions and limitations) and (ii) Aspen and the Company shall each deliver to Goodwin Procter LLP (or such other nationally recognized law or accounting firm reasonably satisfactory to Aspen and the Company) and Cooley LLP (or such other nationally recognized law or accounting firm reasonably satisfactory to the Company and Aspen) a Tax certificate, dated as of the date the Registration Statement and Proxy Statement (or such other filing if required by applicable Law) shall have been declared effective by the SEC and signed by an officer of Aspen or the Company, as applicable, containing customary representations and covenants reasonably acceptable to the Company and Aspen, as applicable, in each case, as reasonably necessary and appropriate to enable such advisors to render such opinion (the “</w:t>
      </w:r>
      <w:r>
        <w:rPr>
          <w:rFonts w:ascii="Times New Roman" w:cs="Times New Roman" w:eastAsia="Times New Roman" w:hAnsi="Times New Roman"/>
          <w:sz w:val="12"/>
          <w:szCs w:val="12"/>
          <w:b w:val="1"/>
          <w:bCs w:val="1"/>
          <w:color w:val="auto"/>
        </w:rPr>
        <w:t>Tax Certificates</w:t>
      </w:r>
      <w:r>
        <w:rPr>
          <w:rFonts w:ascii="Times New Roman" w:cs="Times New Roman" w:eastAsia="Times New Roman" w:hAnsi="Times New Roman"/>
          <w:sz w:val="12"/>
          <w:szCs w:val="12"/>
          <w:color w:val="auto"/>
        </w:rPr>
        <w:t>”). Each of Aspen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w:t>
      </w:r>
    </w:p>
    <w:p>
      <w:pPr>
        <w:spacing w:after="0" w:line="124" w:lineRule="exact"/>
        <w:rPr>
          <w:sz w:val="20"/>
          <w:szCs w:val="20"/>
          <w:color w:val="auto"/>
        </w:rPr>
      </w:pPr>
    </w:p>
    <w:p>
      <w:pPr>
        <w:ind w:left="640" w:right="799" w:firstLine="1003"/>
        <w:spacing w:after="0" w:line="248" w:lineRule="auto"/>
        <w:tabs>
          <w:tab w:leader="none" w:pos="1824"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Aspen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Aspen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17"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limiting the generality of </w:t>
      </w:r>
      <w:r>
        <w:rPr>
          <w:rFonts w:ascii="Times New Roman" w:cs="Times New Roman" w:eastAsia="Times New Roman" w:hAnsi="Times New Roman"/>
          <w:sz w:val="13"/>
          <w:szCs w:val="13"/>
          <w:u w:val="single" w:color="auto"/>
          <w:color w:val="auto"/>
        </w:rPr>
        <w:t>Section 6.11(a)</w:t>
      </w:r>
      <w:r>
        <w:rPr>
          <w:rFonts w:ascii="Times New Roman" w:cs="Times New Roman" w:eastAsia="Times New Roman" w:hAnsi="Times New Roman"/>
          <w:sz w:val="13"/>
          <w:szCs w:val="13"/>
          <w:color w:val="auto"/>
        </w:rPr>
        <w:t>, if the Company or Aspen reasonably determines on advice of its counsel that there is a material risk that the Merger will not qualify for the Intended Tax Treatment, but would be reasonably expected to so qualify if a second-step merger of the Surviving Corporation into a limited liability company directly and wholly owned by Aspen that is disregarded as an entity for U.S. federal income tax purposes were consummated (such second-step merger,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xml:space="preserve">”), then the Company and Aspen shall cause the Second Merger to be so consummated; provided, that if such Second Merger occurs, (i) the Merger and the Second Merger shall be treated as one integrated transaction for U.S. federal income tax purposes, (ii) the Second Merger shall be consummated in accordance with Delaware Law and as promptly as practicable following the Merger, and (iii) references to Aspen or the Surviving Corporation (in each case, after the effective time of the Second Merger) and all other provisions of this Agreement shall be interpreted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xml:space="preserve"> to take into account the change in structure of the business combination. For the avoidance of doubt, any such amendment described in this </w:t>
      </w:r>
      <w:r>
        <w:rPr>
          <w:rFonts w:ascii="Times New Roman" w:cs="Times New Roman" w:eastAsia="Times New Roman" w:hAnsi="Times New Roman"/>
          <w:sz w:val="13"/>
          <w:szCs w:val="13"/>
          <w:u w:val="single" w:color="auto"/>
          <w:color w:val="auto"/>
        </w:rPr>
        <w:t>Section 6.11(e)</w:t>
      </w:r>
      <w:r>
        <w:rPr>
          <w:rFonts w:ascii="Times New Roman" w:cs="Times New Roman" w:eastAsia="Times New Roman" w:hAnsi="Times New Roman"/>
          <w:sz w:val="13"/>
          <w:szCs w:val="13"/>
          <w:color w:val="auto"/>
        </w:rPr>
        <w:t xml:space="preserve"> shall not alter or change the amount, nature or mix of the Merger Consideration.</w:t>
      </w:r>
    </w:p>
    <w:p>
      <w:pPr>
        <w:spacing w:after="0" w:line="136" w:lineRule="exact"/>
        <w:rPr>
          <w:sz w:val="20"/>
          <w:szCs w:val="20"/>
          <w:color w:val="auto"/>
        </w:rPr>
      </w:pPr>
    </w:p>
    <w:p>
      <w:pPr>
        <w:ind w:left="640" w:right="7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6.12 </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Aspen shall be entitled to place appropriate legends on the book entries and/or certificates evidencing any shares of Aspen Common Stock to be received in the Merger by equityholders of the Company who may be considered “affiliates” of Aspen for purposes of Rules 144 and 145 under the Securities Act reflecting the restrictions set forth in Rules 144 and 145 and to issue appropriate stop transfer instructions to the transfer agent for Aspen Common Stock.</w:t>
      </w:r>
    </w:p>
    <w:p>
      <w:pPr>
        <w:spacing w:after="0" w:line="133" w:lineRule="exact"/>
        <w:rPr>
          <w:sz w:val="20"/>
          <w:szCs w:val="20"/>
          <w:color w:val="auto"/>
        </w:rPr>
      </w:pPr>
    </w:p>
    <w:p>
      <w:pPr>
        <w:ind w:left="640" w:right="659" w:firstLine="696"/>
        <w:spacing w:after="0" w:line="271" w:lineRule="auto"/>
        <w:rPr>
          <w:sz w:val="20"/>
          <w:szCs w:val="20"/>
          <w:color w:val="auto"/>
        </w:rPr>
      </w:pPr>
      <w:r>
        <w:rPr>
          <w:rFonts w:ascii="Times New Roman" w:cs="Times New Roman" w:eastAsia="Times New Roman" w:hAnsi="Times New Roman"/>
          <w:sz w:val="12"/>
          <w:szCs w:val="12"/>
          <w:color w:val="auto"/>
        </w:rPr>
        <w:t xml:space="preserve">6.13 </w:t>
      </w:r>
      <w:r>
        <w:rPr>
          <w:rFonts w:ascii="Times New Roman" w:cs="Times New Roman" w:eastAsia="Times New Roman" w:hAnsi="Times New Roman"/>
          <w:sz w:val="12"/>
          <w:szCs w:val="12"/>
          <w:u w:val="single" w:color="auto"/>
          <w:color w:val="auto"/>
        </w:rPr>
        <w:t>Officers and Directors</w:t>
      </w:r>
      <w:r>
        <w:rPr>
          <w:rFonts w:ascii="Times New Roman" w:cs="Times New Roman" w:eastAsia="Times New Roman" w:hAnsi="Times New Roman"/>
          <w:sz w:val="12"/>
          <w:szCs w:val="12"/>
          <w:color w:val="auto"/>
        </w:rPr>
        <w:t xml:space="preserve">. Until successors are duly elected or appointed and qualified in accordance with applicable Law, the Parties shall use commercially reasonable efforts and take all necessary action so that the Persons listed on </w:t>
      </w:r>
      <w:r>
        <w:rPr>
          <w:rFonts w:ascii="Times New Roman" w:cs="Times New Roman" w:eastAsia="Times New Roman" w:hAnsi="Times New Roman"/>
          <w:sz w:val="12"/>
          <w:szCs w:val="12"/>
          <w:u w:val="single" w:color="auto"/>
          <w:color w:val="auto"/>
        </w:rPr>
        <w:t>Section 6.13</w:t>
      </w:r>
      <w:r>
        <w:rPr>
          <w:rFonts w:ascii="Times New Roman" w:cs="Times New Roman" w:eastAsia="Times New Roman" w:hAnsi="Times New Roman"/>
          <w:sz w:val="12"/>
          <w:szCs w:val="12"/>
          <w:color w:val="auto"/>
        </w:rPr>
        <w:t xml:space="preserve"> of the Aspen Disclosure Schedule are elected or appointed, as applicable, to the positions of officers or directors of Aspen and the Surviving Corporation, as set forth therein, to serve in such positions effective as of the Effective Time. If any Person listed on </w:t>
      </w:r>
      <w:r>
        <w:rPr>
          <w:rFonts w:ascii="Times New Roman" w:cs="Times New Roman" w:eastAsia="Times New Roman" w:hAnsi="Times New Roman"/>
          <w:sz w:val="12"/>
          <w:szCs w:val="12"/>
          <w:u w:val="single" w:color="auto"/>
          <w:color w:val="auto"/>
        </w:rPr>
        <w:t>Section 6.13</w:t>
      </w:r>
      <w:r>
        <w:rPr>
          <w:rFonts w:ascii="Times New Roman" w:cs="Times New Roman" w:eastAsia="Times New Roman" w:hAnsi="Times New Roman"/>
          <w:sz w:val="12"/>
          <w:szCs w:val="12"/>
          <w:color w:val="auto"/>
        </w:rPr>
        <w:t xml:space="preserve"> of the Aspen Disclosure Schedule is unable or unwilling to serve as officer or director of Aspen or the Surviving Corporation, as set forth therein, the Party appointing such Person (as set forth on </w:t>
      </w:r>
      <w:r>
        <w:rPr>
          <w:rFonts w:ascii="Times New Roman" w:cs="Times New Roman" w:eastAsia="Times New Roman" w:hAnsi="Times New Roman"/>
          <w:sz w:val="12"/>
          <w:szCs w:val="12"/>
          <w:u w:val="single" w:color="auto"/>
          <w:color w:val="auto"/>
        </w:rPr>
        <w:t>Section 6.13</w:t>
      </w:r>
      <w:r>
        <w:rPr>
          <w:rFonts w:ascii="Times New Roman" w:cs="Times New Roman" w:eastAsia="Times New Roman" w:hAnsi="Times New Roman"/>
          <w:sz w:val="12"/>
          <w:szCs w:val="12"/>
          <w:color w:val="auto"/>
        </w:rPr>
        <w:t xml:space="preserve"> of the Aspen Disclosure Schedule) shall designate a successor. The Parties shall use reasonable best efforts to have each of the Persons that will serve as directors and officers of the Aspen following the Closing to execute and deliver a Lock-Up Agreement prior to Closing.</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98" w:name="page99"/>
    <w:bookmarkEnd w:id="98"/>
    <w:p>
      <w:pPr>
        <w:ind w:left="640" w:right="719" w:firstLine="696"/>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6.14 </w:t>
      </w:r>
      <w:r>
        <w:rPr>
          <w:rFonts w:ascii="Times New Roman" w:cs="Times New Roman" w:eastAsia="Times New Roman" w:hAnsi="Times New Roman"/>
          <w:sz w:val="13"/>
          <w:szCs w:val="13"/>
          <w:u w:val="single" w:color="auto"/>
          <w:color w:val="auto"/>
        </w:rPr>
        <w:t>Termination of Certain Agreements and Rights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6.14</w:t>
      </w:r>
      <w:r>
        <w:rPr>
          <w:rFonts w:ascii="Times New Roman" w:cs="Times New Roman" w:eastAsia="Times New Roman" w:hAnsi="Times New Roman"/>
          <w:sz w:val="13"/>
          <w:szCs w:val="13"/>
          <w:color w:val="auto"/>
        </w:rPr>
        <w:t xml:space="preserve"> of the Aspen Disclosure Schedule, each of Aspen and the Company shall use commercially reasonable efforts to cause any stockholder agreements, voting agreements, registration rights agreements, co-sale agreements and any other similar Contracts between either Aspen or the Company and any holders of Aspen Common Stock or Company Capital Stock, respectively, including any such Contract granting any Person investor rights, rights of first refusal, registration rights or director registration rights, to be terminated immediately prior to the Effective Time, without any liability being imposed on the part of Aspen or the Surviving Corporation.</w:t>
      </w:r>
    </w:p>
    <w:p>
      <w:pPr>
        <w:spacing w:after="0" w:line="135" w:lineRule="exact"/>
        <w:rPr>
          <w:sz w:val="20"/>
          <w:szCs w:val="20"/>
          <w:color w:val="auto"/>
        </w:rPr>
      </w:pPr>
    </w:p>
    <w:p>
      <w:pPr>
        <w:ind w:left="640" w:right="679" w:firstLine="696"/>
        <w:spacing w:after="0" w:line="251" w:lineRule="auto"/>
        <w:rPr>
          <w:sz w:val="20"/>
          <w:szCs w:val="20"/>
          <w:color w:val="auto"/>
        </w:rPr>
      </w:pPr>
      <w:r>
        <w:rPr>
          <w:rFonts w:ascii="Times New Roman" w:cs="Times New Roman" w:eastAsia="Times New Roman" w:hAnsi="Times New Roman"/>
          <w:sz w:val="13"/>
          <w:szCs w:val="13"/>
          <w:color w:val="auto"/>
        </w:rPr>
        <w:t xml:space="preserve">6.15 </w:t>
      </w:r>
      <w:r>
        <w:rPr>
          <w:rFonts w:ascii="Times New Roman" w:cs="Times New Roman" w:eastAsia="Times New Roman" w:hAnsi="Times New Roman"/>
          <w:sz w:val="13"/>
          <w:szCs w:val="13"/>
          <w:u w:val="single" w:color="auto"/>
          <w:color w:val="auto"/>
        </w:rPr>
        <w:t>Section 16 Matters</w:t>
      </w:r>
      <w:r>
        <w:rPr>
          <w:rFonts w:ascii="Times New Roman" w:cs="Times New Roman" w:eastAsia="Times New Roman" w:hAnsi="Times New Roman"/>
          <w:sz w:val="13"/>
          <w:szCs w:val="13"/>
          <w:color w:val="auto"/>
        </w:rPr>
        <w:t>. Prior to the Effective Time, Aspen shall take all such steps as may be required to cause any acquisitions of Aspen Common Stock and any options to purchase Aspen Common Stock in connection with the Contemplated Transactions, by each individual who is reasonably expected to become subject to the reporting requirements of Section 16(a) of the Exchange Act with respect to Aspen, to be exempt under Rule 16b-3 promulgated under the Exchange Act.</w:t>
      </w:r>
    </w:p>
    <w:p>
      <w:pPr>
        <w:spacing w:after="0" w:line="133"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6.16 </w:t>
      </w:r>
      <w:r>
        <w:rPr>
          <w:rFonts w:ascii="Times New Roman" w:cs="Times New Roman" w:eastAsia="Times New Roman" w:hAnsi="Times New Roman"/>
          <w:sz w:val="13"/>
          <w:szCs w:val="13"/>
          <w:u w:val="single" w:color="auto"/>
          <w:color w:val="auto"/>
        </w:rPr>
        <w:t>Allocation Certificate</w:t>
      </w:r>
      <w:r>
        <w:rPr>
          <w:rFonts w:ascii="Times New Roman" w:cs="Times New Roman" w:eastAsia="Times New Roman" w:hAnsi="Times New Roman"/>
          <w:sz w:val="13"/>
          <w:szCs w:val="13"/>
          <w:color w:val="auto"/>
        </w:rPr>
        <w:t>. The Company will prepare and deliver to Aspen at least five (5) Business Days prior to the Closing Date a certificate signed by the Company’s Chief Executive Officer in a form reasonably acceptable to Aspen setting forth (as of immediately prior to the Effective Time and after giving effect to the Company SAFEs Conversion and the Company Preferred Stock Conversion) (a) each holder of Company Capital Stock and Company Options, (b) such holder’s name and address, (c) the number and type of Company Capital Stock held as of immediately prior to the Effective Time for each such holder or, with respect to each Company Option, the grant date of such Company Option and the number of shares of Company Capital Stock subject to such Company Option, (d) the number of shares of Aspen Common Stock to be issued to such holder pursuant to this Agreement in respect of the Company Capital Stock held by such holder as of immediately prior to the Effective Time (after giving effect to the Company SAFEs Conversion and the Company Preferred Stock Conversion) or, with respect to each Company Option, the number of shares of Aspen Common Stock to be subject to the applicable Assumed Option immediately following the conversion of such Company Option into an Assumed Option in accordance with this Agreement, and (e) the name and address of each Concurrent Investor, the total investment to be made by such Concurrent Investor in the Concurrent Investment, the percentage of the Concurrent Investment Proceeds represented by such Concurrent Investor’s investment in the Concurrent Investment, and the number of shares of Aspen Common Stock to be issued to such Concurrent Investor pursuant to this Agreement (the “</w:t>
      </w:r>
      <w:r>
        <w:rPr>
          <w:rFonts w:ascii="Times New Roman" w:cs="Times New Roman" w:eastAsia="Times New Roman" w:hAnsi="Times New Roman"/>
          <w:sz w:val="13"/>
          <w:szCs w:val="13"/>
          <w:b w:val="1"/>
          <w:bCs w:val="1"/>
          <w:color w:val="auto"/>
        </w:rPr>
        <w:t>Allocation Certificate</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11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6.17 </w:t>
      </w:r>
      <w:r>
        <w:rPr>
          <w:rFonts w:ascii="Times New Roman" w:cs="Times New Roman" w:eastAsia="Times New Roman" w:hAnsi="Times New Roman"/>
          <w:sz w:val="13"/>
          <w:szCs w:val="13"/>
          <w:u w:val="single" w:color="auto"/>
          <w:color w:val="auto"/>
        </w:rPr>
        <w:t>Obligations of Merger Sub</w:t>
      </w:r>
      <w:r>
        <w:rPr>
          <w:rFonts w:ascii="Times New Roman" w:cs="Times New Roman" w:eastAsia="Times New Roman" w:hAnsi="Times New Roman"/>
          <w:sz w:val="13"/>
          <w:szCs w:val="13"/>
          <w:color w:val="auto"/>
        </w:rPr>
        <w:t>. Aspen will take all action necessary to cause Merger Sub to perform their obligations under this Agreement and to consummate the Merger on the terms and conditions set forth in this Agreement.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6.18 </w:t>
      </w:r>
      <w:r>
        <w:rPr>
          <w:rFonts w:ascii="Times New Roman" w:cs="Times New Roman" w:eastAsia="Times New Roman" w:hAnsi="Times New Roman"/>
          <w:sz w:val="13"/>
          <w:szCs w:val="13"/>
          <w:u w:val="single" w:color="auto"/>
          <w:color w:val="auto"/>
        </w:rPr>
        <w:t>Covenants Regarding Concurrent Investment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75" w:lineRule="auto"/>
        <w:tabs>
          <w:tab w:leader="none" w:pos="1817"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take, or cause to be taken, all actions and do, or cause to be done, all things necessary, proper or advisable to enforce its rights under each Concurrent Investment Agreement in the event that all conditions in such Concurrent Investment Agreement (other than conditions whose satisfaction is controlled by the Parties or any of their Affiliates and other than conditions that by their nature are to be satisfied at the Closing) have been satisfied, and to cause the applicable Concurrent Investors to pay (to the extent not already paid) the applicable portion of the Concurrent Investment Amount set forth in the applicable Concurrent Investment Agreement in accordance with its terms. Without limiting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99" w:name="page100"/>
    <w:bookmarkEnd w:id="99"/>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generality of the foregoing, the Company shall give Aspen prompt (and, in any event, within one (1) Business Day) written notice: (A) of any request from an Concurrent Investor for any amendment to its Concurrent Investment Agreement (other than as a result of any assignments or transfers contemplated therein or otherwise permitted thereby); (B) of any breach or default (or any event or circumstance that, with or without notice, lapse of time or both, would reasonably be expected to give rise to any breach or default) by any Concurrent Investor under the applicable Concurrent Investment Agreement, to the extent known by the Company; and (C) of the receipt of any written notice or other written communication from any party to a Concurrent Investment Agreement with respect to any actual, potential, threatened or claimed expiration, lapse, withdrawal, breach, default, termination or repudiation by any Concurrent Investor under a Concurrent Investment Agreement or any related agreement. The Company shall deliver all notices they are required to deliver under the Concurrent Investment Agreements on a timely basis in order to cause the Subscription Agreement Concurrent Investors to consummate the Subscription Agreement Concurrent Investment immediately prior to the Effective Time and to cause the occurrence of the Company SAFEs Conversion immediately following the Company Preferred Stock Conversion and immediately prior to the Subscription Agreement Concurrent Investment and at the Specified Time.</w:t>
      </w:r>
    </w:p>
    <w:p>
      <w:pPr>
        <w:spacing w:after="0" w:line="141" w:lineRule="exact"/>
        <w:rPr>
          <w:sz w:val="20"/>
          <w:szCs w:val="20"/>
          <w:color w:val="auto"/>
        </w:rPr>
      </w:pPr>
    </w:p>
    <w:p>
      <w:pPr>
        <w:ind w:left="640" w:right="699" w:firstLine="1003"/>
        <w:spacing w:after="0" w:line="246" w:lineRule="auto"/>
        <w:tabs>
          <w:tab w:leader="none" w:pos="1824"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initial execution of the Concurrent Investment Agreements, the Company shall not amend, modify or waive any provisions of a Concurrent Investment Agreement without the prior written consent of Aspen if such termination, amendment, modification, waiver or replacement (i) reduces the aggregate Concurrent Investment Amount or (ii) imposes new or additional conditions or otherwise expands, amends or modifies any of the conditions to the receipt of the Concurrent Investment, or otherwise expands, amends or modifies any other provision of the applicable Concurrent Investment Agreement, in a manner that would reasonably be expected to (x) delay or prevent the funding of the Concurrent Investment or the funding in full of the Concurrent Investment Amount (or satisfaction of the conditions to the Concurrent Investment) at or substantially simultaneously with the Closing or (y) adversely impact the ability of the Company to enforce its rights against other parties to the applicable Concurrent Investment Agreement. The Company shall promptly deliver to Aspen copies of any such termination, amendment, modification, waiver or replacement.</w:t>
      </w:r>
    </w:p>
    <w:p>
      <w:pPr>
        <w:spacing w:after="0" w:line="137"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17"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use commercially reasonable efforts to take such actions and cause the holders of Company Capital Stock to provide all documentation, including investor questionnaires in a manner that satisfies the requirements of Rule 506 of Regulation D under the Securities Act or Section 4(a)(2) under the Securities Act or Rule 902 of Regulation S, including certifications to Aspen: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Aspen Common Stock; and (iii) that unless the shares are registered for resale the Aspen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w:t>
      </w:r>
    </w:p>
    <w:p>
      <w:pPr>
        <w:spacing w:after="0" w:line="135" w:lineRule="exact"/>
        <w:rPr>
          <w:rFonts w:ascii="Times New Roman" w:cs="Times New Roman" w:eastAsia="Times New Roman" w:hAnsi="Times New Roman"/>
          <w:sz w:val="13"/>
          <w:szCs w:val="13"/>
          <w:color w:val="auto"/>
        </w:rPr>
      </w:pPr>
    </w:p>
    <w:p>
      <w:pPr>
        <w:jc w:val="both"/>
        <w:ind w:left="640" w:right="679" w:firstLine="1003"/>
        <w:spacing w:after="0" w:line="249" w:lineRule="auto"/>
        <w:tabs>
          <w:tab w:leader="none" w:pos="1824"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Section 5.2(b)(iii)(A) and (C), beginning on or after June 1, 2024, the Company shall be able to draw down on any Concurrent Investment, in no event exceeding $25,000,000 in the aggregate, for purposes of funding general operating expenses of the Company in the Ordinary Course of Business (for the avoidance of doubt in accordance with the Company’s obligations pursuant to Section 5.2(b)). Any such shares of Company Common Stock issued upon conversion of such drawdown(s) shall be issued by the Company in accordance with Section 2.5(g) applied on a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xml:space="preserve"> basis.</w:t>
      </w:r>
    </w:p>
    <w:p>
      <w:pPr>
        <w:spacing w:after="0" w:line="134" w:lineRule="exact"/>
        <w:rPr>
          <w:sz w:val="20"/>
          <w:szCs w:val="20"/>
          <w:color w:val="auto"/>
        </w:rPr>
      </w:pPr>
    </w:p>
    <w:p>
      <w:pPr>
        <w:jc w:val="both"/>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Conditions Precedent to Obligations of Each Party</w:t>
      </w:r>
      <w:r>
        <w:rPr>
          <w:rFonts w:ascii="Times New Roman" w:cs="Times New Roman" w:eastAsia="Times New Roman" w:hAnsi="Times New Roman"/>
          <w:sz w:val="13"/>
          <w:szCs w:val="13"/>
          <w:color w:val="auto"/>
        </w:rPr>
        <w:t>.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130"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Effectiveness of Registration Statement</w:t>
      </w:r>
      <w:r>
        <w:rPr>
          <w:rFonts w:ascii="Times New Roman" w:cs="Times New Roman" w:eastAsia="Times New Roman" w:hAnsi="Times New Roman"/>
          <w:sz w:val="13"/>
          <w:szCs w:val="13"/>
          <w:color w:val="auto"/>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0" w:name="page101"/>
    <w:bookmarkEnd w:id="100"/>
    <w:p>
      <w:pPr>
        <w:jc w:val="both"/>
        <w:ind w:left="640" w:right="659" w:firstLine="696"/>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7.2 </w:t>
      </w:r>
      <w:r>
        <w:rPr>
          <w:rFonts w:ascii="Times New Roman" w:cs="Times New Roman" w:eastAsia="Times New Roman" w:hAnsi="Times New Roman"/>
          <w:sz w:val="12"/>
          <w:szCs w:val="12"/>
          <w:u w:val="single" w:color="auto"/>
          <w:color w:val="auto"/>
        </w:rPr>
        <w:t>No Restraints</w:t>
      </w:r>
      <w:r>
        <w:rPr>
          <w:rFonts w:ascii="Times New Roman" w:cs="Times New Roman" w:eastAsia="Times New Roman" w:hAnsi="Times New Roman"/>
          <w:sz w:val="12"/>
          <w:szCs w:val="12"/>
          <w:color w:val="auto"/>
        </w:rPr>
        <w:t>.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113" w:lineRule="exact"/>
        <w:rPr>
          <w:sz w:val="20"/>
          <w:szCs w:val="20"/>
          <w:color w:val="auto"/>
        </w:rPr>
      </w:pPr>
    </w:p>
    <w:p>
      <w:pPr>
        <w:ind w:left="640" w:right="10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Stockholder Approval</w:t>
      </w:r>
      <w:r>
        <w:rPr>
          <w:rFonts w:ascii="Times New Roman" w:cs="Times New Roman" w:eastAsia="Times New Roman" w:hAnsi="Times New Roman"/>
          <w:sz w:val="13"/>
          <w:szCs w:val="13"/>
          <w:color w:val="auto"/>
        </w:rPr>
        <w:t>. (a) Aspen shall have obtained the Required Aspen Stockholder Vote with respect to the Specified Aspen Stockholder Matters and (b) the Company shall have obtained the Required Company Stockholder Vote.</w:t>
      </w:r>
    </w:p>
    <w:p>
      <w:pPr>
        <w:spacing w:after="0" w:line="122"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7.4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The approval of the listing of the additional shares of Aspen Common Stock on Nasdaq shall have been obtained and the shares of Aspen Common Stock to be issued in the Contemplated Transactions pursuant to this Agreement shall have been approved for listing (subject to official notice of issuance) on Nasdaq.</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7.5 </w:t>
      </w:r>
      <w:r>
        <w:rPr>
          <w:rFonts w:ascii="Times New Roman" w:cs="Times New Roman" w:eastAsia="Times New Roman" w:hAnsi="Times New Roman"/>
          <w:sz w:val="13"/>
          <w:szCs w:val="13"/>
          <w:u w:val="single" w:color="auto"/>
          <w:color w:val="auto"/>
        </w:rPr>
        <w:t>Lock-Up Agreements</w:t>
      </w:r>
      <w:r>
        <w:rPr>
          <w:rFonts w:ascii="Times New Roman" w:cs="Times New Roman" w:eastAsia="Times New Roman" w:hAnsi="Times New Roman"/>
          <w:sz w:val="13"/>
          <w:szCs w:val="13"/>
          <w:color w:val="auto"/>
        </w:rPr>
        <w:t>. The Lock-Up Agreements shall be in full force and effect.</w:t>
      </w:r>
    </w:p>
    <w:p>
      <w:pPr>
        <w:spacing w:after="0" w:line="154" w:lineRule="exact"/>
        <w:rPr>
          <w:sz w:val="20"/>
          <w:szCs w:val="20"/>
          <w:color w:val="auto"/>
        </w:rPr>
      </w:pPr>
    </w:p>
    <w:p>
      <w:pPr>
        <w:ind w:left="640" w:right="679" w:firstLine="696"/>
        <w:spacing w:after="0" w:line="247" w:lineRule="auto"/>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u w:val="single" w:color="auto"/>
          <w:color w:val="auto"/>
        </w:rPr>
        <w:t>Concurrent Investment</w:t>
      </w:r>
      <w:r>
        <w:rPr>
          <w:rFonts w:ascii="Times New Roman" w:cs="Times New Roman" w:eastAsia="Times New Roman" w:hAnsi="Times New Roman"/>
          <w:sz w:val="13"/>
          <w:szCs w:val="13"/>
          <w:color w:val="auto"/>
        </w:rPr>
        <w:t xml:space="preserve">. Cash proceeds of not less than the Concurrent Investment Amount shall have been received by the Company, or will be received by the Company substantially simultaneously with the Closing, in connection with the consummation of the transactions contemplated by the Concurrent Investment Agreements;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condition in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shall not be available to the Company if such cash proceeds in an amount not less than the Concurrent Investment Amount would have been received by the Company before or substantially simultaneously with the Closing, but for the breach or failure to perform by one or more Concurrent Investors that is a holder of Company Capital Stock or Company SAFEs as of the date hereof or an Affiliate thereof of the agreements or covenants required to be performed or complied with by such Concurrent Investor under the applicable Concurrent Investment Agreement.</w:t>
      </w:r>
    </w:p>
    <w:p>
      <w:pPr>
        <w:spacing w:after="0" w:line="136"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Additional Conditions Precedent to Obligations of Aspen and Merger Sub</w:t>
      </w:r>
      <w:r>
        <w:rPr>
          <w:rFonts w:ascii="Times New Roman" w:cs="Times New Roman" w:eastAsia="Times New Roman" w:hAnsi="Times New Roman"/>
          <w:sz w:val="13"/>
          <w:szCs w:val="13"/>
          <w:color w:val="auto"/>
        </w:rPr>
        <w:t>. The obligations of Aspen and Merger Sub to effect the Merger and otherwise consummate the transactions to be consummated at the Closing are subject to the satisfaction or the written waiver by Aspen, at or prior to the Closing, of each of the following conditions:</w:t>
      </w:r>
    </w:p>
    <w:p>
      <w:pPr>
        <w:spacing w:after="0" w:line="130"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xml:space="preserve">. The Company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34" w:lineRule="exact"/>
        <w:rPr>
          <w:sz w:val="20"/>
          <w:szCs w:val="20"/>
          <w:color w:val="auto"/>
        </w:rPr>
      </w:pPr>
    </w:p>
    <w:p>
      <w:pPr>
        <w:ind w:left="640" w:right="9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u w:val="single" w:color="auto"/>
          <w:color w:val="auto"/>
        </w:rPr>
        <w:t>Performance of Covenants</w:t>
      </w:r>
      <w:r>
        <w:rPr>
          <w:rFonts w:ascii="Times New Roman" w:cs="Times New Roman" w:eastAsia="Times New Roman" w:hAnsi="Times New Roman"/>
          <w:sz w:val="13"/>
          <w:szCs w:val="13"/>
          <w:color w:val="auto"/>
        </w:rPr>
        <w:t>. The Company shall not have breached or failed to perform in any material respect any agreements or covenants required to be performed or complied with by it under this Agreement at or prior to the Effective Time.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Aspen shall have received the following documents, each of which shall be in full force and effect:</w:t>
      </w:r>
    </w:p>
    <w:p>
      <w:pPr>
        <w:spacing w:after="0" w:line="154" w:lineRule="exact"/>
        <w:rPr>
          <w:sz w:val="20"/>
          <w:szCs w:val="20"/>
          <w:color w:val="auto"/>
        </w:rPr>
      </w:pPr>
    </w:p>
    <w:p>
      <w:pPr>
        <w:ind w:left="640" w:right="719" w:firstLine="1003"/>
        <w:spacing w:after="0" w:line="286" w:lineRule="auto"/>
        <w:tabs>
          <w:tab w:leader="none" w:pos="1817"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2"/>
          <w:szCs w:val="12"/>
          <w:u w:val="single" w:color="auto"/>
          <w:color w:val="auto"/>
        </w:rPr>
        <w:t>Sections 8.1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8.5</w:t>
      </w:r>
      <w:r>
        <w:rPr>
          <w:rFonts w:ascii="Times New Roman" w:cs="Times New Roman" w:eastAsia="Times New Roman" w:hAnsi="Times New Roman"/>
          <w:sz w:val="12"/>
          <w:szCs w:val="12"/>
          <w:color w:val="auto"/>
        </w:rPr>
        <w:t xml:space="preserve"> have been duly satisfied and (ii) that the information (other than emails and addresses) set forth in the Allocation Certificate delivered by the company in accordance with </w:t>
      </w:r>
      <w:r>
        <w:rPr>
          <w:rFonts w:ascii="Times New Roman" w:cs="Times New Roman" w:eastAsia="Times New Roman" w:hAnsi="Times New Roman"/>
          <w:sz w:val="12"/>
          <w:szCs w:val="12"/>
          <w:u w:val="single" w:color="auto"/>
          <w:color w:val="auto"/>
        </w:rPr>
        <w:t>Section 6.16</w:t>
      </w:r>
      <w:r>
        <w:rPr>
          <w:rFonts w:ascii="Times New Roman" w:cs="Times New Roman" w:eastAsia="Times New Roman" w:hAnsi="Times New Roman"/>
          <w:sz w:val="12"/>
          <w:szCs w:val="12"/>
          <w:color w:val="auto"/>
        </w:rPr>
        <w:t xml:space="preserve"> is true and accurate in all respects as of the Closing Date; and</w:t>
      </w:r>
    </w:p>
    <w:p>
      <w:pPr>
        <w:spacing w:after="0" w:line="113"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Allocation Certificate.</w:t>
      </w:r>
    </w:p>
    <w:p>
      <w:pPr>
        <w:spacing w:after="0" w:line="154"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No Company Material Adverse Effect</w:t>
      </w:r>
      <w:r>
        <w:rPr>
          <w:rFonts w:ascii="Times New Roman" w:cs="Times New Roman" w:eastAsia="Times New Roman" w:hAnsi="Times New Roman"/>
          <w:sz w:val="13"/>
          <w:szCs w:val="13"/>
          <w:color w:val="auto"/>
        </w:rPr>
        <w:t>. Since the date of this Agreement, there shall not have occurred any Company Material Adverse Effect that is continuing.</w:t>
      </w:r>
    </w:p>
    <w:p>
      <w:pPr>
        <w:spacing w:after="0" w:line="122"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Company Stockholder Written Consent</w:t>
      </w:r>
      <w:r>
        <w:rPr>
          <w:rFonts w:ascii="Times New Roman" w:cs="Times New Roman" w:eastAsia="Times New Roman" w:hAnsi="Times New Roman"/>
          <w:sz w:val="13"/>
          <w:szCs w:val="13"/>
          <w:color w:val="auto"/>
        </w:rPr>
        <w:t>. The Company Stockholder Written Consent executed by the stockholders of the Company shall be in full force and effect.</w:t>
      </w:r>
    </w:p>
    <w:p>
      <w:pPr>
        <w:spacing w:after="0" w:line="122"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u w:val="single" w:color="auto"/>
          <w:color w:val="auto"/>
        </w:rPr>
        <w:t>FIRPTA Certificate</w:t>
      </w:r>
      <w:r>
        <w:rPr>
          <w:rFonts w:ascii="Times New Roman" w:cs="Times New Roman" w:eastAsia="Times New Roman" w:hAnsi="Times New Roman"/>
          <w:sz w:val="13"/>
          <w:szCs w:val="13"/>
          <w:color w:val="auto"/>
        </w:rPr>
        <w:t xml:space="preserve">. Aspen shall have received from the Company a certificate and accompanying notice to the IRS (together with written authorization for Aspen to deliver such notice to the Internal Revenue Service on behalf of the Company after the Closing), in each case duly executed by an executive officer of the Company and meeting the requirements of Treasury Regulations Section 1.1445-2(c)(3) and in accordance with the requirements of Treasury Regulations Section 1.897-2(h) and in substantially the form attached hereto as </w:t>
      </w:r>
      <w:r>
        <w:rPr>
          <w:rFonts w:ascii="Times New Roman" w:cs="Times New Roman" w:eastAsia="Times New Roman" w:hAnsi="Times New Roman"/>
          <w:sz w:val="13"/>
          <w:szCs w:val="13"/>
          <w:b w:val="1"/>
          <w:bCs w:val="1"/>
          <w:u w:val="single" w:color="auto"/>
          <w:color w:val="auto"/>
        </w:rPr>
        <w:t>Exhibit E</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8.7 </w:t>
      </w:r>
      <w:r>
        <w:rPr>
          <w:rFonts w:ascii="Times New Roman" w:cs="Times New Roman" w:eastAsia="Times New Roman" w:hAnsi="Times New Roman"/>
          <w:sz w:val="12"/>
          <w:szCs w:val="12"/>
          <w:u w:val="single" w:color="auto"/>
          <w:color w:val="auto"/>
        </w:rPr>
        <w:t>Company Conversions</w:t>
      </w:r>
      <w:r>
        <w:rPr>
          <w:rFonts w:ascii="Times New Roman" w:cs="Times New Roman" w:eastAsia="Times New Roman" w:hAnsi="Times New Roman"/>
          <w:sz w:val="12"/>
          <w:szCs w:val="12"/>
          <w:color w:val="auto"/>
        </w:rPr>
        <w:t>. The Company SAFEs Conversion and the Company Preferred Stock Conversion shall have been duly effected.</w:t>
      </w:r>
    </w:p>
    <w:p>
      <w:pPr>
        <w:spacing w:after="0" w:line="165" w:lineRule="exact"/>
        <w:rPr>
          <w:sz w:val="20"/>
          <w:szCs w:val="20"/>
          <w:color w:val="auto"/>
        </w:rPr>
      </w:pPr>
    </w:p>
    <w:p>
      <w:pPr>
        <w:jc w:val="both"/>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Additional Conditions Precedent to Obligation of the Company</w:t>
      </w:r>
      <w:r>
        <w:rPr>
          <w:rFonts w:ascii="Times New Roman" w:cs="Times New Roman" w:eastAsia="Times New Roman" w:hAnsi="Times New Roman"/>
          <w:sz w:val="13"/>
          <w:szCs w:val="13"/>
          <w:color w:val="auto"/>
        </w:rPr>
        <w:t>. 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130" w:lineRule="exact"/>
        <w:rPr>
          <w:sz w:val="20"/>
          <w:szCs w:val="20"/>
          <w:color w:val="auto"/>
        </w:rPr>
      </w:pPr>
    </w:p>
    <w:p>
      <w:pPr>
        <w:ind w:left="640" w:right="7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Each of the Aspen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Aspen Capitalization Representations shall have been true and correct in all respects as of the date of this Agreement and shall be true and correct on and as of the Closing Date with the same force and effect as if made on and as of</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2" w:name="page103"/>
    <w:bookmarkEnd w:id="102"/>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such date, except, in each case, (x) for such inaccuracies which are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Aspen and Merger Sub contained in this Agreement (other than the Aspen Fundamental Representations and the Aspen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an Aspen Material Adverse Effect (without giving effect to any references therein to any Aspen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Aspen Disclosure Schedule made or purported to have been made after the date of this Agreement shall be disregarded).</w:t>
      </w:r>
    </w:p>
    <w:p>
      <w:pPr>
        <w:spacing w:after="0" w:line="136"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u w:val="single" w:color="auto"/>
          <w:color w:val="auto"/>
        </w:rPr>
        <w:t>Performance of Covenants</w:t>
      </w:r>
      <w:r>
        <w:rPr>
          <w:rFonts w:ascii="Times New Roman" w:cs="Times New Roman" w:eastAsia="Times New Roman" w:hAnsi="Times New Roman"/>
          <w:sz w:val="13"/>
          <w:szCs w:val="13"/>
          <w:color w:val="auto"/>
        </w:rPr>
        <w:t>. Aspen and Merger Sub shall not have breached or failed to perform in any material respect any agreements or covenants required to be performed or complied with by either of them under this Agreement at or prior to the Effective Time.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 xml:space="preserve">9.3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The Company shall have received the following documents, each of which shall be in full force and effect:</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 xml:space="preserve">(a) a certificate executed by an executive officer of Aspen certifying that the conditions set forth in </w:t>
      </w:r>
      <w:r>
        <w:rPr>
          <w:rFonts w:ascii="Times New Roman" w:cs="Times New Roman" w:eastAsia="Times New Roman" w:hAnsi="Times New Roman"/>
          <w:sz w:val="12"/>
          <w:szCs w:val="12"/>
          <w:u w:val="single" w:color="auto"/>
          <w:color w:val="auto"/>
        </w:rPr>
        <w:t>Sections 9.1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9.2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9.4</w:t>
      </w:r>
      <w:r>
        <w:rPr>
          <w:rFonts w:ascii="Times New Roman" w:cs="Times New Roman" w:eastAsia="Times New Roman" w:hAnsi="Times New Roman"/>
          <w:sz w:val="12"/>
          <w:szCs w:val="12"/>
          <w:color w:val="auto"/>
        </w:rPr>
        <w:t xml:space="preserve"> have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been duly satisfied;</w:t>
      </w:r>
    </w:p>
    <w:p>
      <w:pPr>
        <w:spacing w:after="0" w:line="141" w:lineRule="exact"/>
        <w:rPr>
          <w:sz w:val="20"/>
          <w:szCs w:val="20"/>
          <w:color w:val="auto"/>
        </w:rPr>
      </w:pPr>
    </w:p>
    <w:p>
      <w:pPr>
        <w:ind w:left="640" w:right="759" w:firstLine="1003"/>
        <w:spacing w:after="0" w:line="267" w:lineRule="auto"/>
        <w:tabs>
          <w:tab w:leader="none" w:pos="1824"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written resignations in forms satisfactory to the Company, dated as of the Closing Date and effective as of the Closing executed by the officers and directors of Aspen who are not to continue as officers or directors of Aspen pursuant to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 xml:space="preserve"> hereof; and</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Aspen Net Cash Schedule.</w:t>
      </w:r>
    </w:p>
    <w:p>
      <w:pPr>
        <w:spacing w:after="0" w:line="154"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9.4 </w:t>
      </w:r>
      <w:r>
        <w:rPr>
          <w:rFonts w:ascii="Times New Roman" w:cs="Times New Roman" w:eastAsia="Times New Roman" w:hAnsi="Times New Roman"/>
          <w:sz w:val="13"/>
          <w:szCs w:val="13"/>
          <w:u w:val="single" w:color="auto"/>
          <w:color w:val="auto"/>
        </w:rPr>
        <w:t>No Aspen Material Adverse Effect</w:t>
      </w:r>
      <w:r>
        <w:rPr>
          <w:rFonts w:ascii="Times New Roman" w:cs="Times New Roman" w:eastAsia="Times New Roman" w:hAnsi="Times New Roman"/>
          <w:sz w:val="13"/>
          <w:szCs w:val="13"/>
          <w:color w:val="auto"/>
        </w:rPr>
        <w:t>. Since the date of this Agreement, there shall not have occurred any Aspen Material Adverse Effect that is continuing.</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9.5 </w:t>
      </w:r>
      <w:r>
        <w:rPr>
          <w:rFonts w:ascii="Times New Roman" w:cs="Times New Roman" w:eastAsia="Times New Roman" w:hAnsi="Times New Roman"/>
          <w:sz w:val="13"/>
          <w:szCs w:val="13"/>
          <w:u w:val="single" w:color="auto"/>
          <w:color w:val="auto"/>
        </w:rPr>
        <w:t>Aspen Net Cash</w:t>
      </w:r>
      <w:r>
        <w:rPr>
          <w:rFonts w:ascii="Times New Roman" w:cs="Times New Roman" w:eastAsia="Times New Roman" w:hAnsi="Times New Roman"/>
          <w:sz w:val="13"/>
          <w:szCs w:val="13"/>
          <w:color w:val="auto"/>
        </w:rPr>
        <w:t>. Aspen Net Cash shall not be less than $50,000,000 as of immediately prior to the Effective Time.</w:t>
      </w:r>
    </w:p>
    <w:p>
      <w:pPr>
        <w:spacing w:after="0" w:line="154" w:lineRule="exact"/>
        <w:rPr>
          <w:sz w:val="20"/>
          <w:szCs w:val="20"/>
          <w:color w:val="auto"/>
        </w:rPr>
      </w:pPr>
    </w:p>
    <w:p>
      <w:pPr>
        <w:ind w:left="640" w:right="9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9.6 </w:t>
      </w:r>
      <w:r>
        <w:rPr>
          <w:rFonts w:ascii="Times New Roman" w:cs="Times New Roman" w:eastAsia="Times New Roman" w:hAnsi="Times New Roman"/>
          <w:sz w:val="13"/>
          <w:szCs w:val="13"/>
          <w:u w:val="single" w:color="auto"/>
          <w:color w:val="auto"/>
        </w:rPr>
        <w:t>Nasdaq Listing</w:t>
      </w:r>
      <w:r>
        <w:rPr>
          <w:rFonts w:ascii="Times New Roman" w:cs="Times New Roman" w:eastAsia="Times New Roman" w:hAnsi="Times New Roman"/>
          <w:sz w:val="13"/>
          <w:szCs w:val="13"/>
          <w:color w:val="auto"/>
        </w:rPr>
        <w:t xml:space="preserve">. The Aspen Common Stock shall be listed on Nasdaq as of immediately prior to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condition in this </w:t>
      </w:r>
      <w:r>
        <w:rPr>
          <w:rFonts w:ascii="Times New Roman" w:cs="Times New Roman" w:eastAsia="Times New Roman" w:hAnsi="Times New Roman"/>
          <w:sz w:val="13"/>
          <w:szCs w:val="13"/>
          <w:u w:val="single" w:color="auto"/>
          <w:color w:val="auto"/>
        </w:rPr>
        <w:t>Section 9.6</w:t>
      </w:r>
      <w:r>
        <w:rPr>
          <w:rFonts w:ascii="Times New Roman" w:cs="Times New Roman" w:eastAsia="Times New Roman" w:hAnsi="Times New Roman"/>
          <w:sz w:val="13"/>
          <w:szCs w:val="13"/>
          <w:color w:val="auto"/>
        </w:rPr>
        <w:t xml:space="preserve"> shall not be available to the Company if the Company has refused or unreasonably delayed, withheld or conditioned its consent to actions by Aspen to maintain or regain, as applicable, the listing of Aspen Common Stock on Nasdaq.</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prior to the Effective Time (whether before or after adoption of this Agreement by the Company’s stockholders and whether before or after approval of the Aspen Stockholder Matters by Aspen’s stockholders, unless otherwise specified below):</w:t>
      </w:r>
    </w:p>
    <w:p>
      <w:pPr>
        <w:spacing w:after="0" w:line="130" w:lineRule="exact"/>
        <w:rPr>
          <w:sz w:val="20"/>
          <w:szCs w:val="20"/>
          <w:color w:val="auto"/>
        </w:rPr>
      </w:pPr>
    </w:p>
    <w:p>
      <w:pPr>
        <w:jc w:val="right"/>
        <w:ind w:left="4440" w:right="4439" w:hanging="2797"/>
        <w:spacing w:after="0" w:line="491" w:lineRule="auto"/>
        <w:tabs>
          <w:tab w:leader="none" w:pos="181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mutual written consent of Aspen and the Company; 90</w:t>
      </w:r>
    </w:p>
    <w:p>
      <w:pPr>
        <w:sectPr>
          <w:pgSz w:w="11900" w:h="16838" w:orient="portrait"/>
          <w:cols w:equalWidth="0" w:num="1">
            <w:col w:w="9019"/>
          </w:cols>
          <w:pgMar w:left="1440" w:top="229" w:right="1440" w:bottom="1440" w:gutter="0" w:footer="0" w:header="0"/>
        </w:sectPr>
      </w:pPr>
    </w:p>
    <w:bookmarkStart w:id="103" w:name="page104"/>
    <w:bookmarkEnd w:id="103"/>
    <w:p>
      <w:pPr>
        <w:ind w:left="640" w:right="759" w:firstLine="1003"/>
        <w:spacing w:after="0" w:line="252" w:lineRule="auto"/>
        <w:tabs>
          <w:tab w:leader="none" w:pos="18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either Aspen or the Company if the Merger shall not have been consummated by October 31, 2024 (the “</w:t>
      </w:r>
      <w:r>
        <w:rPr>
          <w:rFonts w:ascii="Times New Roman" w:cs="Times New Roman" w:eastAsia="Times New Roman" w:hAnsi="Times New Roman"/>
          <w:sz w:val="13"/>
          <w:szCs w:val="13"/>
          <w:b w:val="1"/>
          <w:bCs w:val="1"/>
          <w:color w:val="auto"/>
        </w:rPr>
        <w:t>End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xml:space="preserve"> shall not be available to the Company or Aspen if such Party’s (or in the case of Aspen, Merger Sub) action or failure to act has been a principal cause of the failure of the Merger to occur on or before the End Date and such action or failure to act constitutes a breach of this Agreement;</w:t>
      </w:r>
    </w:p>
    <w:p>
      <w:pPr>
        <w:spacing w:after="0" w:line="132" w:lineRule="exact"/>
        <w:rPr>
          <w:rFonts w:ascii="Times New Roman" w:cs="Times New Roman" w:eastAsia="Times New Roman" w:hAnsi="Times New Roman"/>
          <w:sz w:val="13"/>
          <w:szCs w:val="13"/>
          <w:color w:val="auto"/>
        </w:rPr>
      </w:pPr>
    </w:p>
    <w:p>
      <w:pPr>
        <w:ind w:left="640" w:right="819" w:firstLine="1003"/>
        <w:spacing w:after="0" w:line="255" w:lineRule="auto"/>
        <w:tabs>
          <w:tab w:leader="none" w:pos="1817"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Aspen or the Company if a court or other Governmental Authority of competent jurisdiction shall have issued a final and nonappealable Order, or shall have taken any other action, having the effect of permanently restraining, enjoining or otherwise prohibiting the Contemplated Transactions;</w:t>
      </w:r>
    </w:p>
    <w:p>
      <w:pPr>
        <w:spacing w:after="0" w:line="130" w:lineRule="exact"/>
        <w:rPr>
          <w:rFonts w:ascii="Times New Roman" w:cs="Times New Roman" w:eastAsia="Times New Roman" w:hAnsi="Times New Roman"/>
          <w:sz w:val="13"/>
          <w:szCs w:val="13"/>
          <w:color w:val="auto"/>
        </w:rPr>
      </w:pPr>
    </w:p>
    <w:p>
      <w:pPr>
        <w:ind w:left="640" w:right="779" w:firstLine="1003"/>
        <w:spacing w:after="0" w:line="251" w:lineRule="auto"/>
        <w:tabs>
          <w:tab w:leader="none" w:pos="18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Aspen if the Required Company Stockholder Vote shall not have been obtained within four (4) Business Days after the Registration Statement has become effective in accordance with the provisions of the Securities Act;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once the approval by irrevocable written consent from Company Stockholders representing no less than 88% of the voting power of the Company has been obtained, Aspen may not terminate this Agreement pursuant to this </w:t>
      </w:r>
      <w:r>
        <w:rPr>
          <w:rFonts w:ascii="Times New Roman" w:cs="Times New Roman" w:eastAsia="Times New Roman" w:hAnsi="Times New Roman"/>
          <w:sz w:val="13"/>
          <w:szCs w:val="13"/>
          <w:u w:val="single" w:color="auto"/>
          <w:color w:val="auto"/>
        </w:rPr>
        <w:t>Section 10.1(d)</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817"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Aspen or the Company if (i) the Aspen Stockholder Meeting (including any adjournments and postponements thereof) shall have been held and completed and Aspen’s stockholders shall have taken a final vote on the Specified Aspen Stockholder Matters and (ii) the Specified Aspen Stockholder Matters shall not have been approved at the Aspen Stockholder Meeting (or at any adjournment or postponement thereof) by the Required Aspen Stockholder Vote;</w:t>
      </w:r>
    </w:p>
    <w:p>
      <w:pPr>
        <w:spacing w:after="0" w:line="132" w:lineRule="exact"/>
        <w:rPr>
          <w:rFonts w:ascii="Times New Roman" w:cs="Times New Roman" w:eastAsia="Times New Roman" w:hAnsi="Times New Roman"/>
          <w:sz w:val="13"/>
          <w:szCs w:val="13"/>
          <w:color w:val="auto"/>
        </w:rPr>
      </w:pPr>
    </w:p>
    <w:p>
      <w:pPr>
        <w:ind w:left="640" w:right="1239" w:firstLine="1003"/>
        <w:spacing w:after="0" w:line="267" w:lineRule="auto"/>
        <w:tabs>
          <w:tab w:leader="none" w:pos="1803"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(at any time prior to the approval of the Specified Aspen Stockholder Matters by the Required Aspen Stockholder Vote) if an Aspen Triggering Event shall have occurred;</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upon a breach of any representation, warranty, covenant or agreement set forth in this Agreement by Aspen or Merger Sub or if any representation or warranty of Aspen or Merger Sub shall have become inaccurate, in either case, such that the conditions set forth in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that if such inaccuracy in Aspen’s or Merger Sub’s representations and warranties or breach by Aspen or Merger Sub of any representation, warranty, covenant or agreement is curable by Aspen or Merger Sub, then this Agreement shall not terminate pursuant to this </w:t>
      </w:r>
      <w:r>
        <w:rPr>
          <w:rFonts w:ascii="Times New Roman" w:cs="Times New Roman" w:eastAsia="Times New Roman" w:hAnsi="Times New Roman"/>
          <w:sz w:val="13"/>
          <w:szCs w:val="13"/>
          <w:u w:val="single" w:color="auto"/>
          <w:color w:val="auto"/>
        </w:rPr>
        <w:t>Section 10.1(g)</w:t>
      </w:r>
      <w:r>
        <w:rPr>
          <w:rFonts w:ascii="Times New Roman" w:cs="Times New Roman" w:eastAsia="Times New Roman" w:hAnsi="Times New Roman"/>
          <w:sz w:val="13"/>
          <w:szCs w:val="13"/>
          <w:color w:val="auto"/>
        </w:rPr>
        <w:t xml:space="preserve"> as a result of such particular breach or inaccuracy until the earlier of (i) the expiration of a thirty-(30) day period commencing upon delivery of written notice from the Company to Aspen or Merger Sub of such breach or inaccuracy and its intention to terminate pursuant to this </w:t>
      </w:r>
      <w:r>
        <w:rPr>
          <w:rFonts w:ascii="Times New Roman" w:cs="Times New Roman" w:eastAsia="Times New Roman" w:hAnsi="Times New Roman"/>
          <w:sz w:val="13"/>
          <w:szCs w:val="13"/>
          <w:u w:val="single" w:color="auto"/>
          <w:color w:val="auto"/>
        </w:rPr>
        <w:t>Section 10.1(g)</w:t>
      </w:r>
      <w:r>
        <w:rPr>
          <w:rFonts w:ascii="Times New Roman" w:cs="Times New Roman" w:eastAsia="Times New Roman" w:hAnsi="Times New Roman"/>
          <w:sz w:val="13"/>
          <w:szCs w:val="13"/>
          <w:color w:val="auto"/>
        </w:rPr>
        <w:t xml:space="preserve"> and (ii) Aspen or Merger Sub (as applicable) ceasing to exercise commercially reasonable efforts to cure such breach following delivery of written notice from the Company to Aspen or Merger Sub of such breach or inaccuracy, its intention to terminate pursuant to this </w:t>
      </w:r>
      <w:r>
        <w:rPr>
          <w:rFonts w:ascii="Times New Roman" w:cs="Times New Roman" w:eastAsia="Times New Roman" w:hAnsi="Times New Roman"/>
          <w:sz w:val="13"/>
          <w:szCs w:val="13"/>
          <w:u w:val="single" w:color="auto"/>
          <w:color w:val="auto"/>
        </w:rPr>
        <w:t>Section 10.1(g)</w:t>
      </w:r>
      <w:r>
        <w:rPr>
          <w:rFonts w:ascii="Times New Roman" w:cs="Times New Roman" w:eastAsia="Times New Roman" w:hAnsi="Times New Roman"/>
          <w:sz w:val="13"/>
          <w:szCs w:val="13"/>
          <w:color w:val="auto"/>
        </w:rPr>
        <w:t xml:space="preserve">, and its enumeration of all of the specific commercially reasonable efforts that it believes ought to be taken to cure such breach (it being understood that this Agreement shall not terminate pursuant to this </w:t>
      </w:r>
      <w:r>
        <w:rPr>
          <w:rFonts w:ascii="Times New Roman" w:cs="Times New Roman" w:eastAsia="Times New Roman" w:hAnsi="Times New Roman"/>
          <w:sz w:val="13"/>
          <w:szCs w:val="13"/>
          <w:u w:val="single" w:color="auto"/>
          <w:color w:val="auto"/>
        </w:rPr>
        <w:t>Section 10.1(g)</w:t>
      </w:r>
      <w:r>
        <w:rPr>
          <w:rFonts w:ascii="Times New Roman" w:cs="Times New Roman" w:eastAsia="Times New Roman" w:hAnsi="Times New Roman"/>
          <w:sz w:val="13"/>
          <w:szCs w:val="13"/>
          <w:color w:val="auto"/>
        </w:rPr>
        <w:t xml:space="preserve"> as a result of such particular breach or inaccuracy if such breach by Aspen or Merger Sub is cured prior to such termination becoming effective);</w:t>
      </w:r>
    </w:p>
    <w:p>
      <w:pPr>
        <w:spacing w:after="0" w:line="138"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Aspen,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Aspen is not then in material breach of any representation, warranty,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29" w:right="1440" w:bottom="1440" w:gutter="0" w:footer="0" w:header="0"/>
        </w:sectPr>
      </w:pPr>
    </w:p>
    <w:bookmarkStart w:id="104" w:name="page105"/>
    <w:bookmarkEnd w:id="104"/>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covenant or agreement under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if such inaccuracy in the Company’s representations and warranties or breach by the Company of any representation, warranty, covenant or agreement is curable by the Company then this Agreement shall not terminate pursuant to this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as a result of such particular breach or inaccuracy until the earlier of (i) the expiration of a thirty-(30) day period commencing upon delivery of written notice from Aspen to the Company of such breach or inaccuracy and its intention to terminate pursuant to this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and</w:t>
      </w:r>
    </w:p>
    <w:p>
      <w:pPr>
        <w:spacing w:after="0" w:line="1" w:lineRule="exact"/>
        <w:rPr>
          <w:sz w:val="20"/>
          <w:szCs w:val="20"/>
          <w:color w:val="auto"/>
        </w:rPr>
      </w:pPr>
    </w:p>
    <w:p>
      <w:pPr>
        <w:ind w:left="640" w:right="659" w:hanging="3"/>
        <w:spacing w:after="0" w:line="271" w:lineRule="auto"/>
        <w:tabs>
          <w:tab w:leader="none" w:pos="826"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ceasing to exercise commercially reasonable efforts to cure such breach following delivery of written notice from Aspen to the Company of such breach or inaccuracy, its intention to terminate pursuant to this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and its enumeration of all of the specific commercially reasonable efforts that it believes ought to be taken to cure such breach (it being understood that this Agreement shall not terminate pursuant to this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as a result of such particular breach or inaccuracy if such breach by the Company is cured prior to such termination becoming effective);</w:t>
      </w:r>
    </w:p>
    <w:p>
      <w:pPr>
        <w:spacing w:after="0" w:line="121" w:lineRule="exact"/>
        <w:rPr>
          <w:rFonts w:ascii="Times New Roman" w:cs="Times New Roman" w:eastAsia="Times New Roman" w:hAnsi="Times New Roman"/>
          <w:sz w:val="12"/>
          <w:szCs w:val="12"/>
          <w:color w:val="auto"/>
        </w:rPr>
      </w:pPr>
    </w:p>
    <w:p>
      <w:pPr>
        <w:ind w:left="640" w:right="659" w:firstLine="1003"/>
        <w:spacing w:after="0" w:line="251" w:lineRule="auto"/>
        <w:tabs>
          <w:tab w:leader="none" w:pos="1796"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Aspen (at any time prior to the approval of the Specified Aspen Stockholder Matters by the Required Aspen Stockholder Vote) and following compliance with all of the requirements set forth in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upon the Aspen Board authorizing Aspen to enter into a Permitted Alternative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Aspen shall concurrently pay to the Company the Company Termination Fee in accordance with </w:t>
      </w:r>
      <w:r>
        <w:rPr>
          <w:rFonts w:ascii="Times New Roman" w:cs="Times New Roman" w:eastAsia="Times New Roman" w:hAnsi="Times New Roman"/>
          <w:sz w:val="13"/>
          <w:szCs w:val="13"/>
          <w:u w:val="single" w:color="auto"/>
          <w:color w:val="auto"/>
        </w:rPr>
        <w:t>Section 10.3(c)</w:t>
      </w:r>
      <w:r>
        <w:rPr>
          <w:rFonts w:ascii="Times New Roman" w:cs="Times New Roman" w:eastAsia="Times New Roman" w:hAnsi="Times New Roman"/>
          <w:sz w:val="13"/>
          <w:szCs w:val="13"/>
          <w:color w:val="auto"/>
        </w:rPr>
        <w:t>; or</w:t>
      </w:r>
    </w:p>
    <w:p>
      <w:pPr>
        <w:spacing w:after="0" w:line="132"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Aspen (at any time prior to the Required Company Stockholder Vote being obtained) if a Company Triggering Event shall</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occurred.</w:t>
      </w:r>
    </w:p>
    <w:p>
      <w:pPr>
        <w:spacing w:after="0" w:line="141"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 xml:space="preserve">The Party desiring to terminate this Agreement pursuant to this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(other than pursuant to </w:t>
      </w:r>
      <w:r>
        <w:rPr>
          <w:rFonts w:ascii="Times New Roman" w:cs="Times New Roman" w:eastAsia="Times New Roman" w:hAnsi="Times New Roman"/>
          <w:sz w:val="13"/>
          <w:szCs w:val="13"/>
          <w:u w:val="single" w:color="auto"/>
          <w:color w:val="auto"/>
        </w:rPr>
        <w:t>Section 10.1(a))</w:t>
      </w:r>
      <w:r>
        <w:rPr>
          <w:rFonts w:ascii="Times New Roman" w:cs="Times New Roman" w:eastAsia="Times New Roman" w:hAnsi="Times New Roman"/>
          <w:sz w:val="13"/>
          <w:szCs w:val="13"/>
          <w:color w:val="auto"/>
        </w:rPr>
        <w:t xml:space="preserve"> shall give a notice of such termination to the other Party specifying the provisions hereof pursuant to which such termination is made and the basis therefor described in reasonable detail.</w:t>
      </w:r>
    </w:p>
    <w:p>
      <w:pPr>
        <w:spacing w:after="0" w:line="130" w:lineRule="exact"/>
        <w:rPr>
          <w:sz w:val="20"/>
          <w:szCs w:val="20"/>
          <w:color w:val="auto"/>
        </w:rPr>
      </w:pPr>
    </w:p>
    <w:p>
      <w:pPr>
        <w:ind w:left="640" w:right="6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10.2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the termination of this Agreement as provided in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this Agreement shall be of no further force or effect;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 this </w:t>
      </w:r>
      <w:r>
        <w:rPr>
          <w:rFonts w:ascii="Times New Roman" w:cs="Times New Roman" w:eastAsia="Times New Roman" w:hAnsi="Times New Roman"/>
          <w:sz w:val="13"/>
          <w:szCs w:val="13"/>
          <w:u w:val="single" w:color="auto"/>
          <w:color w:val="auto"/>
        </w:rPr>
        <w:t>Section 10.2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shall not relieve any Party of any liability for fraud or for any willful and material breach of any representation, warranty, covenant, obligation or other provision contained in this Agreement.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10.3 </w:t>
      </w:r>
      <w:r>
        <w:rPr>
          <w:rFonts w:ascii="Times New Roman" w:cs="Times New Roman" w:eastAsia="Times New Roman" w:hAnsi="Times New Roman"/>
          <w:sz w:val="13"/>
          <w:szCs w:val="13"/>
          <w:u w:val="single" w:color="auto"/>
          <w:color w:val="auto"/>
        </w:rPr>
        <w:t>Expenses; Termination Fees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1003"/>
        <w:spacing w:after="0" w:line="267" w:lineRule="auto"/>
        <w:tabs>
          <w:tab w:leader="none" w:pos="1817"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6.10</w:t>
      </w:r>
      <w:r>
        <w:rPr>
          <w:rFonts w:ascii="Times New Roman" w:cs="Times New Roman" w:eastAsia="Times New Roman" w:hAnsi="Times New Roman"/>
          <w:sz w:val="13"/>
          <w:szCs w:val="13"/>
          <w:color w:val="auto"/>
        </w:rPr>
        <w:t>, all fees and expenses incurred in connection with this Agreement and the Contemplated Transactions shall be paid by the Party incurring such expenses, whether or not the Merger is consummated.</w:t>
      </w:r>
    </w:p>
    <w:p>
      <w:pPr>
        <w:spacing w:after="0" w:line="122" w:lineRule="exact"/>
        <w:rPr>
          <w:rFonts w:ascii="Times New Roman" w:cs="Times New Roman" w:eastAsia="Times New Roman" w:hAnsi="Times New Roman"/>
          <w:sz w:val="13"/>
          <w:szCs w:val="13"/>
          <w:color w:val="auto"/>
        </w:rPr>
      </w:pPr>
    </w:p>
    <w:p>
      <w:pPr>
        <w:ind w:left="640" w:right="819" w:firstLine="1003"/>
        <w:spacing w:after="0" w:line="274" w:lineRule="auto"/>
        <w:tabs>
          <w:tab w:leader="none" w:pos="1824" w:val="left"/>
        </w:tabs>
        <w:numPr>
          <w:ilvl w:val="1"/>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 at any time after the date of this Agreement and prior to the Aspen Stockholder Meeting, an Acquisition Proposal with respect to Aspen shall have been publicly announced or disclosed or otherwise made known to the Aspen Board (and shall not have been withdrawn),</w:t>
      </w:r>
    </w:p>
    <w:p>
      <w:pPr>
        <w:spacing w:after="0" w:line="1" w:lineRule="exact"/>
        <w:rPr>
          <w:rFonts w:ascii="Times New Roman" w:cs="Times New Roman" w:eastAsia="Times New Roman" w:hAnsi="Times New Roman"/>
          <w:sz w:val="12"/>
          <w:szCs w:val="12"/>
          <w:color w:val="auto"/>
        </w:rPr>
      </w:pPr>
    </w:p>
    <w:p>
      <w:pPr>
        <w:ind w:left="640" w:right="739" w:hanging="3"/>
        <w:spacing w:after="0" w:line="244" w:lineRule="auto"/>
        <w:tabs>
          <w:tab w:leader="none" w:pos="826"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Agreement is terminated by Aspen or the Company pursuant to </w:t>
      </w:r>
      <w:r>
        <w:rPr>
          <w:rFonts w:ascii="Times New Roman" w:cs="Times New Roman" w:eastAsia="Times New Roman" w:hAnsi="Times New Roman"/>
          <w:sz w:val="13"/>
          <w:szCs w:val="13"/>
          <w:u w:val="single" w:color="auto"/>
          <w:color w:val="auto"/>
        </w:rPr>
        <w:t>Section 10.1(e)</w:t>
      </w:r>
      <w:r>
        <w:rPr>
          <w:rFonts w:ascii="Times New Roman" w:cs="Times New Roman" w:eastAsia="Times New Roman" w:hAnsi="Times New Roman"/>
          <w:sz w:val="13"/>
          <w:szCs w:val="13"/>
          <w:color w:val="auto"/>
        </w:rPr>
        <w:t xml:space="preserve"> or by the Company pursuant to </w:t>
      </w:r>
      <w:r>
        <w:rPr>
          <w:rFonts w:ascii="Times New Roman" w:cs="Times New Roman" w:eastAsia="Times New Roman" w:hAnsi="Times New Roman"/>
          <w:sz w:val="13"/>
          <w:szCs w:val="13"/>
          <w:u w:val="single" w:color="auto"/>
          <w:color w:val="auto"/>
        </w:rPr>
        <w:t>Section 10.1(g)</w:t>
      </w:r>
      <w:r>
        <w:rPr>
          <w:rFonts w:ascii="Times New Roman" w:cs="Times New Roman" w:eastAsia="Times New Roman" w:hAnsi="Times New Roman"/>
          <w:sz w:val="13"/>
          <w:szCs w:val="13"/>
          <w:color w:val="auto"/>
        </w:rPr>
        <w:t>, and (iii) within twelve (12) months after the date of such termination, Aspen enters into a definitive agreement with respect to any Acquisition Transaction or consummates any Acquisition Transaction (in each event with all references to 20% in the definition of Acquisition Transaction being treated as references to 50% for these purposes), then Aspen shall pay or cause to be paid to the Company, within ten (10) Business Days after such termination (or, if applicable, upon such entry into a definitive agreement or consummation of such Acquisition Transaction), a nonrefundable fee in an amount equal to $2,712,500 (the “</w:t>
      </w:r>
      <w:r>
        <w:rPr>
          <w:rFonts w:ascii="Times New Roman" w:cs="Times New Roman" w:eastAsia="Times New Roman" w:hAnsi="Times New Roman"/>
          <w:sz w:val="13"/>
          <w:szCs w:val="13"/>
          <w:b w:val="1"/>
          <w:bCs w:val="1"/>
          <w:color w:val="auto"/>
        </w:rPr>
        <w:t>Aspen Termination Fee</w:t>
      </w:r>
      <w:r>
        <w:rPr>
          <w:rFonts w:ascii="Times New Roman" w:cs="Times New Roman" w:eastAsia="Times New Roman" w:hAnsi="Times New Roman"/>
          <w:sz w:val="13"/>
          <w:szCs w:val="13"/>
          <w:color w:val="auto"/>
        </w:rPr>
        <w:t xml:space="preserve">”). For the avoidance of doubt, a liquidation or dissolution of Aspen shall in no event be deemed to constitute an Acquisition Transaction for purposes of this </w:t>
      </w:r>
      <w:r>
        <w:rPr>
          <w:rFonts w:ascii="Times New Roman" w:cs="Times New Roman" w:eastAsia="Times New Roman" w:hAnsi="Times New Roman"/>
          <w:sz w:val="13"/>
          <w:szCs w:val="13"/>
          <w:u w:val="single" w:color="auto"/>
          <w:color w:val="auto"/>
        </w:rPr>
        <w:t>Section 10.3(b)</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699" w:firstLine="1003"/>
        <w:spacing w:after="0" w:line="279" w:lineRule="auto"/>
        <w:tabs>
          <w:tab w:leader="none" w:pos="1817"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this Agreement is terminated (i) by the Company or Aspen pursuant to </w:t>
      </w:r>
      <w:r>
        <w:rPr>
          <w:rFonts w:ascii="Times New Roman" w:cs="Times New Roman" w:eastAsia="Times New Roman" w:hAnsi="Times New Roman"/>
          <w:sz w:val="12"/>
          <w:szCs w:val="12"/>
          <w:u w:val="single" w:color="auto"/>
          <w:color w:val="auto"/>
        </w:rPr>
        <w:t>Section 10.1(b)</w:t>
      </w:r>
      <w:r>
        <w:rPr>
          <w:rFonts w:ascii="Times New Roman" w:cs="Times New Roman" w:eastAsia="Times New Roman" w:hAnsi="Times New Roman"/>
          <w:sz w:val="12"/>
          <w:szCs w:val="12"/>
          <w:color w:val="auto"/>
        </w:rPr>
        <w:t xml:space="preserve"> (when at the time this Agreement is terminated, the Company had the right to terminate this Agreement pursuant to </w:t>
      </w:r>
      <w:r>
        <w:rPr>
          <w:rFonts w:ascii="Times New Roman" w:cs="Times New Roman" w:eastAsia="Times New Roman" w:hAnsi="Times New Roman"/>
          <w:sz w:val="12"/>
          <w:szCs w:val="12"/>
          <w:u w:val="single" w:color="auto"/>
          <w:color w:val="auto"/>
        </w:rPr>
        <w:t>Section 10.1(f))</w:t>
      </w:r>
      <w:r>
        <w:rPr>
          <w:rFonts w:ascii="Times New Roman" w:cs="Times New Roman" w:eastAsia="Times New Roman" w:hAnsi="Times New Roman"/>
          <w:sz w:val="12"/>
          <w:szCs w:val="12"/>
          <w:color w:val="auto"/>
        </w:rPr>
        <w:t xml:space="preserve"> or (ii) by the Company pursuant to </w:t>
      </w:r>
      <w:r>
        <w:rPr>
          <w:rFonts w:ascii="Times New Roman" w:cs="Times New Roman" w:eastAsia="Times New Roman" w:hAnsi="Times New Roman"/>
          <w:sz w:val="12"/>
          <w:szCs w:val="12"/>
          <w:u w:val="single" w:color="auto"/>
          <w:color w:val="auto"/>
        </w:rPr>
        <w:t>Section 10.1(f)</w:t>
      </w:r>
      <w:r>
        <w:rPr>
          <w:rFonts w:ascii="Times New Roman" w:cs="Times New Roman" w:eastAsia="Times New Roman" w:hAnsi="Times New Roman"/>
          <w:sz w:val="12"/>
          <w:szCs w:val="12"/>
          <w:color w:val="auto"/>
        </w:rPr>
        <w:t xml:space="preserve">, then Aspen shall pay or cause to be paid to the Company, concurrent with such termination, the Aspen Termination Fee or (ii) by Aspen pursuant to </w:t>
      </w:r>
      <w:r>
        <w:rPr>
          <w:rFonts w:ascii="Times New Roman" w:cs="Times New Roman" w:eastAsia="Times New Roman" w:hAnsi="Times New Roman"/>
          <w:sz w:val="12"/>
          <w:szCs w:val="12"/>
          <w:u w:val="single" w:color="auto"/>
          <w:color w:val="auto"/>
        </w:rPr>
        <w:t>Section 10.1(i)</w:t>
      </w:r>
      <w:r>
        <w:rPr>
          <w:rFonts w:ascii="Times New Roman" w:cs="Times New Roman" w:eastAsia="Times New Roman" w:hAnsi="Times New Roman"/>
          <w:sz w:val="12"/>
          <w:szCs w:val="12"/>
          <w:color w:val="auto"/>
        </w:rPr>
        <w:t>, then Aspen shall pay or cause to be paid to the Company, concurrent with such termination, the Aspen Termination Fee.</w:t>
      </w:r>
    </w:p>
    <w:p>
      <w:pPr>
        <w:spacing w:after="0" w:line="116" w:lineRule="exact"/>
        <w:rPr>
          <w:rFonts w:ascii="Times New Roman" w:cs="Times New Roman" w:eastAsia="Times New Roman" w:hAnsi="Times New Roman"/>
          <w:sz w:val="12"/>
          <w:szCs w:val="12"/>
          <w:color w:val="auto"/>
        </w:rPr>
      </w:pPr>
    </w:p>
    <w:p>
      <w:pPr>
        <w:ind w:left="640" w:right="699" w:firstLine="1003"/>
        <w:spacing w:after="0" w:line="275" w:lineRule="auto"/>
        <w:tabs>
          <w:tab w:leader="none" w:pos="1824"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this Agreement is terminated by the Company pursuant to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xml:space="preserve">, Aspen shall reimburse or cause to be reimbursed to the Company for all reasonable out-of-pocket fees and expenses incurred by the Company in connection with this Agreement and the Contemplated Transactions, up to a maximum of $650,000, by wire transfer of same-day funds within ten (10) Business Days following the date on which the Company submits to Aspen true and correct copies of reasonable documentation supporting such expenses. For the avoidance of doubt, the expense reimbursement pursuant to this </w:t>
      </w:r>
      <w:r>
        <w:rPr>
          <w:rFonts w:ascii="Times New Roman" w:cs="Times New Roman" w:eastAsia="Times New Roman" w:hAnsi="Times New Roman"/>
          <w:sz w:val="12"/>
          <w:szCs w:val="12"/>
          <w:u w:val="single" w:color="auto"/>
          <w:color w:val="auto"/>
        </w:rPr>
        <w:t>Section 10.3(d)</w:t>
      </w:r>
      <w:r>
        <w:rPr>
          <w:rFonts w:ascii="Times New Roman" w:cs="Times New Roman" w:eastAsia="Times New Roman" w:hAnsi="Times New Roman"/>
          <w:sz w:val="12"/>
          <w:szCs w:val="12"/>
          <w:color w:val="auto"/>
        </w:rPr>
        <w:t>, to the extent paid, shall be credited against any Aspen Termination Fee that becomes payable thereafter.</w:t>
      </w:r>
    </w:p>
    <w:p>
      <w:pPr>
        <w:spacing w:after="0" w:line="119" w:lineRule="exact"/>
        <w:rPr>
          <w:rFonts w:ascii="Times New Roman" w:cs="Times New Roman" w:eastAsia="Times New Roman" w:hAnsi="Times New Roman"/>
          <w:sz w:val="12"/>
          <w:szCs w:val="12"/>
          <w:color w:val="auto"/>
        </w:rPr>
      </w:pPr>
    </w:p>
    <w:p>
      <w:pPr>
        <w:ind w:left="640" w:right="759" w:firstLine="1003"/>
        <w:spacing w:after="0" w:line="246" w:lineRule="auto"/>
        <w:tabs>
          <w:tab w:leader="none" w:pos="1817"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(i) at any time after the date of this Agreement and prior to the receipt of the Required Company Stockholder Vote, an Acquisition Proposal with respect to the Company shall have been publicly announced or disclosed or otherwise made known to the Company Board (and shall not have been withdrawn), (ii) this Agreement is terminated by Aspen pursuant to </w:t>
      </w:r>
      <w:r>
        <w:rPr>
          <w:rFonts w:ascii="Times New Roman" w:cs="Times New Roman" w:eastAsia="Times New Roman" w:hAnsi="Times New Roman"/>
          <w:sz w:val="13"/>
          <w:szCs w:val="13"/>
          <w:u w:val="single" w:color="auto"/>
          <w:color w:val="auto"/>
        </w:rPr>
        <w:t>Section 10.1(h)</w:t>
      </w:r>
      <w:r>
        <w:rPr>
          <w:rFonts w:ascii="Times New Roman" w:cs="Times New Roman" w:eastAsia="Times New Roman" w:hAnsi="Times New Roman"/>
          <w:sz w:val="13"/>
          <w:szCs w:val="13"/>
          <w:color w:val="auto"/>
        </w:rPr>
        <w:t>, and (iii) within twelve (12) months after the date of such termination, the Company enters into a definitive agreement with respect to any Acquisition Transaction or consummates any Acquisition Transaction (in each event with all references to 20% in the definition of Acquisition Transaction being treated as references to 50% for these purposes), then the Company shall pay or cause to be paid to Aspen, within ten (10) Business Days after such termination (or, if applicable, upon such entry into a definitive agreement or consummation of such Acquisition Transaction), a nonrefundable fee in an amount equal to $4,900,000 (the “</w:t>
      </w:r>
      <w:r>
        <w:rPr>
          <w:rFonts w:ascii="Times New Roman" w:cs="Times New Roman" w:eastAsia="Times New Roman" w:hAnsi="Times New Roman"/>
          <w:sz w:val="13"/>
          <w:szCs w:val="13"/>
          <w:b w:val="1"/>
          <w:bCs w:val="1"/>
          <w:color w:val="auto"/>
        </w:rPr>
        <w:t>Company Termination Fee</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jc w:val="both"/>
        <w:ind w:left="640" w:right="719" w:firstLine="1003"/>
        <w:spacing w:after="0" w:line="251" w:lineRule="auto"/>
        <w:tabs>
          <w:tab w:leader="none" w:pos="1803"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(i) by Aspen or the Company pursuant to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xml:space="preserve"> (when at the time this Agreement is terminated, Aspen had the right to terminate this Agreement pursuant to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xml:space="preserve">, (ii) by Aspen pursuant to </w:t>
      </w:r>
      <w:r>
        <w:rPr>
          <w:rFonts w:ascii="Times New Roman" w:cs="Times New Roman" w:eastAsia="Times New Roman" w:hAnsi="Times New Roman"/>
          <w:sz w:val="13"/>
          <w:szCs w:val="13"/>
          <w:u w:val="single" w:color="auto"/>
          <w:color w:val="auto"/>
        </w:rPr>
        <w:t>Section 10.1(d)</w:t>
      </w:r>
      <w:r>
        <w:rPr>
          <w:rFonts w:ascii="Times New Roman" w:cs="Times New Roman" w:eastAsia="Times New Roman" w:hAnsi="Times New Roman"/>
          <w:sz w:val="13"/>
          <w:szCs w:val="13"/>
          <w:color w:val="auto"/>
        </w:rPr>
        <w:t xml:space="preserve"> or (iii) by Aspen pursuant to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then the Company shall pay or cause to be paid to Aspen, by wire transfer of same-day funds within ten (10) Business Days after such termination, the Company Termination Fee.</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824"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either Party fails to pay when due any amount payable by it under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published in The Wall Street Journal) in effect on the date such overdue amount was originally required to be paid plus three (3) percent.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106" w:name="page107"/>
    <w:bookmarkEnd w:id="106"/>
    <w:p>
      <w:pPr>
        <w:ind w:left="640" w:right="739" w:firstLine="1003"/>
        <w:spacing w:after="0" w:line="266" w:lineRule="auto"/>
        <w:tabs>
          <w:tab w:leader="none" w:pos="1824"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Parties agree that,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the payment of the fees and expenses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it being understood that in no event shall either Aspen or the Company be required to pay the individual fees or damages payable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on more than one occasion.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following the payment of the fees and expenses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is not a penalty, but rather is liquidated damages in a reasonable amount that will compensate the Parties in the circumstances in which such amount is payable;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10.3(h)</w:t>
      </w:r>
      <w:r>
        <w:rPr>
          <w:rFonts w:ascii="Times New Roman" w:cs="Times New Roman" w:eastAsia="Times New Roman" w:hAnsi="Times New Roman"/>
          <w:sz w:val="12"/>
          <w:szCs w:val="12"/>
          <w:color w:val="auto"/>
        </w:rPr>
        <w:t xml:space="preserve"> shall limit the rights of the Parties under </w:t>
      </w:r>
      <w:r>
        <w:rPr>
          <w:rFonts w:ascii="Times New Roman" w:cs="Times New Roman" w:eastAsia="Times New Roman" w:hAnsi="Times New Roman"/>
          <w:sz w:val="12"/>
          <w:szCs w:val="12"/>
          <w:u w:val="single" w:color="auto"/>
          <w:color w:val="auto"/>
        </w:rPr>
        <w:t>Section 11.10</w:t>
      </w:r>
      <w:r>
        <w:rPr>
          <w:rFonts w:ascii="Times New Roman" w:cs="Times New Roman" w:eastAsia="Times New Roman" w:hAnsi="Times New Roman"/>
          <w:sz w:val="12"/>
          <w:szCs w:val="12"/>
          <w:color w:val="auto"/>
        </w:rPr>
        <w:t xml:space="preserve">. For the avoidance of doubt, nothing in this </w:t>
      </w:r>
      <w:r>
        <w:rPr>
          <w:rFonts w:ascii="Times New Roman" w:cs="Times New Roman" w:eastAsia="Times New Roman" w:hAnsi="Times New Roman"/>
          <w:sz w:val="12"/>
          <w:szCs w:val="12"/>
          <w:u w:val="single" w:color="auto"/>
          <w:color w:val="auto"/>
        </w:rPr>
        <w:t>Section 10.3(h)</w:t>
      </w:r>
      <w:r>
        <w:rPr>
          <w:rFonts w:ascii="Times New Roman" w:cs="Times New Roman" w:eastAsia="Times New Roman" w:hAnsi="Times New Roman"/>
          <w:sz w:val="12"/>
          <w:szCs w:val="12"/>
          <w:color w:val="auto"/>
        </w:rPr>
        <w:t xml:space="preserve"> shall limit the remedies of the Parties under the Confidentiality Agreement. Notwithstanding the foregoing or anything else to the contrary in this Agreement, nothing herein shall affect the rights of Aspen to seek full recovery and remedy, including specific performance, for any willful and material breach of the Company Stockholder Support Agreements.</w:t>
      </w:r>
    </w:p>
    <w:p>
      <w:pPr>
        <w:spacing w:after="0" w:line="2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Miscellaneous Provisions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11.1 </w:t>
      </w:r>
      <w:r>
        <w:rPr>
          <w:rFonts w:ascii="Times New Roman" w:cs="Times New Roman" w:eastAsia="Times New Roman" w:hAnsi="Times New Roman"/>
          <w:sz w:val="13"/>
          <w:szCs w:val="13"/>
          <w:u w:val="single" w:color="auto"/>
          <w:color w:val="auto"/>
        </w:rPr>
        <w:t>Non-Survival of Representations and Warranties</w:t>
      </w:r>
      <w:r>
        <w:rPr>
          <w:rFonts w:ascii="Times New Roman" w:cs="Times New Roman" w:eastAsia="Times New Roman" w:hAnsi="Times New Roman"/>
          <w:sz w:val="13"/>
          <w:szCs w:val="13"/>
          <w:color w:val="auto"/>
        </w:rPr>
        <w:t xml:space="preserve">. The representations and warranties of the Company, Aspen and Merger Sub contained in 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shall survive the Effective Time.</w:t>
      </w:r>
    </w:p>
    <w:p>
      <w:pPr>
        <w:spacing w:after="0" w:line="130" w:lineRule="exact"/>
        <w:rPr>
          <w:sz w:val="20"/>
          <w:szCs w:val="20"/>
          <w:color w:val="auto"/>
        </w:rPr>
      </w:pPr>
    </w:p>
    <w:p>
      <w:pPr>
        <w:ind w:left="640" w:right="6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11.2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xml:space="preserve">. This Agreement may be amended with the approval of the respective boards of directors of the Company, Merger Sub and Aspen at any time (whether before or after the adoption and approval of this Agreement by the Company’s stockholders or before or after obtaining the Required Aspen Stockholder Vote);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Aspen.</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11.3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49" w:lineRule="auto"/>
        <w:tabs>
          <w:tab w:leader="none" w:pos="1817"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019"/>
          </w:cols>
          <w:pgMar w:left="1440" w:top="231" w:right="1440" w:bottom="1440" w:gutter="0" w:footer="0" w:header="0"/>
        </w:sectPr>
      </w:pPr>
    </w:p>
    <w:bookmarkStart w:id="107" w:name="page108"/>
    <w:bookmarkEnd w:id="107"/>
    <w:p>
      <w:pPr>
        <w:ind w:left="640" w:right="659" w:firstLine="1003"/>
        <w:spacing w:after="0" w:line="286" w:lineRule="auto"/>
        <w:tabs>
          <w:tab w:leader="none" w:pos="1824"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13" w:lineRule="exact"/>
        <w:rPr>
          <w:sz w:val="20"/>
          <w:szCs w:val="20"/>
          <w:color w:val="auto"/>
        </w:rPr>
      </w:pPr>
    </w:p>
    <w:p>
      <w:pPr>
        <w:ind w:left="640" w:right="659" w:firstLine="696"/>
        <w:spacing w:after="0" w:line="247" w:lineRule="auto"/>
        <w:rPr>
          <w:sz w:val="20"/>
          <w:szCs w:val="20"/>
          <w:color w:val="auto"/>
        </w:rPr>
      </w:pPr>
      <w:r>
        <w:rPr>
          <w:rFonts w:ascii="Times New Roman" w:cs="Times New Roman" w:eastAsia="Times New Roman" w:hAnsi="Times New Roman"/>
          <w:sz w:val="13"/>
          <w:szCs w:val="13"/>
          <w:color w:val="auto"/>
        </w:rPr>
        <w:t xml:space="preserve">11.4 </w:t>
      </w:r>
      <w:r>
        <w:rPr>
          <w:rFonts w:ascii="Times New Roman" w:cs="Times New Roman" w:eastAsia="Times New Roman" w:hAnsi="Times New Roman"/>
          <w:sz w:val="13"/>
          <w:szCs w:val="13"/>
          <w:u w:val="single" w:color="auto"/>
          <w:color w:val="auto"/>
        </w:rPr>
        <w:t>Entire Agreement; Counterparts; Exchanges by Electronic Transmission</w:t>
      </w:r>
      <w:r>
        <w:rPr>
          <w:rFonts w:ascii="Times New Roman" w:cs="Times New Roman" w:eastAsia="Times New Roman" w:hAnsi="Times New Roman"/>
          <w:sz w:val="13"/>
          <w:szCs w:val="13"/>
          <w:color w:val="auto"/>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36"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11.5 </w:t>
      </w:r>
      <w:r>
        <w:rPr>
          <w:rFonts w:ascii="Times New Roman" w:cs="Times New Roman" w:eastAsia="Times New Roman" w:hAnsi="Times New Roman"/>
          <w:sz w:val="13"/>
          <w:szCs w:val="13"/>
          <w:u w:val="single" w:color="auto"/>
          <w:color w:val="auto"/>
        </w:rPr>
        <w:t>Applicable Law; Jurisdiction</w:t>
      </w:r>
      <w:r>
        <w:rPr>
          <w:rFonts w:ascii="Times New Roman" w:cs="Times New Roman" w:eastAsia="Times New Roman" w:hAnsi="Times New Roman"/>
          <w:sz w:val="13"/>
          <w:szCs w:val="13"/>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11.5</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11.7</w:t>
      </w:r>
      <w:r>
        <w:rPr>
          <w:rFonts w:ascii="Times New Roman" w:cs="Times New Roman" w:eastAsia="Times New Roman" w:hAnsi="Times New Roman"/>
          <w:sz w:val="13"/>
          <w:szCs w:val="13"/>
          <w:color w:val="auto"/>
        </w:rPr>
        <w:t xml:space="preserve"> of this Agreement and (f) irrevocably and unconditionally waives the right to trial by jury.</w:t>
      </w:r>
    </w:p>
    <w:p>
      <w:pPr>
        <w:spacing w:after="0" w:line="136" w:lineRule="exact"/>
        <w:rPr>
          <w:sz w:val="20"/>
          <w:szCs w:val="20"/>
          <w:color w:val="auto"/>
        </w:rPr>
      </w:pPr>
    </w:p>
    <w:p>
      <w:pPr>
        <w:ind w:left="640" w:right="839" w:firstLine="696"/>
        <w:spacing w:after="0" w:line="279" w:lineRule="auto"/>
        <w:rPr>
          <w:sz w:val="20"/>
          <w:szCs w:val="20"/>
          <w:color w:val="auto"/>
        </w:rPr>
      </w:pPr>
      <w:r>
        <w:rPr>
          <w:rFonts w:ascii="Times New Roman" w:cs="Times New Roman" w:eastAsia="Times New Roman" w:hAnsi="Times New Roman"/>
          <w:sz w:val="12"/>
          <w:szCs w:val="12"/>
          <w:color w:val="auto"/>
        </w:rPr>
        <w:t xml:space="preserve">11.6 </w:t>
      </w:r>
      <w:r>
        <w:rPr>
          <w:rFonts w:ascii="Times New Roman" w:cs="Times New Roman" w:eastAsia="Times New Roman" w:hAnsi="Times New Roman"/>
          <w:sz w:val="12"/>
          <w:szCs w:val="12"/>
          <w:u w:val="single" w:color="auto"/>
          <w:color w:val="auto"/>
        </w:rPr>
        <w:t>Assignability</w:t>
      </w:r>
      <w:r>
        <w:rPr>
          <w:rFonts w:ascii="Times New Roman" w:cs="Times New Roman" w:eastAsia="Times New Roman" w:hAnsi="Times New Roman"/>
          <w:sz w:val="12"/>
          <w:szCs w:val="12"/>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16"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11.7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Aspen or Merger Sub:</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Erik Ostrowski</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President and Interim Chief Executive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AVROBIO,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100 Technology Square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Cambridge, MA 02139</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erik.ostrowski@avrobio.com, generalcounsel@avrobio.com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9019"/>
          </w:cols>
          <w:pgMar w:left="1440" w:top="231" w:right="1440" w:bottom="1440" w:gutter="0" w:footer="0" w:header="0"/>
        </w:sectPr>
      </w:pPr>
    </w:p>
    <w:bookmarkStart w:id="108" w:name="page109"/>
    <w:bookmarkEnd w:id="10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 copy to (which shall not constitute notice):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Goodwin Procter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100 Northern Avenue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Boston, MA 02210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Mitch Bloom; Rob Masella; James Ding; Adam Johnson</w:t>
      </w:r>
    </w:p>
    <w:p>
      <w:pPr>
        <w:spacing w:after="0" w:line="2" w:lineRule="exact"/>
        <w:rPr>
          <w:sz w:val="20"/>
          <w:szCs w:val="20"/>
          <w:color w:val="auto"/>
        </w:rPr>
      </w:pPr>
    </w:p>
    <w:p>
      <w:pPr>
        <w:ind w:left="640" w:right="3799"/>
        <w:spacing w:after="0" w:line="246" w:lineRule="auto"/>
        <w:rPr>
          <w:sz w:val="20"/>
          <w:szCs w:val="20"/>
          <w:color w:val="auto"/>
        </w:rPr>
      </w:pPr>
      <w:r>
        <w:rPr>
          <w:rFonts w:ascii="Times New Roman" w:cs="Times New Roman" w:eastAsia="Times New Roman" w:hAnsi="Times New Roman"/>
          <w:sz w:val="13"/>
          <w:szCs w:val="13"/>
          <w:color w:val="auto"/>
        </w:rPr>
        <w:t>Email: mbloom@goodwinlaw.com; rmasella@goodwinlaw.com; jding@goodwinlaw.com; adamjohnson@goodwinlaw.com</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Tectonic Therapeutic,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490 Arsenal Way, Suite 210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Watertown, MA 02472</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Alise Reicin, Chief Executive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areicin@tectonictx.com</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Cooley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500 Boylston Street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Boston, MA 02116</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Miguel Vega; Marc Recht; Michael Rohr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mvega@cooley.com; mrecht@cooley.com; mrohr@cooley.com</w:t>
      </w:r>
    </w:p>
    <w:p>
      <w:pPr>
        <w:spacing w:after="0" w:line="65"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11.8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30"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11.9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7"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11.10 </w:t>
      </w:r>
      <w:r>
        <w:rPr>
          <w:rFonts w:ascii="Times New Roman" w:cs="Times New Roman" w:eastAsia="Times New Roman" w:hAnsi="Times New Roman"/>
          <w:sz w:val="13"/>
          <w:szCs w:val="13"/>
          <w:u w:val="single" w:color="auto"/>
          <w:color w:val="auto"/>
        </w:rPr>
        <w:t>Other Remedies; 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9019"/>
          </w:cols>
          <w:pgMar w:left="1440" w:top="231" w:right="1440" w:bottom="1440" w:gutter="0" w:footer="0" w:header="0"/>
        </w:sectPr>
      </w:pPr>
    </w:p>
    <w:bookmarkStart w:id="109" w:name="page110"/>
    <w:bookmarkEnd w:id="109"/>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35"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11.11 No </w:t>
      </w:r>
      <w:r>
        <w:rPr>
          <w:rFonts w:ascii="Times New Roman" w:cs="Times New Roman" w:eastAsia="Times New Roman" w:hAnsi="Times New Roman"/>
          <w:sz w:val="13"/>
          <w:szCs w:val="13"/>
          <w:u w:val="single" w:color="auto"/>
          <w:color w:val="auto"/>
        </w:rPr>
        <w:t>Third-Party Beneficiaries</w:t>
      </w:r>
      <w:r>
        <w:rPr>
          <w:rFonts w:ascii="Times New Roman" w:cs="Times New Roman" w:eastAsia="Times New Roman" w:hAnsi="Times New Roman"/>
          <w:sz w:val="13"/>
          <w:szCs w:val="13"/>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any right, benefit or remedy of any nature whatsoever under or by reason of this Agreement.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9019"/>
          </w:cols>
          <w:pgMar w:left="1440" w:top="231" w:right="1440" w:bottom="1440" w:gutter="0" w:footer="0" w:header="0"/>
        </w:sectPr>
      </w:pPr>
    </w:p>
    <w:bookmarkStart w:id="110" w:name="page111"/>
    <w:bookmarkEnd w:id="110"/>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AVROBIO,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0"/>
          <w:szCs w:val="10"/>
          <w:b w:val="1"/>
          <w:bCs w:val="1"/>
          <w:color w:val="auto"/>
        </w:rPr>
        <w:t>LPINE</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3"/>
          <w:szCs w:val="13"/>
          <w:b w:val="1"/>
          <w:bCs w:val="1"/>
          <w:color w:val="auto"/>
        </w:rPr>
        <w:t xml:space="preserve"> S</w:t>
      </w:r>
      <w:r>
        <w:rPr>
          <w:rFonts w:ascii="Times New Roman" w:cs="Times New Roman" w:eastAsia="Times New Roman" w:hAnsi="Times New Roman"/>
          <w:sz w:val="10"/>
          <w:szCs w:val="10"/>
          <w:b w:val="1"/>
          <w:bCs w:val="1"/>
          <w:color w:val="auto"/>
        </w:rPr>
        <w:t>UBSIDIARY</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 and Reorganization</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11" w:name="page112"/>
    <w:bookmarkEnd w:id="111"/>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ECTONIC</w:t>
      </w:r>
      <w:r>
        <w:rPr>
          <w:rFonts w:ascii="Times New Roman" w:cs="Times New Roman" w:eastAsia="Times New Roman" w:hAnsi="Times New Roman"/>
          <w:sz w:val="13"/>
          <w:szCs w:val="13"/>
          <w:b w:val="1"/>
          <w:bCs w:val="1"/>
          <w:color w:val="auto"/>
        </w:rPr>
        <w:t xml:space="preserve"> T</w:t>
      </w:r>
      <w:r>
        <w:rPr>
          <w:rFonts w:ascii="Times New Roman" w:cs="Times New Roman" w:eastAsia="Times New Roman" w:hAnsi="Times New Roman"/>
          <w:sz w:val="10"/>
          <w:szCs w:val="10"/>
          <w:b w:val="1"/>
          <w:bCs w:val="1"/>
          <w:color w:val="auto"/>
        </w:rPr>
        <w:t>HERAPEUTIC</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12" w:name="page113"/>
    <w:bookmarkEnd w:id="11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COMPANY STOCKHOLDER SUPPORT AGREEMENT</w:t>
      </w:r>
    </w:p>
    <w:p>
      <w:pPr>
        <w:spacing w:after="0" w:line="156"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This Support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January 30, 2024, by and among Tectonic Therapeutic,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AVROBIO, Inc., a Delaware corporation (“</w:t>
      </w:r>
      <w:r>
        <w:rPr>
          <w:rFonts w:ascii="Times New Roman" w:cs="Times New Roman" w:eastAsia="Times New Roman" w:hAnsi="Times New Roman"/>
          <w:sz w:val="13"/>
          <w:szCs w:val="13"/>
          <w:u w:val="single" w:color="auto"/>
          <w:color w:val="auto"/>
        </w:rPr>
        <w:t>Aspen</w:t>
      </w:r>
      <w:r>
        <w:rPr>
          <w:rFonts w:ascii="Times New Roman" w:cs="Times New Roman" w:eastAsia="Times New Roman" w:hAnsi="Times New Roman"/>
          <w:sz w:val="13"/>
          <w:szCs w:val="13"/>
          <w:color w:val="auto"/>
        </w:rPr>
        <w:t>”), and the undersigned stockholder (the “</w:t>
      </w:r>
      <w:r>
        <w:rPr>
          <w:rFonts w:ascii="Times New Roman" w:cs="Times New Roman" w:eastAsia="Times New Roman" w:hAnsi="Times New Roman"/>
          <w:sz w:val="13"/>
          <w:szCs w:val="13"/>
          <w:u w:val="single" w:color="auto"/>
          <w:color w:val="auto"/>
        </w:rPr>
        <w:t>Stockholder</w:t>
      </w:r>
      <w:r>
        <w:rPr>
          <w:rFonts w:ascii="Times New Roman" w:cs="Times New Roman" w:eastAsia="Times New Roman" w:hAnsi="Times New Roman"/>
          <w:sz w:val="13"/>
          <w:szCs w:val="13"/>
          <w:color w:val="auto"/>
        </w:rPr>
        <w:t>”) of the Company. Capitalized terms used herein but not otherwise defined shall have the respective meanings ascribed to such terms in the Merger Agreement (as defined below).</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WHEREAS, concurrently with the execution and delivery hereof, Aspen, the Company and Alpine Merger Subsidiary, Inc., a Delaware corporation and a wholly owned subsidiary of Aspen (the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Merger Sub will merge with and into the Company, with the Company surviving the merger as the surviving corporation and a wholly owned subsidiary of Aspen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upon the terms and subject to the conditions set forth in the Merger Agreement.</w:t>
      </w:r>
    </w:p>
    <w:p>
      <w:pPr>
        <w:spacing w:after="0" w:line="134"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WHEREAS, as of the date hereof, the Stockholder is the beneficial owner (as defined in Rule 13d-3 under the Exchange Act) of such number of shares of Company Capital Stock and Company Convertible Notes as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WHEREAS, as an inducement to the willingness of Aspen to enter into the Merger Agreement, Aspen has required that Stockholder enter into this Agreement.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NOW, THEREFORE, intending to be legally bound, the parties hereby agree as follows:</w:t>
      </w:r>
    </w:p>
    <w:p>
      <w:pPr>
        <w:spacing w:after="0" w:line="154" w:lineRule="exact"/>
        <w:rPr>
          <w:sz w:val="20"/>
          <w:szCs w:val="20"/>
          <w:color w:val="auto"/>
        </w:rPr>
      </w:pPr>
    </w:p>
    <w:p>
      <w:pPr>
        <w:ind w:left="640" w:right="679" w:firstLine="307"/>
        <w:spacing w:after="0" w:line="267" w:lineRule="auto"/>
        <w:tabs>
          <w:tab w:leader="none" w:pos="1076"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46" w:lineRule="exact"/>
        <w:rPr>
          <w:rFonts w:ascii="Times New Roman" w:cs="Times New Roman" w:eastAsia="Times New Roman" w:hAnsi="Times New Roman"/>
          <w:sz w:val="13"/>
          <w:szCs w:val="13"/>
          <w:color w:val="auto"/>
        </w:rPr>
      </w:pPr>
    </w:p>
    <w:p>
      <w:pPr>
        <w:ind w:left="640" w:right="919" w:firstLine="693"/>
        <w:spacing w:after="0" w:line="251" w:lineRule="auto"/>
        <w:tabs>
          <w:tab w:leader="none" w:pos="1508"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56"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515"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Shares</w:t>
      </w:r>
      <w:r>
        <w:rPr>
          <w:rFonts w:ascii="Times New Roman" w:cs="Times New Roman" w:eastAsia="Times New Roman" w:hAnsi="Times New Roman"/>
          <w:sz w:val="13"/>
          <w:szCs w:val="13"/>
          <w:color w:val="auto"/>
        </w:rPr>
        <w:t>”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w:t>
      </w:r>
    </w:p>
    <w:p>
      <w:pPr>
        <w:spacing w:after="0" w:line="54"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Transferred</w:t>
      </w:r>
      <w:r>
        <w:rPr>
          <w:rFonts w:ascii="Times New Roman" w:cs="Times New Roman" w:eastAsia="Times New Roman" w:hAnsi="Times New Roman"/>
          <w:sz w:val="13"/>
          <w:szCs w:val="13"/>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1</w:t>
      </w:r>
    </w:p>
    <w:p>
      <w:pPr>
        <w:sectPr>
          <w:pgSz w:w="11900" w:h="16838" w:orient="portrait"/>
          <w:cols w:equalWidth="0" w:num="1">
            <w:col w:w="9019"/>
          </w:cols>
          <w:pgMar w:left="1440" w:top="229" w:right="1440" w:bottom="1440" w:gutter="0" w:footer="0" w:header="0"/>
        </w:sectPr>
      </w:pPr>
    </w:p>
    <w:bookmarkStart w:id="113" w:name="page114"/>
    <w:bookmarkEnd w:id="113"/>
    <w:p>
      <w:pPr>
        <w:jc w:val="both"/>
        <w:ind w:left="640" w:right="75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w:t>
      </w:r>
    </w:p>
    <w:p>
      <w:pPr>
        <w:spacing w:after="0" w:line="113" w:lineRule="exact"/>
        <w:rPr>
          <w:sz w:val="20"/>
          <w:szCs w:val="20"/>
          <w:color w:val="auto"/>
        </w:rPr>
      </w:pPr>
    </w:p>
    <w:p>
      <w:pPr>
        <w:ind w:left="1080" w:hanging="133"/>
        <w:spacing w:after="0"/>
        <w:tabs>
          <w:tab w:leader="none" w:pos="108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and Voting Restrictions</w:t>
      </w:r>
      <w:r>
        <w:rPr>
          <w:rFonts w:ascii="Times New Roman" w:cs="Times New Roman" w:eastAsia="Times New Roman" w:hAnsi="Times New Roman"/>
          <w:sz w:val="13"/>
          <w:szCs w:val="13"/>
          <w:color w:val="auto"/>
        </w:rPr>
        <w:t>. The Stockholder covenants to Aspen as follows:</w:t>
      </w:r>
    </w:p>
    <w:p>
      <w:pPr>
        <w:spacing w:after="0" w:line="77" w:lineRule="exact"/>
        <w:rPr>
          <w:rFonts w:ascii="Times New Roman" w:cs="Times New Roman" w:eastAsia="Times New Roman" w:hAnsi="Times New Roman"/>
          <w:sz w:val="13"/>
          <w:szCs w:val="13"/>
          <w:color w:val="auto"/>
        </w:rPr>
      </w:pPr>
    </w:p>
    <w:p>
      <w:pPr>
        <w:ind w:left="640" w:right="779" w:firstLine="693"/>
        <w:spacing w:after="0" w:line="248" w:lineRule="auto"/>
        <w:tabs>
          <w:tab w:leader="none" w:pos="1508"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permitted by </w:t>
      </w:r>
      <w:r>
        <w:rPr>
          <w:rFonts w:ascii="Times New Roman" w:cs="Times New Roman" w:eastAsia="Times New Roman" w:hAnsi="Times New Roman"/>
          <w:sz w:val="13"/>
          <w:szCs w:val="13"/>
          <w:u w:val="single" w:color="auto"/>
          <w:color w:val="auto"/>
        </w:rPr>
        <w:t>Section 2(c)</w:t>
      </w:r>
      <w:r>
        <w:rPr>
          <w:rFonts w:ascii="Times New Roman" w:cs="Times New Roman" w:eastAsia="Times New Roman" w:hAnsi="Times New Roman"/>
          <w:sz w:val="13"/>
          <w:szCs w:val="13"/>
          <w:color w:val="auto"/>
        </w:rPr>
        <w:t>,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w:t>
      </w:r>
    </w:p>
    <w:p>
      <w:pPr>
        <w:spacing w:after="0" w:line="58" w:lineRule="exact"/>
        <w:rPr>
          <w:rFonts w:ascii="Times New Roman" w:cs="Times New Roman" w:eastAsia="Times New Roman" w:hAnsi="Times New Roman"/>
          <w:sz w:val="13"/>
          <w:szCs w:val="13"/>
          <w:color w:val="auto"/>
        </w:rPr>
      </w:pPr>
    </w:p>
    <w:p>
      <w:pPr>
        <w:ind w:left="640" w:right="679" w:firstLine="693"/>
        <w:spacing w:after="0" w:line="268" w:lineRule="auto"/>
        <w:tabs>
          <w:tab w:leader="none" w:pos="1515"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the Voting Agreement of the Company, dated as of March 31, 2021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w:t>
      </w:r>
    </w:p>
    <w:p>
      <w:pPr>
        <w:spacing w:after="0" w:line="51"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508"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else herein to the contrary, the Stockholder may, at any time, Transfer Shares (i) by will or other testamentary document or by intestacy, (ii) to any investment fund or other entity controlled or managed by the Stockholder or the investment adviser of a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(vi) pursuant to a</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2</w:t>
      </w:r>
    </w:p>
    <w:p>
      <w:pPr>
        <w:sectPr>
          <w:pgSz w:w="11900" w:h="16838" w:orient="portrait"/>
          <w:cols w:equalWidth="0" w:num="1">
            <w:col w:w="9019"/>
          </w:cols>
          <w:pgMar w:left="1440" w:top="231" w:right="1440" w:bottom="1440" w:gutter="0" w:footer="0" w:header="0"/>
        </w:sectPr>
      </w:pPr>
    </w:p>
    <w:bookmarkStart w:id="114" w:name="page115"/>
    <w:bookmarkEnd w:id="114"/>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qualified domestic order, (vii) to any charitable organization, or (viii) by effecting a “net exercise” of a Company Option or a “net settlement” of a Company Restricted Stock Unit in which the Company holds back shares of Company Common Stock otherwise issuable (but not the sale of already-owned shares of Company Common Stock) either to pay the exercise price upon the exercise of a Company Option or settlement of a Company Restricted Stock Unit or to satisfy the Stockholder’s tax withholding obligation upon the exercise of a Company Option or settlement of a Company Restricted Stock Unit, in each case as permitted pursuant to the terms of any Company Employee Plan and (ix) with respect to any Stockholder that is an entity, to any Affiliate of such Stockholder or to one or more partners or members of such Stockholder;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the cases of clauses (i)-(vi), (x) such Transferred Shares shall continue to be bound by this Agreement and (y) the applicable direct transferee (if any) of such Transferred Shares shall have executed and delivered to Aspen and the Company a support agreement substantially identical to this Agreement upon consummation of the Transfer or (vii) to the extent required by applicable Law.</w:t>
      </w:r>
    </w:p>
    <w:p>
      <w:pPr>
        <w:spacing w:after="0" w:line="137" w:lineRule="exact"/>
        <w:rPr>
          <w:sz w:val="20"/>
          <w:szCs w:val="20"/>
          <w:color w:val="auto"/>
        </w:rPr>
      </w:pPr>
    </w:p>
    <w:p>
      <w:pPr>
        <w:ind w:left="1080" w:hanging="133"/>
        <w:spacing w:after="0"/>
        <w:tabs>
          <w:tab w:leader="none" w:pos="108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 Shares</w:t>
      </w:r>
      <w:r>
        <w:rPr>
          <w:rFonts w:ascii="Times New Roman" w:cs="Times New Roman" w:eastAsia="Times New Roman" w:hAnsi="Times New Roman"/>
          <w:sz w:val="13"/>
          <w:szCs w:val="13"/>
          <w:color w:val="auto"/>
        </w:rPr>
        <w:t>. The Stockholder covenants to the Company as follows:</w:t>
      </w:r>
    </w:p>
    <w:p>
      <w:pPr>
        <w:spacing w:after="0" w:line="77" w:lineRule="exact"/>
        <w:rPr>
          <w:rFonts w:ascii="Times New Roman" w:cs="Times New Roman" w:eastAsia="Times New Roman" w:hAnsi="Times New Roman"/>
          <w:sz w:val="13"/>
          <w:szCs w:val="13"/>
          <w:color w:val="auto"/>
        </w:rPr>
      </w:pPr>
    </w:p>
    <w:p>
      <w:pPr>
        <w:ind w:left="640" w:right="679" w:firstLine="693"/>
        <w:spacing w:after="0" w:line="245" w:lineRule="auto"/>
        <w:tabs>
          <w:tab w:leader="none" w:pos="1508"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to adopt and approve the Merger Agreement, (B) to approve the Contemplated Transactions, (C) to approve an amendment to the Company’ certificate of incorporation to effect the Company Authorized Share Increase, (D) to the extent the Stockholder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 Further, to the extent the Stockholder holds any Company SAFEs, the Stockholder hereby understands that such Company SAFEs shall convert into shares of Company Common Stock in accordance with Section 2.5(g) of the Merger Agreement at the same price per share at which the shares of Company Common Stock is sold pursuant to the Subscription Agreement.</w:t>
      </w:r>
    </w:p>
    <w:p>
      <w:pPr>
        <w:spacing w:after="0" w:line="64"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15"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3"/>
          <w:szCs w:val="13"/>
          <w:u w:val="single" w:color="auto"/>
          <w:color w:val="auto"/>
        </w:rPr>
        <w:t>Section 3.</w:t>
      </w:r>
    </w:p>
    <w:p>
      <w:pPr>
        <w:spacing w:after="0" w:line="46"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08"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72" w:lineRule="auto"/>
        <w:tabs>
          <w:tab w:leader="none" w:pos="1076"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Action in Stockholder Capacity Only</w:t>
      </w:r>
      <w:r>
        <w:rPr>
          <w:rFonts w:ascii="Times New Roman" w:cs="Times New Roman" w:eastAsia="Times New Roman" w:hAnsi="Times New Roman"/>
          <w:sz w:val="12"/>
          <w:szCs w:val="12"/>
          <w:color w:val="auto"/>
        </w:rPr>
        <w:t>. Notwithstanding anything in this Agreement to the contrary, the Stockholder is entering into this Agreement solely in the Stockholder’s capacity as the beneficial owner of its Shares and not in the Stockholder’s capacity as a director or officer of the Company,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3</w:t>
      </w:r>
    </w:p>
    <w:p>
      <w:pPr>
        <w:sectPr>
          <w:pgSz w:w="11900" w:h="16838" w:orient="portrait"/>
          <w:cols w:equalWidth="0" w:num="1">
            <w:col w:w="9019"/>
          </w:cols>
          <w:pgMar w:left="1440" w:top="231" w:right="1440" w:bottom="1440" w:gutter="0" w:footer="0" w:header="0"/>
        </w:sectPr>
      </w:pPr>
    </w:p>
    <w:bookmarkStart w:id="115" w:name="page116"/>
    <w:bookmarkEnd w:id="115"/>
    <w:p>
      <w:pPr>
        <w:ind w:left="640" w:right="679" w:firstLine="307"/>
        <w:spacing w:after="0" w:line="245" w:lineRule="auto"/>
        <w:tabs>
          <w:tab w:leader="none" w:pos="1076"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Irrevocable Proxy</w:t>
      </w:r>
      <w:r>
        <w:rPr>
          <w:rFonts w:ascii="Times New Roman" w:cs="Times New Roman" w:eastAsia="Times New Roman" w:hAnsi="Times New Roman"/>
          <w:sz w:val="13"/>
          <w:szCs w:val="13"/>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the Company, and each of them individually, as his, her or its proxy and attorney-in-fact (with full power of substitution), for and in its name, place and stead, to vote his, her or its Shares in any action by written consent of Company stockholders or at any meeting of the Company stockholders called with respect to any of the matters specified in, and in accordance and consistent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of this Agreement. The Company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140"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076"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 From and after the date hereof until the Expiration Date, the Stockholder will not, and will not permit any entity under such Stockholder’s control to, take any action that the Company is prohibited from taking pursuant to Section 5.4 of the Merger Agreement.</w:t>
      </w:r>
    </w:p>
    <w:p>
      <w:pPr>
        <w:spacing w:after="0" w:line="122" w:lineRule="exact"/>
        <w:rPr>
          <w:rFonts w:ascii="Times New Roman" w:cs="Times New Roman" w:eastAsia="Times New Roman" w:hAnsi="Times New Roman"/>
          <w:sz w:val="13"/>
          <w:szCs w:val="13"/>
          <w:color w:val="auto"/>
        </w:rPr>
      </w:pPr>
    </w:p>
    <w:p>
      <w:pPr>
        <w:ind w:left="640" w:right="719" w:firstLine="307"/>
        <w:spacing w:after="0" w:line="249" w:lineRule="auto"/>
        <w:tabs>
          <w:tab w:leader="none" w:pos="1076"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Documentation and Information</w:t>
      </w:r>
      <w:r>
        <w:rPr>
          <w:rFonts w:ascii="Times New Roman" w:cs="Times New Roman" w:eastAsia="Times New Roman" w:hAnsi="Times New Roman"/>
          <w:sz w:val="13"/>
          <w:szCs w:val="13"/>
          <w:color w:val="auto"/>
        </w:rPr>
        <w:t xml:space="preserve">. The Stockholder shall permit and hereby authorizes Aspen and the Company to publish and disclose in all documents and schedules filed with the SEC, and any press release or 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68" w:lineRule="auto"/>
        <w:tabs>
          <w:tab w:leader="none" w:pos="1076"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Exercise of Appraisal Rights; Waivers</w:t>
      </w:r>
      <w:r>
        <w:rPr>
          <w:rFonts w:ascii="Times New Roman" w:cs="Times New Roman" w:eastAsia="Times New Roman" w:hAnsi="Times New Roman"/>
          <w:sz w:val="12"/>
          <w:szCs w:val="12"/>
          <w:color w:val="auto"/>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breaches any duty that the Company Board has (or may be alleged to have) to the Company or to the other Company stockholders;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4</w:t>
      </w:r>
    </w:p>
    <w:p>
      <w:pPr>
        <w:sectPr>
          <w:pgSz w:w="11900" w:h="16838" w:orient="portrait"/>
          <w:cols w:equalWidth="0" w:num="1">
            <w:col w:w="9019"/>
          </w:cols>
          <w:pgMar w:left="1440" w:top="231" w:right="1440" w:bottom="1440" w:gutter="0" w:footer="0" w:header="0"/>
        </w:sectPr>
      </w:pPr>
    </w:p>
    <w:bookmarkStart w:id="116" w:name="page117"/>
    <w:bookmarkEnd w:id="116"/>
    <w:p>
      <w:pPr>
        <w:ind w:left="1080" w:hanging="133"/>
        <w:spacing w:after="0"/>
        <w:tabs>
          <w:tab w:leader="none" w:pos="108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Representations and Warranties of the Stockholder</w:t>
      </w:r>
      <w:r>
        <w:rPr>
          <w:rFonts w:ascii="Times New Roman" w:cs="Times New Roman" w:eastAsia="Times New Roman" w:hAnsi="Times New Roman"/>
          <w:sz w:val="13"/>
          <w:szCs w:val="13"/>
          <w:color w:val="auto"/>
        </w:rPr>
        <w:t>. The Stockholder hereby represents and warrants to the Company as follows:</w:t>
      </w:r>
    </w:p>
    <w:p>
      <w:pPr>
        <w:spacing w:after="0" w:line="77" w:lineRule="exact"/>
        <w:rPr>
          <w:rFonts w:ascii="Times New Roman" w:cs="Times New Roman" w:eastAsia="Times New Roman" w:hAnsi="Times New Roman"/>
          <w:sz w:val="13"/>
          <w:szCs w:val="13"/>
          <w:color w:val="auto"/>
        </w:rPr>
      </w:pPr>
    </w:p>
    <w:p>
      <w:pPr>
        <w:ind w:left="640" w:right="699" w:firstLine="693"/>
        <w:spacing w:after="0" w:line="248" w:lineRule="auto"/>
        <w:tabs>
          <w:tab w:leader="none" w:pos="1508"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The Stockholder is the beneficial owner of the shares of Company Capital Stock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(each of which shall be deemed to be “held” by the Stockholder for purposes of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unless otherwise expressly stated with respect to any shares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free and clear of any and all Encumbrances (except for any Encumbrance that may be imposed pursuant to this Agreement, the Voting Agreement, the Investors’ Rights Agreement of the Company, dated as of March 31, 2021 (the “</w:t>
      </w:r>
      <w:r>
        <w:rPr>
          <w:rFonts w:ascii="Times New Roman" w:cs="Times New Roman" w:eastAsia="Times New Roman" w:hAnsi="Times New Roman"/>
          <w:sz w:val="13"/>
          <w:szCs w:val="13"/>
          <w:u w:val="single" w:color="auto"/>
          <w:color w:val="auto"/>
        </w:rPr>
        <w:t>Investors’ Rights Agreement</w:t>
      </w:r>
      <w:r>
        <w:rPr>
          <w:rFonts w:ascii="Times New Roman" w:cs="Times New Roman" w:eastAsia="Times New Roman" w:hAnsi="Times New Roman"/>
          <w:sz w:val="13"/>
          <w:szCs w:val="13"/>
          <w:color w:val="auto"/>
        </w:rPr>
        <w:t xml:space="preserve">”), or any lock-up agreement entered into by and between the Stockholder, the Company and Aspen); and (ii) the Stockholder does not beneficially own any securities of the Company other than the shares of Company Capital Stock and rights to purchase shares Company Capital Stock set forth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58" w:lineRule="exact"/>
        <w:rPr>
          <w:rFonts w:ascii="Times New Roman" w:cs="Times New Roman" w:eastAsia="Times New Roman" w:hAnsi="Times New Roman"/>
          <w:sz w:val="13"/>
          <w:szCs w:val="13"/>
          <w:color w:val="auto"/>
        </w:rPr>
      </w:pPr>
    </w:p>
    <w:p>
      <w:pPr>
        <w:ind w:left="640" w:right="879" w:firstLine="693"/>
        <w:spacing w:after="0" w:line="309" w:lineRule="auto"/>
        <w:tabs>
          <w:tab w:leader="none" w:pos="1515" w:val="left"/>
        </w:tabs>
        <w:numPr>
          <w:ilvl w:val="1"/>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Stockholder that is an entity, the Stockholder is duly organized, validly existing and in good standing under the laws of the jurisdiction of its formation and is qualified to conduct its business in those jurisdictions necessary to perform this Agreement.</w:t>
      </w:r>
    </w:p>
    <w:p>
      <w:pPr>
        <w:spacing w:after="0" w:line="23" w:lineRule="exact"/>
        <w:rPr>
          <w:rFonts w:ascii="Times New Roman" w:cs="Times New Roman" w:eastAsia="Times New Roman" w:hAnsi="Times New Roman"/>
          <w:sz w:val="12"/>
          <w:szCs w:val="12"/>
          <w:color w:val="auto"/>
        </w:rPr>
      </w:pPr>
    </w:p>
    <w:p>
      <w:pPr>
        <w:ind w:left="640" w:right="679" w:firstLine="693"/>
        <w:spacing w:after="0" w:line="271" w:lineRule="auto"/>
        <w:tabs>
          <w:tab w:leader="none" w:pos="1508" w:val="left"/>
        </w:tabs>
        <w:numPr>
          <w:ilvl w:val="1"/>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w:t>
      </w:r>
    </w:p>
    <w:p>
      <w:pPr>
        <w:spacing w:after="0" w:line="46" w:lineRule="exact"/>
        <w:rPr>
          <w:rFonts w:ascii="Times New Roman" w:cs="Times New Roman" w:eastAsia="Times New Roman" w:hAnsi="Times New Roman"/>
          <w:sz w:val="12"/>
          <w:szCs w:val="12"/>
          <w:color w:val="auto"/>
        </w:rPr>
      </w:pPr>
    </w:p>
    <w:p>
      <w:pPr>
        <w:ind w:left="640" w:right="699" w:firstLine="693"/>
        <w:spacing w:after="0" w:line="246" w:lineRule="auto"/>
        <w:tabs>
          <w:tab w:leader="none" w:pos="1515"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5</w:t>
      </w:r>
    </w:p>
    <w:p>
      <w:pPr>
        <w:sectPr>
          <w:pgSz w:w="11900" w:h="16838" w:orient="portrait"/>
          <w:cols w:equalWidth="0" w:num="1">
            <w:col w:w="9019"/>
          </w:cols>
          <w:pgMar w:left="1440" w:top="231" w:right="1440" w:bottom="1440" w:gutter="0" w:footer="0" w:header="0"/>
        </w:sectPr>
      </w:pPr>
    </w:p>
    <w:bookmarkStart w:id="117" w:name="page118"/>
    <w:bookmarkEnd w:id="117"/>
    <w:p>
      <w:pPr>
        <w:ind w:left="640" w:right="739" w:firstLine="693"/>
        <w:spacing w:after="0" w:line="251" w:lineRule="auto"/>
        <w:tabs>
          <w:tab w:leader="none" w:pos="1508" w:val="left"/>
        </w:tabs>
        <w:numPr>
          <w:ilvl w:val="1"/>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56" w:lineRule="exact"/>
        <w:rPr>
          <w:rFonts w:ascii="Times New Roman" w:cs="Times New Roman" w:eastAsia="Times New Roman" w:hAnsi="Times New Roman"/>
          <w:sz w:val="13"/>
          <w:szCs w:val="13"/>
          <w:color w:val="auto"/>
        </w:rPr>
      </w:pPr>
    </w:p>
    <w:p>
      <w:pPr>
        <w:ind w:left="640" w:right="739" w:firstLine="693"/>
        <w:spacing w:after="0" w:line="249" w:lineRule="auto"/>
        <w:tabs>
          <w:tab w:leader="none" w:pos="1494" w:val="left"/>
        </w:tabs>
        <w:numPr>
          <w:ilvl w:val="1"/>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w:t>
      </w:r>
    </w:p>
    <w:p>
      <w:pPr>
        <w:spacing w:after="0" w:line="58" w:lineRule="exact"/>
        <w:rPr>
          <w:rFonts w:ascii="Times New Roman" w:cs="Times New Roman" w:eastAsia="Times New Roman" w:hAnsi="Times New Roman"/>
          <w:sz w:val="13"/>
          <w:szCs w:val="13"/>
          <w:color w:val="auto"/>
        </w:rPr>
      </w:pPr>
    </w:p>
    <w:p>
      <w:pPr>
        <w:ind w:left="640" w:right="759" w:firstLine="693"/>
        <w:spacing w:after="0" w:line="246" w:lineRule="auto"/>
        <w:tabs>
          <w:tab w:leader="none" w:pos="1515" w:val="left"/>
        </w:tabs>
        <w:numPr>
          <w:ilvl w:val="1"/>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w:t>
      </w:r>
    </w:p>
    <w:p>
      <w:pPr>
        <w:spacing w:after="0" w:line="63" w:lineRule="exact"/>
        <w:rPr>
          <w:rFonts w:ascii="Times New Roman" w:cs="Times New Roman" w:eastAsia="Times New Roman" w:hAnsi="Times New Roman"/>
          <w:sz w:val="13"/>
          <w:szCs w:val="13"/>
          <w:color w:val="auto"/>
        </w:rPr>
      </w:pPr>
    </w:p>
    <w:p>
      <w:pPr>
        <w:jc w:val="both"/>
        <w:ind w:left="640" w:right="699" w:firstLine="693"/>
        <w:spacing w:after="0" w:line="251" w:lineRule="auto"/>
        <w:tabs>
          <w:tab w:leader="none" w:pos="1515" w:val="left"/>
        </w:tabs>
        <w:numPr>
          <w:ilvl w:val="1"/>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69" w:lineRule="auto"/>
        <w:tabs>
          <w:tab w:leader="none" w:pos="1139"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Certain Agreements</w:t>
      </w:r>
      <w:r>
        <w:rPr>
          <w:rFonts w:ascii="Times New Roman" w:cs="Times New Roman" w:eastAsia="Times New Roman" w:hAnsi="Times New Roman"/>
          <w:sz w:val="12"/>
          <w:szCs w:val="12"/>
          <w:color w:val="auto"/>
        </w:rPr>
        <w:t>. Each Stockholder, by this Agreement, and with respect to such Stockholder’s Shares, severally and not jointly, hereby agrees to terminate, subject to the occurrence of, and effective immediately prior to, the Effective Time, each of (a) the agreements set forth on Appendix B hereto and (b) any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Effective Time.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6</w:t>
      </w:r>
    </w:p>
    <w:p>
      <w:pPr>
        <w:sectPr>
          <w:pgSz w:w="11900" w:h="16838" w:orient="portrait"/>
          <w:cols w:equalWidth="0" w:num="1">
            <w:col w:w="9019"/>
          </w:cols>
          <w:pgMar w:left="1440" w:top="231" w:right="1440" w:bottom="1440" w:gutter="0" w:footer="0" w:header="0"/>
        </w:sectPr>
      </w:pPr>
    </w:p>
    <w:bookmarkStart w:id="118" w:name="page119"/>
    <w:bookmarkEnd w:id="118"/>
    <w:p>
      <w:pPr>
        <w:ind w:left="640" w:right="659" w:firstLine="307"/>
        <w:spacing w:after="0" w:line="249" w:lineRule="auto"/>
        <w:tabs>
          <w:tab w:leader="none" w:pos="1134"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Termination</w:t>
      </w:r>
      <w:r>
        <w:rPr>
          <w:rFonts w:ascii="Times New Roman" w:cs="Times New Roman" w:eastAsia="Times New Roman" w:hAnsi="Times New Roman"/>
          <w:sz w:val="13"/>
          <w:szCs w:val="13"/>
          <w:color w:val="auto"/>
        </w:rPr>
        <w:t>. This Agreement shall terminate and shall cease to be of any further force or effect as of the earliest of (a) such date and time as the Merger Agreement shall have been terminated pursuant to the terms thereof, (b) the time this Agreement is terminated upon the written agreement of the Stockholder, the Company and Aspen and (c) the Effective Time (the “</w:t>
      </w:r>
      <w:r>
        <w:rPr>
          <w:rFonts w:ascii="Times New Roman" w:cs="Times New Roman" w:eastAsia="Times New Roman" w:hAnsi="Times New Roman"/>
          <w:sz w:val="13"/>
          <w:szCs w:val="13"/>
          <w:b w:val="1"/>
          <w:bCs w:val="1"/>
          <w:i w:val="1"/>
          <w:iCs w:val="1"/>
          <w:color w:val="auto"/>
        </w:rPr>
        <w:t>Expiration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that (i)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 xml:space="preserve"> shall survive the termination of this Agreement, and (ii) the termination of this Agreement shall not relieve any party hereto from any liability for fraud or for any material and willful breach of this Agreement prior to the Effective Time.</w:t>
      </w:r>
    </w:p>
    <w:p>
      <w:pPr>
        <w:spacing w:after="0" w:line="134"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39"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w:t>
      </w:r>
    </w:p>
    <w:p>
      <w:pPr>
        <w:spacing w:after="0" w:line="130"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 Provisions</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08"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Amendments</w:t>
      </w:r>
      <w:r>
        <w:rPr>
          <w:rFonts w:ascii="Times New Roman" w:cs="Times New Roman" w:eastAsia="Times New Roman" w:hAnsi="Times New Roman"/>
          <w:sz w:val="13"/>
          <w:szCs w:val="13"/>
          <w:color w:val="auto"/>
        </w:rPr>
        <w:t>. No amendment of this Agreement shall be effective against any party unless it shall be in writing and signed by each of the parties hereto.</w:t>
      </w:r>
    </w:p>
    <w:p>
      <w:pPr>
        <w:spacing w:after="0" w:line="46"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15"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 Counterparts; Exchanges by Electronic Transmission</w:t>
      </w:r>
      <w:r>
        <w:rPr>
          <w:rFonts w:ascii="Times New Roman" w:cs="Times New Roman" w:eastAsia="Times New Roman" w:hAnsi="Times New Roman"/>
          <w:sz w:val="13"/>
          <w:szCs w:val="13"/>
          <w:color w:val="auto"/>
        </w:rPr>
        <w:t>.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58"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08"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Applicable Law; Jurisdiction.</w:t>
      </w:r>
      <w:r>
        <w:rPr>
          <w:rFonts w:ascii="Times New Roman" w:cs="Times New Roman" w:eastAsia="Times New Roman" w:hAnsi="Times New Roman"/>
          <w:sz w:val="13"/>
          <w:szCs w:val="13"/>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13(c)</w:t>
      </w:r>
      <w:r>
        <w:rPr>
          <w:rFonts w:ascii="Times New Roman" w:cs="Times New Roman" w:eastAsia="Times New Roman" w:hAnsi="Times New Roman"/>
          <w:sz w:val="13"/>
          <w:szCs w:val="13"/>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13(k)</w:t>
      </w:r>
      <w:r>
        <w:rPr>
          <w:rFonts w:ascii="Times New Roman" w:cs="Times New Roman" w:eastAsia="Times New Roman" w:hAnsi="Times New Roman"/>
          <w:sz w:val="13"/>
          <w:szCs w:val="13"/>
          <w:color w:val="auto"/>
        </w:rPr>
        <w:t xml:space="preserve"> of this Agreement and (vi) irrevocably and unconditionally waives the right to trial by jury.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7</w:t>
      </w:r>
    </w:p>
    <w:p>
      <w:pPr>
        <w:sectPr>
          <w:pgSz w:w="11900" w:h="16838" w:orient="portrait"/>
          <w:cols w:equalWidth="0" w:num="1">
            <w:col w:w="9019"/>
          </w:cols>
          <w:pgMar w:left="1440" w:top="231" w:right="1440" w:bottom="1440" w:gutter="0" w:footer="0" w:header="0"/>
        </w:sectPr>
      </w:pPr>
    </w:p>
    <w:bookmarkStart w:id="119" w:name="page120"/>
    <w:bookmarkEnd w:id="119"/>
    <w:p>
      <w:pPr>
        <w:ind w:left="640" w:right="719" w:firstLine="693"/>
        <w:spacing w:after="0" w:line="248" w:lineRule="auto"/>
        <w:tabs>
          <w:tab w:leader="none" w:pos="151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Assignment</w:t>
      </w:r>
      <w:r>
        <w:rPr>
          <w:rFonts w:ascii="Times New Roman" w:cs="Times New Roman" w:eastAsia="Times New Roman" w:hAnsi="Times New Roman"/>
          <w:sz w:val="13"/>
          <w:szCs w:val="13"/>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cs="Times New Roman" w:eastAsia="Times New Roman" w:hAnsi="Times New Roman"/>
          <w:sz w:val="13"/>
          <w:szCs w:val="13"/>
          <w:u w:val="single" w:color="auto"/>
          <w:color w:val="auto"/>
        </w:rPr>
        <w:t>Section 13(d)</w:t>
      </w:r>
      <w:r>
        <w:rPr>
          <w:rFonts w:ascii="Times New Roman" w:cs="Times New Roman" w:eastAsia="Times New Roman" w:hAnsi="Times New Roman"/>
          <w:sz w:val="13"/>
          <w:szCs w:val="13"/>
          <w:color w:val="auto"/>
        </w:rPr>
        <w:t xml:space="preserve"> is void.</w:t>
      </w:r>
    </w:p>
    <w:p>
      <w:pPr>
        <w:spacing w:after="0" w:line="58"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 Party Rights</w:t>
      </w:r>
      <w:r>
        <w:rPr>
          <w:rFonts w:ascii="Times New Roman" w:cs="Times New Roman" w:eastAsia="Times New Roman" w:hAnsi="Times New Roman"/>
          <w:sz w:val="13"/>
          <w:szCs w:val="13"/>
          <w:color w:val="auto"/>
        </w:rPr>
        <w:t>. This Agreement is not intended to, and shall not, confer upon any other person any rights or remedies hereunder other than the parties hereto to the extent expressly set forth herein.</w:t>
      </w:r>
    </w:p>
    <w:p>
      <w:pPr>
        <w:spacing w:after="0" w:line="46"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494"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61" w:lineRule="exact"/>
        <w:rPr>
          <w:rFonts w:ascii="Times New Roman" w:cs="Times New Roman" w:eastAsia="Times New Roman" w:hAnsi="Times New Roman"/>
          <w:sz w:val="13"/>
          <w:szCs w:val="13"/>
          <w:color w:val="auto"/>
        </w:rPr>
      </w:pPr>
    </w:p>
    <w:p>
      <w:pPr>
        <w:ind w:left="640" w:right="679" w:firstLine="693"/>
        <w:spacing w:after="0" w:line="245" w:lineRule="auto"/>
        <w:tabs>
          <w:tab w:leader="none" w:pos="151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8</w:t>
      </w:r>
    </w:p>
    <w:p>
      <w:pPr>
        <w:sectPr>
          <w:pgSz w:w="11900" w:h="16838" w:orient="portrait"/>
          <w:cols w:equalWidth="0" w:num="1">
            <w:col w:w="9019"/>
          </w:cols>
          <w:pgMar w:left="1440" w:top="231" w:right="1440" w:bottom="1440" w:gutter="0" w:footer="0" w:header="0"/>
        </w:sectPr>
      </w:pPr>
    </w:p>
    <w:bookmarkStart w:id="120" w:name="page121"/>
    <w:bookmarkEnd w:id="120"/>
    <w:p>
      <w:pPr>
        <w:ind w:left="640" w:right="659" w:firstLine="693"/>
        <w:spacing w:after="0" w:line="248" w:lineRule="auto"/>
        <w:tabs>
          <w:tab w:leader="none" w:pos="1515"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Notices</w:t>
      </w:r>
      <w:r>
        <w:rPr>
          <w:rFonts w:ascii="Times New Roman" w:cs="Times New Roman" w:eastAsia="Times New Roman" w:hAnsi="Times New Roman"/>
          <w:sz w:val="13"/>
          <w:szCs w:val="13"/>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w:t>
      </w:r>
    </w:p>
    <w:p>
      <w:pPr>
        <w:spacing w:after="0" w:line="58" w:lineRule="exact"/>
        <w:rPr>
          <w:rFonts w:ascii="Times New Roman" w:cs="Times New Roman" w:eastAsia="Times New Roman" w:hAnsi="Times New Roman"/>
          <w:sz w:val="13"/>
          <w:szCs w:val="13"/>
          <w:color w:val="auto"/>
        </w:rPr>
      </w:pPr>
    </w:p>
    <w:p>
      <w:pPr>
        <w:ind w:left="640" w:right="719" w:firstLine="693"/>
        <w:spacing w:after="0" w:line="245" w:lineRule="auto"/>
        <w:tabs>
          <w:tab w:leader="none" w:pos="1487"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or as otherwise permitted pursuant to and in accordance with the terms of Section 3.5 of the Investors’ Rights Agreement.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cs="Times New Roman" w:eastAsia="Times New Roman" w:hAnsi="Times New Roman"/>
          <w:sz w:val="13"/>
          <w:szCs w:val="13"/>
          <w:u w:val="single" w:color="auto"/>
          <w:color w:val="auto"/>
        </w:rPr>
        <w:t>Section 13(i)</w:t>
      </w:r>
      <w:r>
        <w:rPr>
          <w:rFonts w:ascii="Times New Roman" w:cs="Times New Roman" w:eastAsia="Times New Roman" w:hAnsi="Times New Roman"/>
          <w:sz w:val="13"/>
          <w:szCs w:val="13"/>
          <w:color w:val="auto"/>
        </w:rPr>
        <w:t>.</w:t>
      </w:r>
    </w:p>
    <w:p>
      <w:pPr>
        <w:spacing w:after="0" w:line="65"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487"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63" w:lineRule="exact"/>
        <w:rPr>
          <w:rFonts w:ascii="Times New Roman" w:cs="Times New Roman" w:eastAsia="Times New Roman" w:hAnsi="Times New Roman"/>
          <w:sz w:val="13"/>
          <w:szCs w:val="13"/>
          <w:color w:val="auto"/>
        </w:rPr>
      </w:pPr>
    </w:p>
    <w:p>
      <w:pPr>
        <w:jc w:val="both"/>
        <w:ind w:left="640" w:right="699" w:firstLine="693"/>
        <w:spacing w:after="0" w:line="251" w:lineRule="auto"/>
        <w:tabs>
          <w:tab w:leader="none" w:pos="1515"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Ownership Interest. Nothing contained in this Agreement shall be deemed to vest in the Company any direct or indirect ownership or incidence of ownership of or with respect to the Shares. All rights, ownership and economic benefits of and relating to the Shares shall remain vested in and below to the Stockholder, and the Company shall have no authority to direct the Stockholder in the voting or disposition of any Shares, expect as specifically provided herein.</w:t>
      </w:r>
    </w:p>
    <w:p>
      <w:pPr>
        <w:spacing w:after="0" w:line="56"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Non-Survival of Representations and Warranties. None of the representations and warranties in this Agreement shall survive the Effective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Time.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[Remainder of Page Left Intentionally Blank]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9</w:t>
      </w:r>
    </w:p>
    <w:p>
      <w:pPr>
        <w:sectPr>
          <w:pgSz w:w="11900" w:h="16838" w:orient="portrait"/>
          <w:cols w:equalWidth="0" w:num="1">
            <w:col w:w="9019"/>
          </w:cols>
          <w:pgMar w:left="1440" w:top="231" w:right="1440" w:bottom="1440" w:gutter="0" w:footer="0" w:header="0"/>
        </w:sectPr>
      </w:pPr>
    </w:p>
    <w:bookmarkStart w:id="121" w:name="page122"/>
    <w:bookmarkEnd w:id="121"/>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Tectonic Therapeutic,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193675</wp:posOffset>
            </wp:positionV>
            <wp:extent cx="188341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83410" cy="5715"/>
                    </a:xfrm>
                    <a:prstGeom prst="rect">
                      <a:avLst/>
                    </a:prstGeom>
                    <a:noFill/>
                  </pic:spPr>
                </pic:pic>
              </a:graphicData>
            </a:graphic>
          </wp:anchor>
        </w:drawing>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ASPEN: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AVROBIO,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193675</wp:posOffset>
            </wp:positionV>
            <wp:extent cx="188341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3410" cy="5715"/>
                    </a:xfrm>
                    <a:prstGeom prst="rect">
                      <a:avLst/>
                    </a:prstGeom>
                    <a:noFill/>
                  </pic:spPr>
                </pic:pic>
              </a:graphicData>
            </a:graphic>
          </wp:anchor>
        </w:drawing>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IN WITNESS WHEREOF, the undersigned have caused this Agreement to be duly executed as of the date first above written.</w:t>
      </w:r>
    </w:p>
    <w:p>
      <w:pPr>
        <w:spacing w:after="0" w:line="3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[STOCKHOLDER],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his/her capacity as the Stockholder:</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Signature: _______________________________</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75565</wp:posOffset>
            </wp:positionV>
            <wp:extent cx="12757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571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213995</wp:posOffset>
            </wp:positionV>
            <wp:extent cx="127571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571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352425</wp:posOffset>
            </wp:positionV>
            <wp:extent cx="12757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57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127571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5715" cy="5715"/>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10</w:t>
      </w:r>
    </w:p>
    <w:p>
      <w:pPr>
        <w:sectPr>
          <w:pgSz w:w="11900" w:h="16838" w:orient="portrait"/>
          <w:cols w:equalWidth="0" w:num="1">
            <w:col w:w="9019"/>
          </w:cols>
          <w:pgMar w:left="1440" w:top="231"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A</w:t>
      </w:r>
    </w:p>
    <w:p>
      <w:pPr>
        <w:sectPr>
          <w:pgSz w:w="11900" w:h="16838" w:orient="portrait"/>
          <w:cols w:equalWidth="0" w:num="1">
            <w:col w:w="9019"/>
          </w:cols>
          <w:pgMar w:left="1440" w:top="231"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B</w:t>
      </w:r>
    </w:p>
    <w:p>
      <w:pPr>
        <w:spacing w:after="0" w:line="173" w:lineRule="exact"/>
        <w:rPr>
          <w:sz w:val="20"/>
          <w:szCs w:val="20"/>
          <w:color w:val="auto"/>
        </w:rPr>
      </w:pPr>
    </w:p>
    <w:p>
      <w:pPr>
        <w:ind w:left="1320" w:hanging="379"/>
        <w:spacing w:after="0"/>
        <w:tabs>
          <w:tab w:leader="none" w:pos="132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Voting Agreement, dated as of March 31, 2021, by and among Tectonic Therapeutic, Inc., the Stockholder, and the other parties thereto.</w:t>
      </w:r>
    </w:p>
    <w:p>
      <w:pPr>
        <w:spacing w:after="0" w:line="184" w:lineRule="exact"/>
        <w:rPr>
          <w:rFonts w:ascii="Times New Roman" w:cs="Times New Roman" w:eastAsia="Times New Roman" w:hAnsi="Times New Roman"/>
          <w:sz w:val="12"/>
          <w:szCs w:val="12"/>
          <w:color w:val="auto"/>
        </w:rPr>
      </w:pPr>
    </w:p>
    <w:p>
      <w:pPr>
        <w:ind w:left="1320" w:right="679" w:hanging="379"/>
        <w:spacing w:after="0" w:line="267" w:lineRule="auto"/>
        <w:tabs>
          <w:tab w:leader="none" w:pos="13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Right of First Refusal and Co-Sale Agreement, dated as of March 31, 2021, by and among Tectonic Therapeutic, Inc., the Stockholder, and the other parties thereto.</w:t>
      </w:r>
    </w:p>
    <w:p>
      <w:pPr>
        <w:spacing w:after="0" w:line="141" w:lineRule="exact"/>
        <w:rPr>
          <w:rFonts w:ascii="Times New Roman" w:cs="Times New Roman" w:eastAsia="Times New Roman" w:hAnsi="Times New Roman"/>
          <w:sz w:val="13"/>
          <w:szCs w:val="13"/>
          <w:color w:val="auto"/>
        </w:rPr>
      </w:pPr>
    </w:p>
    <w:p>
      <w:pPr>
        <w:ind w:left="1320" w:right="719" w:hanging="379"/>
        <w:spacing w:after="0" w:line="267" w:lineRule="auto"/>
        <w:tabs>
          <w:tab w:leader="none" w:pos="13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Investors’ Rights Agreement, dated as of March 31, 2021, by and among Tectonic Therapeutic, Inc., the Stockholder, and the other parties thereto.</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2</w:t>
      </w:r>
    </w:p>
    <w:p>
      <w:pPr>
        <w:sectPr>
          <w:pgSz w:w="11900" w:h="16838" w:orient="portrait"/>
          <w:cols w:equalWidth="0" w:num="1">
            <w:col w:w="9019"/>
          </w:cols>
          <w:pgMar w:left="1440" w:top="231" w:right="1440" w:bottom="1440" w:gutter="0" w:footer="0" w:header="0"/>
        </w:sectPr>
      </w:pPr>
    </w:p>
    <w:bookmarkStart w:id="124" w:name="page125"/>
    <w:bookmarkEnd w:id="12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10.2</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ASPEN STOCKHOLDER SUPPORT AGREEMENT</w:t>
      </w:r>
    </w:p>
    <w:p>
      <w:pPr>
        <w:spacing w:after="0" w:line="156"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This Support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January 30, 2024, by and among Tectonic Therapeutic,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AVROBIO, Inc., a Delaware corporation (“</w:t>
      </w:r>
      <w:r>
        <w:rPr>
          <w:rFonts w:ascii="Times New Roman" w:cs="Times New Roman" w:eastAsia="Times New Roman" w:hAnsi="Times New Roman"/>
          <w:sz w:val="13"/>
          <w:szCs w:val="13"/>
          <w:u w:val="single" w:color="auto"/>
          <w:color w:val="auto"/>
        </w:rPr>
        <w:t>Aspen</w:t>
      </w:r>
      <w:r>
        <w:rPr>
          <w:rFonts w:ascii="Times New Roman" w:cs="Times New Roman" w:eastAsia="Times New Roman" w:hAnsi="Times New Roman"/>
          <w:sz w:val="13"/>
          <w:szCs w:val="13"/>
          <w:color w:val="auto"/>
        </w:rPr>
        <w:t>”), and the undersigned stockholder (the “</w:t>
      </w:r>
      <w:r>
        <w:rPr>
          <w:rFonts w:ascii="Times New Roman" w:cs="Times New Roman" w:eastAsia="Times New Roman" w:hAnsi="Times New Roman"/>
          <w:sz w:val="13"/>
          <w:szCs w:val="13"/>
          <w:u w:val="single" w:color="auto"/>
          <w:color w:val="auto"/>
        </w:rPr>
        <w:t>Stockholder</w:t>
      </w:r>
      <w:r>
        <w:rPr>
          <w:rFonts w:ascii="Times New Roman" w:cs="Times New Roman" w:eastAsia="Times New Roman" w:hAnsi="Times New Roman"/>
          <w:sz w:val="13"/>
          <w:szCs w:val="13"/>
          <w:color w:val="auto"/>
        </w:rPr>
        <w:t>”) of Aspen. Capitalized terms used herein but not otherwise defined shall have the respective meanings ascribed to such terms in the Merger Agreement (as defined below).</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WHEREAS, concurrently with the execution and delivery hereof, Aspen, the Company and Alpine Merger Subsidiary, Inc., a Delaware corporation and a wholly owned subsidiary of Aspen (the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Merger Sub will merge with and into the Company, with the Company surviving the merger as the surviving corporation and a wholly owned subsidiary of Aspen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upon the terms and subject to the conditions set forth in the Merger Agreement.</w:t>
      </w:r>
    </w:p>
    <w:p>
      <w:pPr>
        <w:spacing w:after="0" w:line="134"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WHEREAS, as of the date hereof, the Stockholder is the beneficial owner (as defined in Rule 13d-3 under the Exchange Act) of such number of shares of Aspen Common Stock as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WHEREAS, as an inducement to the willingness of the Company to enter into the Merger Agreement, the Company has required that Stockholder enter into this Agreement.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NOW, THEREFORE, intending to be legally bound, the parties hereby agree as follows:</w:t>
      </w:r>
    </w:p>
    <w:p>
      <w:pPr>
        <w:spacing w:after="0" w:line="154" w:lineRule="exact"/>
        <w:rPr>
          <w:sz w:val="20"/>
          <w:szCs w:val="20"/>
          <w:color w:val="auto"/>
        </w:rPr>
      </w:pPr>
    </w:p>
    <w:p>
      <w:pPr>
        <w:ind w:left="640" w:right="679" w:firstLine="307"/>
        <w:spacing w:after="0" w:line="267" w:lineRule="auto"/>
        <w:tabs>
          <w:tab w:leader="none" w:pos="1076" w:val="left"/>
        </w:tabs>
        <w:numPr>
          <w:ilvl w:val="1"/>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122" w:lineRule="exact"/>
        <w:rPr>
          <w:rFonts w:ascii="Times New Roman" w:cs="Times New Roman" w:eastAsia="Times New Roman" w:hAnsi="Times New Roman"/>
          <w:sz w:val="13"/>
          <w:szCs w:val="13"/>
          <w:color w:val="auto"/>
        </w:rPr>
      </w:pPr>
    </w:p>
    <w:p>
      <w:pPr>
        <w:ind w:left="640" w:right="919" w:firstLine="693"/>
        <w:spacing w:after="0" w:line="251" w:lineRule="auto"/>
        <w:tabs>
          <w:tab w:leader="none" w:pos="1508" w:val="left"/>
        </w:tabs>
        <w:numPr>
          <w:ilvl w:val="2"/>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132" w:lineRule="exact"/>
        <w:rPr>
          <w:rFonts w:ascii="Times New Roman" w:cs="Times New Roman" w:eastAsia="Times New Roman" w:hAnsi="Times New Roman"/>
          <w:sz w:val="13"/>
          <w:szCs w:val="13"/>
          <w:color w:val="auto"/>
        </w:rPr>
      </w:pPr>
    </w:p>
    <w:p>
      <w:pPr>
        <w:ind w:left="640" w:right="799" w:firstLine="693"/>
        <w:spacing w:after="0" w:line="286" w:lineRule="auto"/>
        <w:tabs>
          <w:tab w:leader="none" w:pos="1515" w:val="left"/>
        </w:tabs>
        <w:numPr>
          <w:ilvl w:val="2"/>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Aspen Stockholder Matters</w:t>
      </w:r>
      <w:r>
        <w:rPr>
          <w:rFonts w:ascii="Times New Roman" w:cs="Times New Roman" w:eastAsia="Times New Roman" w:hAnsi="Times New Roman"/>
          <w:sz w:val="12"/>
          <w:szCs w:val="12"/>
          <w:color w:val="auto"/>
        </w:rPr>
        <w:t>” means (A) the approval of the issuance of shares of Aspen Common Stock to the stockholders of the Company pursuant to the terms of this Agreement, (B) the approval of an amendment to the Aspen Charter to effect the Nasdaq Reverse Split, (C) the approval of the Equity Plan Proposals, and (D) the approval of an amendment to the Aspen Charter to provide for the exculpation of officers.</w:t>
      </w:r>
    </w:p>
    <w:p>
      <w:pPr>
        <w:spacing w:after="0" w:line="113" w:lineRule="exact"/>
        <w:rPr>
          <w:rFonts w:ascii="Times New Roman" w:cs="Times New Roman" w:eastAsia="Times New Roman" w:hAnsi="Times New Roman"/>
          <w:sz w:val="12"/>
          <w:szCs w:val="12"/>
          <w:color w:val="auto"/>
        </w:rPr>
      </w:pPr>
    </w:p>
    <w:p>
      <w:pPr>
        <w:ind w:left="1500" w:hanging="167"/>
        <w:spacing w:after="0"/>
        <w:tabs>
          <w:tab w:leader="none" w:pos="1500" w:val="left"/>
        </w:tabs>
        <w:numPr>
          <w:ilvl w:val="2"/>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means (i) all shares of Aspen Common Stock owned, beneficially or of record, by the Stockholder as of the date hereof, and</w:t>
      </w:r>
    </w:p>
    <w:p>
      <w:pPr>
        <w:spacing w:after="0" w:line="26" w:lineRule="exact"/>
        <w:rPr>
          <w:rFonts w:ascii="Times New Roman" w:cs="Times New Roman" w:eastAsia="Times New Roman" w:hAnsi="Times New Roman"/>
          <w:sz w:val="12"/>
          <w:szCs w:val="12"/>
          <w:color w:val="auto"/>
        </w:rPr>
      </w:pPr>
    </w:p>
    <w:p>
      <w:pPr>
        <w:ind w:left="640" w:right="1079" w:hanging="3"/>
        <w:spacing w:after="0" w:line="246" w:lineRule="auto"/>
        <w:tabs>
          <w:tab w:leader="none" w:pos="826"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additional shares of Aspen Common Stock acquired by the Stockholder, beneficially or of record, during the period commencing with the execution and delivery of this Agreement and expiring on the Closing Date.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25" w:name="page126"/>
    <w:bookmarkEnd w:id="125"/>
    <w:p>
      <w:pPr>
        <w:ind w:left="640" w:right="679" w:firstLine="693"/>
        <w:spacing w:after="0" w:line="247" w:lineRule="auto"/>
        <w:tabs>
          <w:tab w:leader="none" w:pos="1515" w:val="left"/>
        </w:tabs>
        <w:numPr>
          <w:ilvl w:val="1"/>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Transferred</w:t>
      </w:r>
      <w:r>
        <w:rPr>
          <w:rFonts w:ascii="Times New Roman" w:cs="Times New Roman" w:eastAsia="Times New Roman" w:hAnsi="Times New Roman"/>
          <w:sz w:val="13"/>
          <w:szCs w:val="13"/>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36"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and Voting Restrictions</w:t>
      </w:r>
      <w:r>
        <w:rPr>
          <w:rFonts w:ascii="Times New Roman" w:cs="Times New Roman" w:eastAsia="Times New Roman" w:hAnsi="Times New Roman"/>
          <w:sz w:val="13"/>
          <w:szCs w:val="13"/>
          <w:color w:val="auto"/>
        </w:rPr>
        <w:t>. The Stockholder covenants to the Company as follows:</w:t>
      </w:r>
    </w:p>
    <w:p>
      <w:pPr>
        <w:spacing w:after="0" w:line="153" w:lineRule="exact"/>
        <w:rPr>
          <w:rFonts w:ascii="Times New Roman" w:cs="Times New Roman" w:eastAsia="Times New Roman" w:hAnsi="Times New Roman"/>
          <w:sz w:val="13"/>
          <w:szCs w:val="13"/>
          <w:color w:val="auto"/>
        </w:rPr>
      </w:pPr>
    </w:p>
    <w:p>
      <w:pPr>
        <w:ind w:left="640" w:right="779" w:firstLine="693"/>
        <w:spacing w:after="0" w:line="248" w:lineRule="auto"/>
        <w:tabs>
          <w:tab w:leader="none" w:pos="1508"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permitted by </w:t>
      </w:r>
      <w:r>
        <w:rPr>
          <w:rFonts w:ascii="Times New Roman" w:cs="Times New Roman" w:eastAsia="Times New Roman" w:hAnsi="Times New Roman"/>
          <w:sz w:val="13"/>
          <w:szCs w:val="13"/>
          <w:u w:val="single" w:color="auto"/>
          <w:color w:val="auto"/>
        </w:rPr>
        <w:t>Section 2(c)</w:t>
      </w:r>
      <w:r>
        <w:rPr>
          <w:rFonts w:ascii="Times New Roman" w:cs="Times New Roman" w:eastAsia="Times New Roman" w:hAnsi="Times New Roman"/>
          <w:sz w:val="13"/>
          <w:szCs w:val="13"/>
          <w:color w:val="auto"/>
        </w:rPr>
        <w:t>,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8" w:lineRule="auto"/>
        <w:tabs>
          <w:tab w:leader="none" w:pos="1515"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Aspen Stockholder Matters and against any Acquisition Proposals.</w:t>
      </w:r>
    </w:p>
    <w:p>
      <w:pPr>
        <w:spacing w:after="0" w:line="127" w:lineRule="exact"/>
        <w:rPr>
          <w:rFonts w:ascii="Times New Roman" w:cs="Times New Roman" w:eastAsia="Times New Roman" w:hAnsi="Times New Roman"/>
          <w:sz w:val="12"/>
          <w:szCs w:val="12"/>
          <w:color w:val="auto"/>
        </w:rPr>
      </w:pPr>
    </w:p>
    <w:p>
      <w:pPr>
        <w:ind w:left="640" w:right="759" w:firstLine="693"/>
        <w:spacing w:after="0" w:line="249" w:lineRule="auto"/>
        <w:tabs>
          <w:tab w:leader="none" w:pos="1508"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else herein to the contrary, the Stockholder may, at any time, Transfer Shares (i) by will or other testamentary document or by intestacy, (ii) to any investment fund or other entity controlled or managed by the Stockholder, (iii) to any member of the Stockholder’s immediate family, (iv) to any trust for the direct or indirect benefit of the Stockholder or the immediate family of the Stockholder or otherwise for estate planning purposes, (v) pursuant to a qualified domestic order, (vi) to any charitable organization, (vii) by effecting a “net exercise” of an Aspen Option or a “net settlement” of an Aspen Restricted Stock Unit in which</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26" w:name="page127"/>
    <w:bookmarkEnd w:id="126"/>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Aspen holds back shares of Aspen Common Stock otherwise issuable (but not the sale of already-owned shares of Aspen Common Stock) either to pay the exercise price upon the exercise of an Aspen Option or settlement of an Aspen Restricted Stock Unit or to satisfy the Stockholder’s tax withholding obligation upon the exercise of an Aspen Option or settlement of an Aspen Restricted Stock Unit, in each case as permitted pursuant to the terms of any Aspen Employee Plan and (viii) with respect to any Stockholder that is an entity, to any Affiliate of such Stockholder or to one or more partners or members of such Stockholder;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(x) such Transferred Shares shall continue to be bound by this Agreement and (y) the applicable transferee shall have executed and delivered to Aspen and the Company a support agreement substantially identical to this Agreement upon consummation of the Transfer.</w:t>
      </w:r>
    </w:p>
    <w:p>
      <w:pPr>
        <w:spacing w:after="0" w:line="136" w:lineRule="exact"/>
        <w:rPr>
          <w:sz w:val="20"/>
          <w:szCs w:val="20"/>
          <w:color w:val="auto"/>
        </w:rPr>
      </w:pPr>
    </w:p>
    <w:p>
      <w:pPr>
        <w:ind w:left="1080" w:hanging="133"/>
        <w:spacing w:after="0"/>
        <w:tabs>
          <w:tab w:leader="none" w:pos="108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 Shares</w:t>
      </w:r>
      <w:r>
        <w:rPr>
          <w:rFonts w:ascii="Times New Roman" w:cs="Times New Roman" w:eastAsia="Times New Roman" w:hAnsi="Times New Roman"/>
          <w:sz w:val="13"/>
          <w:szCs w:val="13"/>
          <w:color w:val="auto"/>
        </w:rPr>
        <w:t>. The Stockholder covenants to the Company as follows:</w:t>
      </w:r>
    </w:p>
    <w:p>
      <w:pPr>
        <w:spacing w:after="0" w:line="153"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08"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Expiration Date, at any meeting of the stockholders of Aspen, however called, and at every adjournment or postponement thereof, and on every action or approval by written consent of the stockholders of Aspen with respect to the Aspen Stockholder Matters, the Stockholder shall be present (in person or by proxy) and vote, or exercise its right to consent with respect to, all Shares held by the Stockholder (A) in favor of the Aspen Stockholder Matters, (B) against any Acquisition Proposal, and (C) in favor of an adjournment of the meeting of the stockholders of Aspen, if necessary, to solicit additional proxies if there are not sufficient votes in favor of the Aspen Stockholder Matters.</w:t>
      </w:r>
    </w:p>
    <w:p>
      <w:pPr>
        <w:spacing w:after="0" w:line="134" w:lineRule="exact"/>
        <w:rPr>
          <w:rFonts w:ascii="Times New Roman" w:cs="Times New Roman" w:eastAsia="Times New Roman" w:hAnsi="Times New Roman"/>
          <w:sz w:val="13"/>
          <w:szCs w:val="13"/>
          <w:color w:val="auto"/>
        </w:rPr>
      </w:pPr>
    </w:p>
    <w:p>
      <w:pPr>
        <w:ind w:left="640" w:right="739" w:firstLine="693"/>
        <w:spacing w:after="0" w:line="309" w:lineRule="auto"/>
        <w:tabs>
          <w:tab w:leader="none" w:pos="1515"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2"/>
          <w:szCs w:val="12"/>
          <w:u w:val="single" w:color="auto"/>
          <w:color w:val="auto"/>
        </w:rPr>
        <w:t>Section 3.</w:t>
      </w:r>
    </w:p>
    <w:p>
      <w:pPr>
        <w:spacing w:after="0" w:line="99" w:lineRule="exact"/>
        <w:rPr>
          <w:rFonts w:ascii="Times New Roman" w:cs="Times New Roman" w:eastAsia="Times New Roman" w:hAnsi="Times New Roman"/>
          <w:sz w:val="12"/>
          <w:szCs w:val="12"/>
          <w:color w:val="auto"/>
        </w:rPr>
      </w:pPr>
    </w:p>
    <w:p>
      <w:pPr>
        <w:ind w:left="640" w:right="719" w:firstLine="693"/>
        <w:spacing w:after="0" w:line="251" w:lineRule="auto"/>
        <w:tabs>
          <w:tab w:leader="none" w:pos="1508"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stock split, stock dividend or distribution, or any change in the capital stock of Aspen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076"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Action in Stockholder Capacity Only</w:t>
      </w:r>
      <w:r>
        <w:rPr>
          <w:rFonts w:ascii="Times New Roman" w:cs="Times New Roman" w:eastAsia="Times New Roman" w:hAnsi="Times New Roman"/>
          <w:sz w:val="13"/>
          <w:szCs w:val="13"/>
          <w:color w:val="auto"/>
        </w:rPr>
        <w:t>. Notwithstanding anything in this Agreement to the contrary, the Stockholder is entering into this Agreement solely in the Stockholder’s capacity as a record holder and beneficial owner, as applicable, of its Shares and not in the Stockholder’s capacity as a director or officer of Aspen,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27" w:name="page128"/>
    <w:bookmarkEnd w:id="127"/>
    <w:p>
      <w:pPr>
        <w:ind w:left="640" w:right="699" w:firstLine="307"/>
        <w:spacing w:after="0" w:line="268" w:lineRule="auto"/>
        <w:tabs>
          <w:tab w:leader="none" w:pos="1076"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Irrevocable Proxy</w:t>
      </w:r>
      <w:r>
        <w:rPr>
          <w:rFonts w:ascii="Times New Roman" w:cs="Times New Roman" w:eastAsia="Times New Roman" w:hAnsi="Times New Roman"/>
          <w:sz w:val="12"/>
          <w:szCs w:val="12"/>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at any applicable meeting of the stockholders of Aspen or pursuant to any applicable written consent of the stockholders of Aspen, the Stockholder shall be deemed to have irrevocably granted to, and appointed, Aspen, and any individual designated in writing by Aspen, and each of them individually, as his, her or its proxy and attorney-in-fact (with full power of substitution), for and in its name, place and stead, to vote his, her or its Shares in any action by written consent of Aspen stockholders or at any meeting of the Aspen stockholders called with respect to any of the matters specified in, and in accordance and consistent with,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of this Agreement. Aspen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127" w:lineRule="exact"/>
        <w:rPr>
          <w:rFonts w:ascii="Times New Roman" w:cs="Times New Roman" w:eastAsia="Times New Roman" w:hAnsi="Times New Roman"/>
          <w:sz w:val="12"/>
          <w:szCs w:val="12"/>
          <w:color w:val="auto"/>
        </w:rPr>
      </w:pPr>
    </w:p>
    <w:p>
      <w:pPr>
        <w:ind w:left="640" w:right="879" w:firstLine="307"/>
        <w:spacing w:after="0" w:line="267" w:lineRule="auto"/>
        <w:tabs>
          <w:tab w:leader="none" w:pos="1076"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 From and after the date hereof until the Expiration Date, the Stockholder will not, and will not permit any entity under such Stockholder’s control to, take any action that Aspen is prohibited from taking pursuant to Section 5.4 of the Merger Agreement.</w:t>
      </w:r>
    </w:p>
    <w:p>
      <w:pPr>
        <w:spacing w:after="0" w:line="122" w:lineRule="exact"/>
        <w:rPr>
          <w:rFonts w:ascii="Times New Roman" w:cs="Times New Roman" w:eastAsia="Times New Roman" w:hAnsi="Times New Roman"/>
          <w:sz w:val="13"/>
          <w:szCs w:val="13"/>
          <w:color w:val="auto"/>
        </w:rPr>
      </w:pPr>
    </w:p>
    <w:p>
      <w:pPr>
        <w:ind w:left="640" w:right="719" w:firstLine="307"/>
        <w:spacing w:after="0" w:line="249" w:lineRule="auto"/>
        <w:tabs>
          <w:tab w:leader="none" w:pos="1076"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Documentation and Information</w:t>
      </w:r>
      <w:r>
        <w:rPr>
          <w:rFonts w:ascii="Times New Roman" w:cs="Times New Roman" w:eastAsia="Times New Roman" w:hAnsi="Times New Roman"/>
          <w:sz w:val="13"/>
          <w:szCs w:val="13"/>
          <w:color w:val="auto"/>
        </w:rPr>
        <w:t xml:space="preserve">. The Stockholder shall permit and hereby authorizes Aspen and the Company to publish and disclose in all documents and schedules filed with the SEC, and any press release or 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076"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Exercise of Appraisal Rights; Waivers</w:t>
      </w:r>
      <w:r>
        <w:rPr>
          <w:rFonts w:ascii="Times New Roman" w:cs="Times New Roman" w:eastAsia="Times New Roman" w:hAnsi="Times New Roman"/>
          <w:sz w:val="13"/>
          <w:szCs w:val="13"/>
          <w:color w:val="auto"/>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Aspen Board, breaches any fiduciary duty of the Aspen Board or any member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Stockholder may defend against, contest or settle any such action, claim, suit or cause of action brought against the Stockholder that relates solely to the Stockholder’s capacity as a director, officer or securityholder of Aspen.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28" w:name="page129"/>
    <w:bookmarkEnd w:id="128"/>
    <w:p>
      <w:pPr>
        <w:ind w:left="1080" w:hanging="133"/>
        <w:spacing w:after="0"/>
        <w:tabs>
          <w:tab w:leader="none" w:pos="108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Representations and Warranties of the Stockholder</w:t>
      </w:r>
      <w:r>
        <w:rPr>
          <w:rFonts w:ascii="Times New Roman" w:cs="Times New Roman" w:eastAsia="Times New Roman" w:hAnsi="Times New Roman"/>
          <w:sz w:val="13"/>
          <w:szCs w:val="13"/>
          <w:color w:val="auto"/>
        </w:rPr>
        <w:t>. The Stockholder hereby represents and warrants to the Company as follows:</w:t>
      </w:r>
    </w:p>
    <w:p>
      <w:pPr>
        <w:spacing w:after="0" w:line="153"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08"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The Stockholder is the beneficial or record owner of the shares of Aspen Common Stock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(each of which shall be deemed to be “held” by the Stockholder for purposes of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unless otherwise expressly stated with respect to any shares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free and clear of any and all Encumbrances (except for any Encumbrance that may be imposed pursuant to this Agreement or any lock-up agreement entered into by and between the Stockholder, the Company and Aspen); and (ii) the Stockholder does not beneficially own any securities of Aspen other than the shares of Aspen Common Stock and rights to purchase shares Aspen Common Stock set forth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879" w:firstLine="693"/>
        <w:spacing w:after="0" w:line="309" w:lineRule="auto"/>
        <w:tabs>
          <w:tab w:leader="none" w:pos="1515"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Stockholder that is an entity, the Stockholder is duly organized, validly existing and in good standing under the laws of the jurisdiction of its formation and is qualified to conduct its business in those jurisdictions necessary to perform this Agreement.</w:t>
      </w:r>
    </w:p>
    <w:p>
      <w:pPr>
        <w:spacing w:after="0" w:line="99" w:lineRule="exact"/>
        <w:rPr>
          <w:rFonts w:ascii="Times New Roman" w:cs="Times New Roman" w:eastAsia="Times New Roman" w:hAnsi="Times New Roman"/>
          <w:sz w:val="12"/>
          <w:szCs w:val="12"/>
          <w:color w:val="auto"/>
        </w:rPr>
      </w:pPr>
    </w:p>
    <w:p>
      <w:pPr>
        <w:ind w:left="640" w:right="679" w:firstLine="693"/>
        <w:spacing w:after="0" w:line="247" w:lineRule="auto"/>
        <w:tabs>
          <w:tab w:leader="none" w:pos="1508"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46" w:lineRule="auto"/>
        <w:tabs>
          <w:tab w:leader="none" w:pos="1515"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08"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249" w:lineRule="auto"/>
        <w:tabs>
          <w:tab w:leader="none" w:pos="1494"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29" w:name="page130"/>
    <w:bookmarkEnd w:id="129"/>
    <w:p>
      <w:pPr>
        <w:ind w:left="640" w:right="779" w:firstLine="693"/>
        <w:spacing w:after="0" w:line="246" w:lineRule="auto"/>
        <w:tabs>
          <w:tab w:leader="none" w:pos="1515"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w:t>
      </w:r>
    </w:p>
    <w:p>
      <w:pPr>
        <w:spacing w:after="0" w:line="138" w:lineRule="exact"/>
        <w:rPr>
          <w:rFonts w:ascii="Times New Roman" w:cs="Times New Roman" w:eastAsia="Times New Roman" w:hAnsi="Times New Roman"/>
          <w:sz w:val="13"/>
          <w:szCs w:val="13"/>
          <w:color w:val="auto"/>
        </w:rPr>
      </w:pPr>
    </w:p>
    <w:p>
      <w:pPr>
        <w:jc w:val="both"/>
        <w:ind w:left="640" w:right="699" w:firstLine="693"/>
        <w:spacing w:after="0" w:line="251" w:lineRule="auto"/>
        <w:tabs>
          <w:tab w:leader="none" w:pos="1515"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132" w:lineRule="exact"/>
        <w:rPr>
          <w:rFonts w:ascii="Times New Roman" w:cs="Times New Roman" w:eastAsia="Times New Roman" w:hAnsi="Times New Roman"/>
          <w:sz w:val="13"/>
          <w:szCs w:val="13"/>
          <w:color w:val="auto"/>
        </w:rPr>
      </w:pPr>
    </w:p>
    <w:p>
      <w:pPr>
        <w:ind w:left="640" w:right="639" w:firstLine="307"/>
        <w:spacing w:after="0" w:line="274" w:lineRule="auto"/>
        <w:tabs>
          <w:tab w:leader="none" w:pos="1139"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shall terminate and shall cease to be of any further force or effect as of the earlier of (a) such date and time as the Merger Agreement shall have been terminated pursuant to the terms thereof, or (b) the Effective Time (the “</w:t>
      </w:r>
      <w:r>
        <w:rPr>
          <w:rFonts w:ascii="Times New Roman" w:cs="Times New Roman" w:eastAsia="Times New Roman" w:hAnsi="Times New Roman"/>
          <w:sz w:val="12"/>
          <w:szCs w:val="12"/>
          <w:u w:val="single" w:color="auto"/>
          <w:color w:val="auto"/>
        </w:rPr>
        <w:t>Expiration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that</w:t>
      </w:r>
    </w:p>
    <w:p>
      <w:pPr>
        <w:spacing w:after="0" w:line="1" w:lineRule="exact"/>
        <w:rPr>
          <w:rFonts w:ascii="Times New Roman" w:cs="Times New Roman" w:eastAsia="Times New Roman" w:hAnsi="Times New Roman"/>
          <w:sz w:val="12"/>
          <w:szCs w:val="12"/>
          <w:color w:val="auto"/>
        </w:rPr>
      </w:pPr>
    </w:p>
    <w:p>
      <w:pPr>
        <w:ind w:left="640" w:right="919" w:hanging="3"/>
        <w:spacing w:after="0" w:line="246" w:lineRule="auto"/>
        <w:tabs>
          <w:tab w:leader="none" w:pos="791"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shall survive the termination of this Agreement, and (ii) the termination of this Agreement shall not relieve any party hereto from any liability for fraud or for any material and willful breach of this Agreement prior to the Effective Time.</w:t>
      </w:r>
    </w:p>
    <w:p>
      <w:pPr>
        <w:spacing w:after="0" w:line="135" w:lineRule="exact"/>
        <w:rPr>
          <w:rFonts w:ascii="Times New Roman" w:cs="Times New Roman" w:eastAsia="Times New Roman" w:hAnsi="Times New Roman"/>
          <w:sz w:val="13"/>
          <w:szCs w:val="13"/>
          <w:color w:val="auto"/>
        </w:rPr>
      </w:pPr>
    </w:p>
    <w:p>
      <w:pPr>
        <w:ind w:left="640" w:right="779" w:firstLine="307"/>
        <w:spacing w:after="0" w:line="255" w:lineRule="auto"/>
        <w:tabs>
          <w:tab w:leader="none" w:pos="1134" w:val="left"/>
        </w:tabs>
        <w:numPr>
          <w:ilvl w:val="1"/>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w:t>
      </w:r>
    </w:p>
    <w:p>
      <w:pPr>
        <w:spacing w:after="0" w:line="130"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1"/>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 Provisions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08" w:val="left"/>
        </w:tabs>
        <w:numPr>
          <w:ilvl w:val="2"/>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Amendments</w:t>
      </w:r>
      <w:r>
        <w:rPr>
          <w:rFonts w:ascii="Times New Roman" w:cs="Times New Roman" w:eastAsia="Times New Roman" w:hAnsi="Times New Roman"/>
          <w:sz w:val="13"/>
          <w:szCs w:val="13"/>
          <w:color w:val="auto"/>
        </w:rPr>
        <w:t>. No amendment of this Agreement shall be effective against any party unless it shall be in writing and signed by each of the parties hereto.</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15" w:val="left"/>
        </w:tabs>
        <w:numPr>
          <w:ilvl w:val="2"/>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 Counterparts; Exchanges by Electronic Transmission</w:t>
      </w:r>
      <w:r>
        <w:rPr>
          <w:rFonts w:ascii="Times New Roman" w:cs="Times New Roman" w:eastAsia="Times New Roman" w:hAnsi="Times New Roman"/>
          <w:sz w:val="13"/>
          <w:szCs w:val="13"/>
          <w:color w:val="auto"/>
        </w:rPr>
        <w:t>.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30" w:name="page131"/>
    <w:bookmarkEnd w:id="130"/>
    <w:p>
      <w:pPr>
        <w:ind w:left="640" w:right="659" w:firstLine="693"/>
        <w:spacing w:after="0" w:line="246" w:lineRule="auto"/>
        <w:tabs>
          <w:tab w:leader="none" w:pos="150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Applicable Law; Jurisdiction.</w:t>
      </w:r>
      <w:r>
        <w:rPr>
          <w:rFonts w:ascii="Times New Roman" w:cs="Times New Roman" w:eastAsia="Times New Roman" w:hAnsi="Times New Roman"/>
          <w:sz w:val="13"/>
          <w:szCs w:val="13"/>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12(c)</w:t>
      </w:r>
      <w:r>
        <w:rPr>
          <w:rFonts w:ascii="Times New Roman" w:cs="Times New Roman" w:eastAsia="Times New Roman" w:hAnsi="Times New Roman"/>
          <w:sz w:val="13"/>
          <w:szCs w:val="13"/>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12(k)</w:t>
      </w:r>
      <w:r>
        <w:rPr>
          <w:rFonts w:ascii="Times New Roman" w:cs="Times New Roman" w:eastAsia="Times New Roman" w:hAnsi="Times New Roman"/>
          <w:sz w:val="13"/>
          <w:szCs w:val="13"/>
          <w:color w:val="auto"/>
        </w:rPr>
        <w:t xml:space="preserve"> of this Agreement and (vi) irrevocably and unconditionally waives the right to trial by jury.</w:t>
      </w:r>
    </w:p>
    <w:p>
      <w:pPr>
        <w:spacing w:after="0" w:line="137" w:lineRule="exact"/>
        <w:rPr>
          <w:rFonts w:ascii="Times New Roman" w:cs="Times New Roman" w:eastAsia="Times New Roman" w:hAnsi="Times New Roman"/>
          <w:sz w:val="13"/>
          <w:szCs w:val="13"/>
          <w:color w:val="auto"/>
        </w:rPr>
      </w:pPr>
    </w:p>
    <w:p>
      <w:pPr>
        <w:ind w:left="640" w:right="719" w:firstLine="693"/>
        <w:spacing w:after="0" w:line="248" w:lineRule="auto"/>
        <w:tabs>
          <w:tab w:leader="none" w:pos="1515"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cs="Times New Roman" w:eastAsia="Times New Roman" w:hAnsi="Times New Roman"/>
          <w:sz w:val="13"/>
          <w:szCs w:val="13"/>
          <w:u w:val="single" w:color="auto"/>
          <w:color w:val="auto"/>
        </w:rPr>
        <w:t>Section 12(d)</w:t>
      </w:r>
      <w:r>
        <w:rPr>
          <w:rFonts w:ascii="Times New Roman" w:cs="Times New Roman" w:eastAsia="Times New Roman" w:hAnsi="Times New Roman"/>
          <w:sz w:val="13"/>
          <w:szCs w:val="13"/>
          <w:color w:val="auto"/>
        </w:rPr>
        <w:t xml:space="preserve"> is void.</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 Party Rights</w:t>
      </w:r>
      <w:r>
        <w:rPr>
          <w:rFonts w:ascii="Times New Roman" w:cs="Times New Roman" w:eastAsia="Times New Roman" w:hAnsi="Times New Roman"/>
          <w:sz w:val="13"/>
          <w:szCs w:val="13"/>
          <w:color w:val="auto"/>
        </w:rPr>
        <w:t>. This Agreement is not intended to, and shall not, confer upon any other person any rights or remedies hereunder other than the parties hereto to the extent expressly set forth herein.</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494"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31" w:name="page132"/>
    <w:bookmarkEnd w:id="131"/>
    <w:p>
      <w:pPr>
        <w:ind w:left="640" w:right="679" w:firstLine="693"/>
        <w:spacing w:after="0" w:line="245" w:lineRule="auto"/>
        <w:tabs>
          <w:tab w:leader="none" w:pos="1515"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40"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487"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cs="Times New Roman" w:eastAsia="Times New Roman" w:hAnsi="Times New Roman"/>
          <w:sz w:val="13"/>
          <w:szCs w:val="13"/>
          <w:u w:val="single" w:color="auto"/>
          <w:color w:val="auto"/>
        </w:rPr>
        <w:t>Section 12(i)</w:t>
      </w:r>
      <w:r>
        <w:rPr>
          <w:rFonts w:ascii="Times New Roman" w:cs="Times New Roman" w:eastAsia="Times New Roman" w:hAnsi="Times New Roman"/>
          <w:sz w:val="13"/>
          <w:szCs w:val="13"/>
          <w:color w:val="auto"/>
        </w:rPr>
        <w: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32" w:name="page133"/>
    <w:bookmarkEnd w:id="132"/>
    <w:p>
      <w:pPr>
        <w:ind w:left="640" w:right="679" w:firstLine="693"/>
        <w:spacing w:after="0" w:line="246" w:lineRule="auto"/>
        <w:tabs>
          <w:tab w:leader="none" w:pos="1487"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Interpretation</w:t>
      </w:r>
      <w:r>
        <w:rPr>
          <w:rFonts w:ascii="Times New Roman" w:cs="Times New Roman" w:eastAsia="Times New Roman" w:hAnsi="Times New Roman"/>
          <w:sz w:val="13"/>
          <w:szCs w:val="13"/>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[Remainder of Page Left Intentionally Blank]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33" w:name="page134"/>
    <w:bookmarkEnd w:id="133"/>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Tectonic Therapeutic, Inc.</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ASPEN: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AVROBIO, Inc.</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[STOCKHOLDER],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his/her capacity as the Stockholder:</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-7620</wp:posOffset>
            </wp:positionV>
            <wp:extent cx="168465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84655"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75565</wp:posOffset>
            </wp:positionV>
            <wp:extent cx="127571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571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213995</wp:posOffset>
            </wp:positionV>
            <wp:extent cx="12757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571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352425</wp:posOffset>
            </wp:positionV>
            <wp:extent cx="127571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57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75565</wp:posOffset>
            </wp:positionV>
            <wp:extent cx="127571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5715" cy="5715"/>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A</w:t>
      </w:r>
    </w:p>
    <w:p>
      <w:pPr>
        <w:sectPr>
          <w:pgSz w:w="11900" w:h="16838" w:orient="portrait"/>
          <w:cols w:equalWidth="0" w:num="1">
            <w:col w:w="9019"/>
          </w:cols>
          <w:pgMar w:left="1440" w:top="231" w:right="1440" w:bottom="1440" w:gutter="0" w:footer="0" w:header="0"/>
        </w:sectPr>
      </w:pPr>
    </w:p>
    <w:bookmarkStart w:id="135" w:name="page136"/>
    <w:bookmarkEnd w:id="13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LOCK-UP AGREEMENT</w:t>
      </w:r>
    </w:p>
    <w:p>
      <w:pPr>
        <w:spacing w:after="0" w:line="15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2"/>
          <w:szCs w:val="12"/>
          <w:color w:val="auto"/>
        </w:rPr>
        <w:t>[_____], 2024</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AVROBIO,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100 Technology Square, 6th Floor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Cambridge, Massachusetts 02139</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78"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The undersigned signatory of this lock-up agreement (this “</w:t>
      </w:r>
      <w:r>
        <w:rPr>
          <w:rFonts w:ascii="Times New Roman" w:cs="Times New Roman" w:eastAsia="Times New Roman" w:hAnsi="Times New Roman"/>
          <w:sz w:val="13"/>
          <w:szCs w:val="13"/>
          <w:u w:val="single" w:color="auto"/>
          <w:color w:val="auto"/>
        </w:rPr>
        <w:t>Lock-Up Agreement</w:t>
      </w:r>
      <w:r>
        <w:rPr>
          <w:rFonts w:ascii="Times New Roman" w:cs="Times New Roman" w:eastAsia="Times New Roman" w:hAnsi="Times New Roman"/>
          <w:sz w:val="13"/>
          <w:szCs w:val="13"/>
          <w:color w:val="auto"/>
        </w:rPr>
        <w:t>”) understands that AVROBIO, Inc., a Delaware corporation (“</w:t>
      </w:r>
      <w:r>
        <w:rPr>
          <w:rFonts w:ascii="Times New Roman" w:cs="Times New Roman" w:eastAsia="Times New Roman" w:hAnsi="Times New Roman"/>
          <w:sz w:val="13"/>
          <w:szCs w:val="13"/>
          <w:u w:val="single" w:color="auto"/>
          <w:color w:val="auto"/>
        </w:rPr>
        <w:t>Aspen</w:t>
      </w:r>
      <w:r>
        <w:rPr>
          <w:rFonts w:ascii="Times New Roman" w:cs="Times New Roman" w:eastAsia="Times New Roman" w:hAnsi="Times New Roman"/>
          <w:sz w:val="13"/>
          <w:szCs w:val="13"/>
          <w:color w:val="auto"/>
        </w:rPr>
        <w:t>”), is entering into an Agreement and Plan of Merger, dated as of January 30, 2024 (as the same may be amended from time to time,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with Alpine Merger Subsidiary, Inc., a Delaware corporation and a wholly owned subsidiary of Aspen, and Tectonic Therapeutic,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Capitalized terms used but not otherwise defined herein shall have the respective meanings ascribed to such terms in the Merger Agreement.</w:t>
      </w:r>
    </w:p>
    <w:p>
      <w:pPr>
        <w:spacing w:after="0" w:line="134"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As a condition and inducement to each of Aspen and the Company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Aspen, the undersigned will not, during the period commencing upon the Closing and ending on the date that is 180 days after the Closing Date (the “</w:t>
      </w:r>
      <w:r>
        <w:rPr>
          <w:rFonts w:ascii="Times New Roman" w:cs="Times New Roman" w:eastAsia="Times New Roman" w:hAnsi="Times New Roman"/>
          <w:sz w:val="13"/>
          <w:szCs w:val="13"/>
          <w:u w:val="single" w:color="auto"/>
          <w:color w:val="auto"/>
        </w:rPr>
        <w:t>Restricted Period</w:t>
      </w:r>
      <w:r>
        <w:rPr>
          <w:rFonts w:ascii="Times New Roman" w:cs="Times New Roman" w:eastAsia="Times New Roman" w:hAnsi="Times New Roman"/>
          <w:sz w:val="13"/>
          <w:szCs w:val="13"/>
          <w:color w:val="auto"/>
        </w:rPr>
        <w:t>”):</w:t>
      </w:r>
    </w:p>
    <w:p>
      <w:pPr>
        <w:spacing w:after="0" w:line="57" w:lineRule="exact"/>
        <w:rPr>
          <w:sz w:val="20"/>
          <w:szCs w:val="20"/>
          <w:color w:val="auto"/>
        </w:rPr>
      </w:pPr>
    </w:p>
    <w:p>
      <w:pPr>
        <w:ind w:left="640" w:right="699" w:firstLine="307"/>
        <w:spacing w:after="0" w:line="246" w:lineRule="auto"/>
        <w:tabs>
          <w:tab w:leader="none" w:pos="1128"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offer, pledge, sell, contract to sell, sell any option or contract to purchase, purchase any option or contract to sell, grant any option, right or warrant to purchase, or otherwise transfer or dispose of, directly or indirectly, any shares of common stock, $0.0001 par value per share, of Aspen (“</w:t>
      </w:r>
      <w:r>
        <w:rPr>
          <w:rFonts w:ascii="Times New Roman" w:cs="Times New Roman" w:eastAsia="Times New Roman" w:hAnsi="Times New Roman"/>
          <w:sz w:val="13"/>
          <w:szCs w:val="13"/>
          <w:u w:val="single" w:color="auto"/>
          <w:color w:val="auto"/>
        </w:rPr>
        <w:t>Aspen Common Stock</w:t>
      </w:r>
      <w:r>
        <w:rPr>
          <w:rFonts w:ascii="Times New Roman" w:cs="Times New Roman" w:eastAsia="Times New Roman" w:hAnsi="Times New Roman"/>
          <w:sz w:val="13"/>
          <w:szCs w:val="13"/>
          <w:color w:val="auto"/>
        </w:rPr>
        <w:t>”) or any securities convertible into or exercisable or exchangeable for shares of Aspen Common Stock (including without limitation, (a) shares of Aspen Common Stock or such other securities of Aspen that may be deemed to be owned of record or beneficially (including holding as a custodian) by the undersigned in accordance with the rules and regulations of the SEC, (b) securities of Aspen which may be issued upon exercise of an option to purchase shares of Aspen Common Stock or warrant to purchase shares of Aspen Common Stock or settlement of a restricted stock unit or restricted stock award and (c) Aspen Common Stock or such other securities to be issued to the undersigned in connection with the Merger that are currently or hereafter owned of record or beneficially (including holding as a custodian) by the undersigned, except as set forth below (collectively, the “</w:t>
      </w:r>
      <w:r>
        <w:rPr>
          <w:rFonts w:ascii="Times New Roman" w:cs="Times New Roman" w:eastAsia="Times New Roman" w:hAnsi="Times New Roman"/>
          <w:sz w:val="13"/>
          <w:szCs w:val="13"/>
          <w:u w:val="single" w:color="auto"/>
          <w:color w:val="auto"/>
        </w:rPr>
        <w:t>Undersigned’s Shares</w:t>
      </w:r>
      <w:r>
        <w:rPr>
          <w:rFonts w:ascii="Times New Roman" w:cs="Times New Roman" w:eastAsia="Times New Roman" w:hAnsi="Times New Roman"/>
          <w:sz w:val="13"/>
          <w:szCs w:val="13"/>
          <w:color w:val="auto"/>
        </w:rPr>
        <w:t>”);</w:t>
      </w:r>
    </w:p>
    <w:p>
      <w:pPr>
        <w:spacing w:after="0" w:line="61" w:lineRule="exact"/>
        <w:rPr>
          <w:rFonts w:ascii="Times New Roman" w:cs="Times New Roman" w:eastAsia="Times New Roman" w:hAnsi="Times New Roman"/>
          <w:sz w:val="13"/>
          <w:szCs w:val="13"/>
          <w:color w:val="auto"/>
        </w:rPr>
      </w:pPr>
    </w:p>
    <w:p>
      <w:pPr>
        <w:jc w:val="both"/>
        <w:ind w:left="640" w:right="679" w:firstLine="307"/>
        <w:spacing w:after="0" w:line="255" w:lineRule="auto"/>
        <w:tabs>
          <w:tab w:leader="none" w:pos="1128"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Aspen Common Stock or other securities, in cash or otherwise;</w:t>
      </w:r>
    </w:p>
    <w:p>
      <w:pPr>
        <w:spacing w:after="0" w:line="54" w:lineRule="exact"/>
        <w:rPr>
          <w:rFonts w:ascii="Times New Roman" w:cs="Times New Roman" w:eastAsia="Times New Roman" w:hAnsi="Times New Roman"/>
          <w:sz w:val="13"/>
          <w:szCs w:val="13"/>
          <w:color w:val="auto"/>
        </w:rPr>
      </w:pPr>
    </w:p>
    <w:p>
      <w:pPr>
        <w:ind w:left="640" w:right="719" w:firstLine="307"/>
        <w:spacing w:after="0" w:line="255" w:lineRule="auto"/>
        <w:tabs>
          <w:tab w:leader="none" w:pos="1128"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demand for, or exercise any right with respect to, the registration of any shares of Aspen Common Stock or any security convertible into or exercisable or exchangeable for shares of Aspen Common Stock (other than such rights set forth in the Merger Agreement or the Subscription Agreement); or</w:t>
      </w:r>
    </w:p>
    <w:p>
      <w:pPr>
        <w:spacing w:after="0" w:line="5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disclose the intention to do any of the foregoing.</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restrictions and obligations contemplated by this Lock-Up Agreement shall not apply to:</w:t>
      </w:r>
    </w:p>
    <w:p>
      <w:pPr>
        <w:spacing w:after="0" w:line="78" w:lineRule="exact"/>
        <w:rPr>
          <w:sz w:val="20"/>
          <w:szCs w:val="20"/>
          <w:color w:val="auto"/>
        </w:rPr>
      </w:pPr>
    </w:p>
    <w:p>
      <w:pPr>
        <w:ind w:left="1120" w:hanging="173"/>
        <w:spacing w:after="0"/>
        <w:tabs>
          <w:tab w:leader="none" w:pos="1120"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the Undersigned’s Shares:</w:t>
      </w:r>
    </w:p>
    <w:p>
      <w:pPr>
        <w:spacing w:after="0" w:line="77"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to any person related to the undersigned (or related to an ultimate beneficial owner of the undersigned) by blood or adoption who is an immediate family member of the undersigned, or by marriage or domestic partnership (a “</w:t>
      </w:r>
      <w:r>
        <w:rPr>
          <w:rFonts w:ascii="Times New Roman" w:cs="Times New Roman" w:eastAsia="Times New Roman" w:hAnsi="Times New Roman"/>
          <w:sz w:val="13"/>
          <w:szCs w:val="13"/>
          <w:u w:val="single" w:color="auto"/>
          <w:color w:val="auto"/>
        </w:rPr>
        <w:t>Family Member</w:t>
      </w:r>
      <w:r>
        <w:rPr>
          <w:rFonts w:ascii="Times New Roman" w:cs="Times New Roman" w:eastAsia="Times New Roman" w:hAnsi="Times New Roman"/>
          <w:sz w:val="13"/>
          <w:szCs w:val="13"/>
          <w:color w:val="auto"/>
        </w:rPr>
        <w:t>”), or to a trust formed for the direct or indirect benefit of the undersigned or any of the undersigned’s Family Members, (B) to the undersigned’s estate, following the death of the undersigned, by will, intestacy or other operation of Law, (C) as a bona fide gift to a charitable organization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p>
      <w:pPr>
        <w:sectPr>
          <w:pgSz w:w="11900" w:h="16838" w:orient="portrait"/>
          <w:cols w:equalWidth="0" w:num="1">
            <w:col w:w="9019"/>
          </w:cols>
          <w:pgMar w:left="1440" w:top="229" w:right="1440" w:bottom="1440" w:gutter="0" w:footer="0" w:header="0"/>
        </w:sectPr>
      </w:pPr>
    </w:p>
    <w:bookmarkStart w:id="136" w:name="page137"/>
    <w:bookmarkEnd w:id="136"/>
    <w:p>
      <w:pPr>
        <w:ind w:left="640" w:right="659" w:firstLine="693"/>
        <w:spacing w:after="0" w:line="246" w:lineRule="auto"/>
        <w:tabs>
          <w:tab w:leader="none" w:pos="1515"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the undersigned is a </w:t>
      </w:r>
      <w:r>
        <w:rPr>
          <w:rFonts w:ascii="Times New Roman" w:cs="Times New Roman" w:eastAsia="Times New Roman" w:hAnsi="Times New Roman"/>
          <w:sz w:val="13"/>
          <w:szCs w:val="13"/>
          <w:u w:val="single" w:color="auto"/>
          <w:color w:val="auto"/>
        </w:rPr>
        <w:t>corporation, partnership, limited liability company or other business entity</w:t>
      </w:r>
      <w:r>
        <w:rPr>
          <w:rFonts w:ascii="Times New Roman" w:cs="Times New Roman" w:eastAsia="Times New Roman" w:hAnsi="Times New Roman"/>
          <w:sz w:val="13"/>
          <w:szCs w:val="13"/>
          <w:color w:val="auto"/>
        </w:rPr>
        <w:t>, (A) to another corporation, partnership, limited liability company or other business entity that is a direct or indirect affiliate (as defined under Rule 12b-2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of the undersigned, including investment funds or other business entities that control or manage, are under common control or management with, or are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to a charitable organization or a charitable contribution or otherwise to a trust or other entity for the direct or indirect benefit of a Family Member of a beneficial owner (as defined in Rule 13d-3 of the Exchange Act) of the Undersigned’s Shares or (D) transfers or dispositions not involving a change in beneficial ownership; or</w:t>
      </w:r>
    </w:p>
    <w:p>
      <w:pPr>
        <w:spacing w:after="0" w:line="61"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undersigned is a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to any grantors or beneficiaries of the trust;</w:t>
      </w:r>
    </w:p>
    <w:p>
      <w:pPr>
        <w:spacing w:after="0" w:line="154" w:lineRule="exact"/>
        <w:rPr>
          <w:sz w:val="20"/>
          <w:szCs w:val="20"/>
          <w:color w:val="auto"/>
        </w:rPr>
      </w:pPr>
    </w:p>
    <w:p>
      <w:pPr>
        <w:ind w:left="640" w:right="659"/>
        <w:spacing w:after="0" w:line="286"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case of any transfer or distribution pursuant to this clause (a), such transfer is not for value (other than transfers pursuant to 1(A), 1(E) or 2(A)) and each donee, heir, beneficiary or other transferee or distributee shall sign and deliver to Aspen a lock-up agreement in substantially the form of this Lock-Up Agreement with respect to the shares of Aspen Common Stock or such other securities that have been so transferred or distributed;</w:t>
      </w:r>
    </w:p>
    <w:p>
      <w:pPr>
        <w:spacing w:after="0" w:line="37" w:lineRule="exact"/>
        <w:rPr>
          <w:sz w:val="20"/>
          <w:szCs w:val="20"/>
          <w:color w:val="auto"/>
        </w:rPr>
      </w:pPr>
    </w:p>
    <w:p>
      <w:pPr>
        <w:ind w:left="640" w:right="679" w:firstLine="307"/>
        <w:spacing w:after="0" w:line="249" w:lineRule="auto"/>
        <w:tabs>
          <w:tab w:leader="none" w:pos="1128"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exercise of an option to purchase shares of Aspen Common Stock (including a net or cashless exercise of an option to purchase shares of Aspen Common Stock), and any related transfer of shares of Aspen Common Stock to Aspen for the purpose of paying the exercise price of such options or for paying taxes (including estimated taxes) due as a result of the exercise of such options;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the avoidance of doubt, the underlying shares of Aspen Common Stock issued in connection with such exercise shall continue to be subject to the restrictions on transfer set forth in this Lock-Up Agreement;</w:t>
      </w:r>
    </w:p>
    <w:p>
      <w:pPr>
        <w:spacing w:after="0" w:line="58"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21"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transfers to Aspen in connection with the net settlement of any restricted stock unit or other equity award that represents the right to receive in the future shares of Aspen Common Stock, settled in shares of Aspen Common Stock, to pay any tax withholding obligations;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the avoidance of doubt, the underlying shares of Aspen Common Stock shall continue to be subject to the restrictions on transfer set forth in this Lock-Up Agreement;</w:t>
      </w:r>
    </w:p>
    <w:p>
      <w:pPr>
        <w:spacing w:after="0" w:line="56" w:lineRule="exact"/>
        <w:rPr>
          <w:rFonts w:ascii="Times New Roman" w:cs="Times New Roman" w:eastAsia="Times New Roman" w:hAnsi="Times New Roman"/>
          <w:sz w:val="13"/>
          <w:szCs w:val="13"/>
          <w:color w:val="auto"/>
        </w:rPr>
      </w:pPr>
    </w:p>
    <w:p>
      <w:pPr>
        <w:ind w:left="640" w:right="1039" w:firstLine="307"/>
        <w:spacing w:after="0" w:line="267" w:lineRule="auto"/>
        <w:tabs>
          <w:tab w:leader="none" w:pos="1128"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establishment of a trading plan pursuant to Rule 10b5-1 under the Exchange Act for the transfer of shares of Aspen Common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plan does not provide for any transfers of shares of Aspen Common Stock during the Restricted Period;</w:t>
      </w:r>
    </w:p>
    <w:p>
      <w:pPr>
        <w:spacing w:after="0" w:line="46" w:lineRule="exact"/>
        <w:rPr>
          <w:rFonts w:ascii="Times New Roman" w:cs="Times New Roman" w:eastAsia="Times New Roman" w:hAnsi="Times New Roman"/>
          <w:sz w:val="13"/>
          <w:szCs w:val="13"/>
          <w:color w:val="auto"/>
        </w:rPr>
      </w:pPr>
    </w:p>
    <w:p>
      <w:pPr>
        <w:ind w:left="640" w:right="1019" w:firstLine="307"/>
        <w:spacing w:after="0" w:line="267" w:lineRule="auto"/>
        <w:tabs>
          <w:tab w:leader="none" w:pos="1121"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or sales by the undersigned of shares of Aspen Common Stock purchased by the undersigned on the open market or in a public offering by Aspen, in each case following the Closing Date;</w:t>
      </w:r>
    </w:p>
    <w:p>
      <w:pPr>
        <w:spacing w:after="0" w:line="46" w:lineRule="exact"/>
        <w:rPr>
          <w:rFonts w:ascii="Times New Roman" w:cs="Times New Roman" w:eastAsia="Times New Roman" w:hAnsi="Times New Roman"/>
          <w:sz w:val="13"/>
          <w:szCs w:val="13"/>
          <w:color w:val="auto"/>
        </w:rPr>
      </w:pPr>
    </w:p>
    <w:p>
      <w:pPr>
        <w:ind w:left="640" w:right="799" w:firstLine="307"/>
        <w:spacing w:after="0" w:line="248" w:lineRule="auto"/>
        <w:tabs>
          <w:tab w:leader="none" w:pos="1107"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transfers pursuant to a bona-fide third party tender offer, merger, consolidation or other similar transaction made to all holders of Aspen’s capital stock involving a change of control of Aspen (including entering into any lock-up, voting or similar agreement pursuant to which the undersigned may agree to transfer, sell, tender or otherwise dispose of shares of Aspen Common Stock (or any security convertible into or exercisable for Aspen Common Stock), or vote any shares of Aspen Common Stock in favor of any such transaction or taking any other action in connection with any such transaction),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that such tender offer, merger, consolidation or other such transaction is not completed, the Undersigned’s Shares shall remain subject to the restrictions contained in this Lock-Up Agreement;</w:t>
      </w:r>
    </w:p>
    <w:p>
      <w:pPr>
        <w:spacing w:after="0" w:line="58"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by the undersigned of shares of Aspen Common Stock to Aspen in connection with the termination of employment or other</w:t>
      </w:r>
    </w:p>
    <w:p>
      <w:pPr>
        <w:spacing w:after="0" w:line="15" w:lineRule="exact"/>
        <w:rPr>
          <w:rFonts w:ascii="Times New Roman" w:cs="Times New Roman" w:eastAsia="Times New Roman" w:hAnsi="Times New Roman"/>
          <w:sz w:val="13"/>
          <w:szCs w:val="13"/>
          <w:color w:val="auto"/>
        </w:rPr>
      </w:pPr>
    </w:p>
    <w:p>
      <w:pPr>
        <w:ind w:left="640" w:right="69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termination of the undersigned and pursuant to agreements in effect as of the Effective Time whereby Aspen has the option to repurchase such shares or securities;</w:t>
      </w:r>
    </w:p>
    <w:p>
      <w:pPr>
        <w:spacing w:after="0" w:line="59"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pursuant to an order of a court or regulatory agency;</w:t>
      </w:r>
    </w:p>
    <w:p>
      <w:pPr>
        <w:sectPr>
          <w:pgSz w:w="11900" w:h="16838" w:orient="portrait"/>
          <w:cols w:equalWidth="0" w:num="1">
            <w:col w:w="9019"/>
          </w:cols>
          <w:pgMar w:left="1440" w:top="231" w:right="1440" w:bottom="1440" w:gutter="0" w:footer="0" w:header="0"/>
        </w:sectPr>
      </w:pPr>
    </w:p>
    <w:bookmarkStart w:id="137" w:name="page138"/>
    <w:bookmarkEnd w:id="137"/>
    <w:p>
      <w:pPr>
        <w:ind w:left="640" w:right="839" w:firstLine="307"/>
        <w:spacing w:after="0" w:line="267" w:lineRule="auto"/>
        <w:tabs>
          <w:tab w:leader="none" w:pos="1100"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transfers or sales by the undersigned of shares of Aspen Common Stock issued pursuant to the Merger Agreement in respect of shares of the Company purchased from the Company in the Concurrent Investment immediately prior to the Specified Time; or</w:t>
      </w:r>
    </w:p>
    <w:p>
      <w:pPr>
        <w:spacing w:after="0" w:line="46"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or other transfers with the prior written consent of Aspen.</w:t>
      </w:r>
    </w:p>
    <w:p>
      <w:pPr>
        <w:spacing w:after="0" w:line="154" w:lineRule="exact"/>
        <w:rPr>
          <w:sz w:val="20"/>
          <w:szCs w:val="20"/>
          <w:color w:val="auto"/>
        </w:rPr>
      </w:pPr>
    </w:p>
    <w:p>
      <w:pPr>
        <w:ind w:left="640" w:right="719"/>
        <w:spacing w:after="0" w:line="246" w:lineRule="auto"/>
        <w:rPr>
          <w:sz w:val="20"/>
          <w:szCs w:val="20"/>
          <w:color w:val="auto"/>
        </w:rPr>
      </w:pPr>
      <w:r>
        <w:rPr>
          <w:rFonts w:ascii="Times New Roman" w:cs="Times New Roman" w:eastAsia="Times New Roman" w:hAnsi="Times New Roman"/>
          <w:sz w:val="13"/>
          <w:szCs w:val="13"/>
          <w:color w:val="auto"/>
        </w:rPr>
        <w:t xml:space="preserve">and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further, that, with respect to each of (b), (c), and (d) above, no filing by any party (including any donor, donee, transferor, transferee, distributor or distributee, as the case may be) under Section 16 of the Exchange Act or other public announcement shall be made voluntarily reporting a reduction in beneficial ownership of shares of Aspen Common Stock or in beneficial ownership of any securities convertible into or exercisable or exchangeable for Aspen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Aspen Common Stock in connection with such transfer or distribution, shall be required under applicable federal and state securities laws during the Restricted Period, such filing, report or announcement shall clearly indicate in the footnotes therein, in reasonable detail, a description of the circumstances of the transfer and that the shares remain subject to this Lock-Up Agreement.</w:t>
      </w:r>
    </w:p>
    <w:p>
      <w:pPr>
        <w:spacing w:after="0" w:line="139" w:lineRule="exact"/>
        <w:rPr>
          <w:sz w:val="20"/>
          <w:szCs w:val="20"/>
          <w:color w:val="auto"/>
        </w:rPr>
      </w:pPr>
    </w:p>
    <w:p>
      <w:pPr>
        <w:ind w:left="640" w:right="839"/>
        <w:spacing w:after="0" w:line="251" w:lineRule="auto"/>
        <w:rPr>
          <w:sz w:val="20"/>
          <w:szCs w:val="20"/>
          <w:color w:val="auto"/>
        </w:rPr>
      </w:pPr>
      <w:r>
        <w:rPr>
          <w:rFonts w:ascii="Times New Roman" w:cs="Times New Roman" w:eastAsia="Times New Roman" w:hAnsi="Times New Roman"/>
          <w:sz w:val="13"/>
          <w:szCs w:val="13"/>
          <w:color w:val="auto"/>
        </w:rPr>
        <w:t>For purposes of this Lock-Up Agreement, “change of control” shall mean the transfer (whether by tender offer, merger, consolidation or other similar transaction), in one transaction or a series of related transactions, to a person or group of affiliated persons, of Aspen’s voting securities if, after such transfer, Aspen’s stockholders as of immediately prior to such transfer do not hold a majority of the outstanding voting securities of Aspen (or the surviving entity).</w:t>
      </w:r>
    </w:p>
    <w:p>
      <w:pPr>
        <w:spacing w:after="0" w:line="133"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Aspen. In furtherance of the foregoing, the undersigned agrees that Aspen and any duly appointed transfer agent for the registration or transfer of the securities described herein are hereby authorized to decline to make any transfer of securities if such transfer would constitute a violation or breach of this Lock-Up Agreement. Aspen may cause the legend set forth below, or a legend substantially equivalent thereto, to be placed upon any certificate(s) or other documents, ledgers or instruments evidencing the undersigned’s ownership of Aspen Common Stock:</w:t>
      </w:r>
    </w:p>
    <w:p>
      <w:pPr>
        <w:spacing w:after="0" w:line="123"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THE SHARES REPRESENTED BY THIS CERTIFICATE ARE SUBJECT TO AND MAY ONLY BE TRANSFERRED IN COMPLIANCE WITH A LOCK-UP AGREEMENT, A COPY OF WHICH IS ON FILE AT THE PRINCIPAL OFFICE OF THE COMPANY.</w:t>
      </w:r>
    </w:p>
    <w:p>
      <w:pPr>
        <w:spacing w:after="0" w:line="122"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3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For the avoidance of doubt, this Lock-Up Agreement represents a contractual agreement between the parties hereto, and to the extent any term of this Lock-Up Agreement (as amended, supplemented, restated or otherwise modified from time to time) directly conflicts with the terms of Aspen’s bylaws, as amended, the terms of this Lock-Up Agreement shall control.</w:t>
      </w:r>
    </w:p>
    <w:p>
      <w:pPr>
        <w:spacing w:after="0" w:line="13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This Lock-Up Agreement shall terminate automatically, and the undersigned shall automatically be released from all restrictions and obligations under this Lock-Up Agreement upon the earlier of the (i) the expiration of the Restricted Period and (ii) if the Merger Agreement is terminated for any reason, upon the date of such termination. The undersigned understands that Aspen and the Company are proceeding with the transactions contemplated by the Merger Agreement in reliance upon this Lock-Up Agreement.</w:t>
      </w:r>
    </w:p>
    <w:p>
      <w:pPr>
        <w:sectPr>
          <w:pgSz w:w="11900" w:h="16838" w:orient="portrait"/>
          <w:cols w:equalWidth="0" w:num="1">
            <w:col w:w="9019"/>
          </w:cols>
          <w:pgMar w:left="1440" w:top="231" w:right="1440" w:bottom="1440" w:gutter="0" w:footer="0" w:header="0"/>
        </w:sectPr>
      </w:pPr>
    </w:p>
    <w:bookmarkStart w:id="138" w:name="page139"/>
    <w:bookmarkEnd w:id="138"/>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otherwise provided herein, any and all remedies herein expressly conferred upon Aspen and the Company will be deemed cumulative with and not exclusive of any other remedy conferred hereby, or by Law or equity, and the exercise by Aspen and/or the Company of any one remedy will not preclude the exercise of any other remedy. The undersigned agrees that irreparable damage for which monetary damages, even if available, would not be an adequate remedy, would occur to Aspen and the Company in the event that any provision of this Lock-Up Agreement was not performed in accordance with its specific terms (including failing to take such actions as are required of it hereunder to consummate this Agreement) or were otherwise breached. It is accordingly agreed that Aspen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Aspen and the Company are entitled at Law or in equity, and the undersigned waives any bond, surety or other security that might be required of Aspen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41" w:lineRule="exact"/>
        <w:rPr>
          <w:sz w:val="20"/>
          <w:szCs w:val="20"/>
          <w:color w:val="auto"/>
        </w:rPr>
      </w:pPr>
    </w:p>
    <w:p>
      <w:pPr>
        <w:ind w:left="640" w:right="659"/>
        <w:spacing w:after="0" w:line="269" w:lineRule="auto"/>
        <w:rPr>
          <w:sz w:val="20"/>
          <w:szCs w:val="20"/>
          <w:color w:val="auto"/>
        </w:rPr>
      </w:pPr>
      <w:r>
        <w:rPr>
          <w:rFonts w:ascii="Times New Roman" w:cs="Times New Roman" w:eastAsia="Times New Roman" w:hAnsi="Times New Roman"/>
          <w:sz w:val="12"/>
          <w:szCs w:val="12"/>
          <w:color w:val="auto"/>
        </w:rPr>
        <w:t>In the event that any holder of Aspen’s securities that are subject to a substantially similar agreement entered into by such holder, other than the undersigned, is permitted by Aspen to sell or otherwise transfer or dispose of shares of Aspen Common Stock for value other than as permitted by this or a substantially similar agreement entered into by such holder (whether in one or multiple releases or waivers), the same percentage of shares of Aspen Common Stock held by the undersigned shall be immediately and fully released on the same terms from any remaining restrictions set forth herein (the “</w:t>
      </w:r>
      <w:r>
        <w:rPr>
          <w:rFonts w:ascii="Times New Roman" w:cs="Times New Roman" w:eastAsia="Times New Roman" w:hAnsi="Times New Roman"/>
          <w:sz w:val="12"/>
          <w:szCs w:val="12"/>
          <w:u w:val="single" w:color="auto"/>
          <w:color w:val="auto"/>
        </w:rPr>
        <w:t>Pro-Rata Release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Pro-Rata Release shall not be applied unless and until permission has been granted by Aspen to an equity holder or equity holders to sell or otherwise transfer or dispose of all or a portion of such equity holder’s shares of Aspen Common Stock that, when combined with all such other such permissions and early releases granted to such equity holder, represents an amount which exceeds 1% of the number of shares of Aspen Common Stock originally subject to a substantially similar agreement. In the event of any Pro-Rata Release, Aspen shall promptly (and in any event within three (3) business days of such release) inform the undersigned of the terms of such Pro-Rata Release.</w:t>
      </w:r>
    </w:p>
    <w:p>
      <w:pPr>
        <w:spacing w:after="0" w:line="124"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Upon the release of any of the Undersigned’s Shares from this Lock-Up Agreement, Aspen shall reasonably cooperate with the undersigned to facilitate the timely preparation and delivery of certificates representing the Undersigned Shares without the restrictive legend above or the withdrawal of any stop transfer instructions by virtue of this Lock-Up Agreement.</w:t>
      </w:r>
    </w:p>
    <w:p>
      <w:pPr>
        <w:spacing w:after="0" w:line="130"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w:t>
      </w:r>
    </w:p>
    <w:p>
      <w:pPr>
        <w:spacing w:after="0" w:line="4" w:lineRule="exact"/>
        <w:rPr>
          <w:sz w:val="20"/>
          <w:szCs w:val="20"/>
          <w:color w:val="auto"/>
        </w:rPr>
      </w:pPr>
    </w:p>
    <w:p>
      <w:pPr>
        <w:ind w:left="640" w:right="639" w:hanging="3"/>
        <w:spacing w:after="0" w:line="269" w:lineRule="auto"/>
        <w:tabs>
          <w:tab w:leader="none" w:pos="819"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counterparts, each of which shall be deemed an original and all of which shall constitute one and the same instrument. The exchange of a fully executed Lock-Up Agreement (in counterparts or otherwise) by all parties by electronic transmission in PDF format shall be sufficient to bind the parties to the terms and conditions of this Lock-Up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ectPr>
          <w:pgSz w:w="11900" w:h="16838" w:orient="portrait"/>
          <w:cols w:equalWidth="0" w:num="1">
            <w:col w:w="9019"/>
          </w:cols>
          <w:pgMar w:left="1440" w:top="231" w:right="1440" w:bottom="1440" w:gutter="0" w:footer="0" w:header="0"/>
        </w:sectPr>
      </w:pPr>
    </w:p>
    <w:bookmarkStart w:id="139" w:name="page140"/>
    <w:bookmarkEnd w:id="139"/>
    <w:p>
      <w:pPr>
        <w:ind w:left="3820"/>
        <w:spacing w:after="0"/>
        <w:tabs>
          <w:tab w:leader="none" w:pos="526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                           </w:t>
      </w:r>
      <w:r>
        <w:rPr>
          <w:sz w:val="20"/>
          <w:szCs w:val="20"/>
          <w:color w:val="auto"/>
        </w:rPr>
        <w:tab/>
      </w:r>
      <w:r>
        <w:rPr>
          <w:rFonts w:ascii="Times New Roman" w:cs="Times New Roman" w:eastAsia="Times New Roman" w:hAnsi="Times New Roman"/>
          <w:sz w:val="12"/>
          <w:szCs w:val="12"/>
          <w:color w:val="auto"/>
        </w:rPr>
        <w:t>Very truly yours,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106045</wp:posOffset>
            </wp:positionV>
            <wp:extent cx="196151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113030</wp:posOffset>
            </wp:positionV>
            <wp:extent cx="196151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6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Signature (for entities):</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1270</wp:posOffset>
            </wp:positionV>
            <wp:extent cx="179959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to Lock-Up Agreement]</w:t>
      </w:r>
    </w:p>
    <w:p>
      <w:pPr>
        <w:sectPr>
          <w:pgSz w:w="11900" w:h="16838" w:orient="portrait"/>
          <w:cols w:equalWidth="0" w:num="1">
            <w:col w:w="9019"/>
          </w:cols>
          <w:pgMar w:left="1440" w:top="231" w:right="1440" w:bottom="1440" w:gutter="0" w:footer="0" w:header="0"/>
        </w:sectPr>
      </w:pPr>
    </w:p>
    <w:bookmarkStart w:id="140" w:name="page141"/>
    <w:bookmarkEnd w:id="14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Accepted and Agreed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AVROBIO, Inc.:</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Erik Ostrowski</w:t>
      </w:r>
    </w:p>
    <w:p>
      <w:pPr>
        <w:spacing w:after="0" w:line="15"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3"/>
          <w:szCs w:val="13"/>
          <w:color w:val="auto"/>
        </w:rPr>
        <w:t>Title:</w:t>
        <w:tab/>
        <w:t>Interim CEO, CFO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Accepted and Agreed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Tectonic Therapeutic, Inc.:</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to Lock-Up Agreement]</w:t>
      </w:r>
    </w:p>
    <w:p>
      <w:pPr>
        <w:sectPr>
          <w:pgSz w:w="11900" w:h="16838" w:orient="portrait"/>
          <w:cols w:equalWidth="0" w:num="1">
            <w:col w:w="9019"/>
          </w:cols>
          <w:pgMar w:left="1440" w:top="231" w:right="1440" w:bottom="1440" w:gutter="0" w:footer="0" w:header="0"/>
        </w:sectPr>
      </w:pPr>
    </w:p>
    <w:bookmarkStart w:id="141" w:name="page142"/>
    <w:bookmarkEnd w:id="14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10.4</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FINAL</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OF CONTINGENT VALUE RIGHTS AGREEMENT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 xml:space="preserve">THIS CONTINGENT VALUE RIGHTS AGREEMENT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[_____], 2024, is entered into by and among AVROBIO,</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[_____], a [_____] corporation (“</w:t>
      </w:r>
      <w:r>
        <w:rPr>
          <w:rFonts w:ascii="Times New Roman" w:cs="Times New Roman" w:eastAsia="Times New Roman" w:hAnsi="Times New Roman"/>
          <w:sz w:val="13"/>
          <w:szCs w:val="13"/>
          <w:b w:val="1"/>
          <w:bCs w:val="1"/>
          <w:color w:val="auto"/>
        </w:rPr>
        <w:t>Rights Agent</w:t>
      </w:r>
      <w:r>
        <w:rPr>
          <w:rFonts w:ascii="Times New Roman" w:cs="Times New Roman" w:eastAsia="Times New Roman" w:hAnsi="Times New Roman"/>
          <w:sz w:val="13"/>
          <w:szCs w:val="13"/>
          <w:color w:val="auto"/>
        </w:rPr>
        <w: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640" w:right="759"/>
        <w:spacing w:after="0" w:line="252"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Alpine Merger Subsidiary, Inc., a Delaware corporation and wholly-owned subsidiary of the Company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Tectonic Therapeutic, Inc., a Delaware corporation (“</w:t>
      </w:r>
      <w:r>
        <w:rPr>
          <w:rFonts w:ascii="Times New Roman" w:cs="Times New Roman" w:eastAsia="Times New Roman" w:hAnsi="Times New Roman"/>
          <w:sz w:val="13"/>
          <w:szCs w:val="13"/>
          <w:b w:val="1"/>
          <w:bCs w:val="1"/>
          <w:color w:val="auto"/>
        </w:rPr>
        <w:t>Tyrol</w:t>
      </w:r>
      <w:r>
        <w:rPr>
          <w:rFonts w:ascii="Times New Roman" w:cs="Times New Roman" w:eastAsia="Times New Roman" w:hAnsi="Times New Roman"/>
          <w:sz w:val="13"/>
          <w:szCs w:val="13"/>
          <w:color w:val="auto"/>
        </w:rPr>
        <w:t>”), have entered into an Agreement and Plan of Merger and Reorganization, dated as of January 30, 2024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pursuant to which Merger Sub will merge with and into Tyrol, with Tyrol surviving the Merger as a wholly-owned subsidiary of the Company;</w:t>
      </w:r>
    </w:p>
    <w:p>
      <w:pPr>
        <w:spacing w:after="0" w:line="130"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pursuant to the Merger Agreement, and in accordance with the terms and conditions thereof, the Company has agreed to provide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Holders (as defined herein) contingent value rights as hereinafter described; and</w:t>
      </w:r>
    </w:p>
    <w:p>
      <w:pPr>
        <w:spacing w:after="0" w:line="119" w:lineRule="exact"/>
        <w:rPr>
          <w:sz w:val="20"/>
          <w:szCs w:val="20"/>
          <w:color w:val="auto"/>
        </w:rPr>
      </w:pPr>
    </w:p>
    <w:p>
      <w:pPr>
        <w:jc w:val="both"/>
        <w:ind w:left="640" w:right="69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parties have done all things reasonably necessary to make the contingent value rights, when issued pursuant to the Merger Agreement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hereunder, the valid obligations of the Company and to make this Agreement a valid and binding agreement of the Company, in accordance with its terms.</w:t>
      </w:r>
    </w:p>
    <w:p>
      <w:pPr>
        <w:spacing w:after="0" w:line="126" w:lineRule="exact"/>
        <w:rPr>
          <w:sz w:val="20"/>
          <w:szCs w:val="20"/>
          <w:color w:val="auto"/>
        </w:rPr>
      </w:pPr>
    </w:p>
    <w:p>
      <w:pPr>
        <w:ind w:left="640" w:right="959"/>
        <w:spacing w:after="0" w:line="270"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premises and the consummation of the transactions referred to above, it is mutually covenanted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agreed, for the proportionate benefit of all Holders, as follows: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39" w:lineRule="exact"/>
        <w:rPr>
          <w:sz w:val="20"/>
          <w:szCs w:val="20"/>
          <w:color w:val="auto"/>
        </w:rPr>
      </w:pPr>
    </w:p>
    <w:p>
      <w:pPr>
        <w:ind w:left="640" w:right="9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Section 1.1 </w:t>
      </w:r>
      <w:r>
        <w:rPr>
          <w:rFonts w:ascii="Times New Roman" w:cs="Times New Roman" w:eastAsia="Times New Roman" w:hAnsi="Times New Roman"/>
          <w:sz w:val="13"/>
          <w:szCs w:val="13"/>
          <w:b w:val="1"/>
          <w:bCs w:val="1"/>
          <w:u w:val="single" w:color="auto"/>
          <w:color w:val="auto"/>
        </w:rPr>
        <w:t>Definitions</w:t>
      </w:r>
      <w:r>
        <w:rPr>
          <w:rFonts w:ascii="Times New Roman" w:cs="Times New Roman" w:eastAsia="Times New Roman" w:hAnsi="Times New Roman"/>
          <w:sz w:val="13"/>
          <w:szCs w:val="13"/>
          <w:color w:val="auto"/>
        </w:rPr>
        <w:t>. Capitalized terms used but not otherwise defined herein have the meanings ascribed thereto in the Merger Agreement.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following terms have the meanings ascribed to them as follows: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Acting Holders</w:t>
      </w:r>
      <w:r>
        <w:rPr>
          <w:rFonts w:ascii="Times New Roman" w:cs="Times New Roman" w:eastAsia="Times New Roman" w:hAnsi="Times New Roman"/>
          <w:sz w:val="13"/>
          <w:szCs w:val="13"/>
          <w:color w:val="auto"/>
        </w:rPr>
        <w:t>” means, at the time of determination, the Holders of more than 30% of the outstanding CVRs, as reflected on the CVR Register.</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Assignee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Calendar Quarter</w:t>
      </w:r>
      <w:r>
        <w:rPr>
          <w:rFonts w:ascii="Times New Roman" w:cs="Times New Roman" w:eastAsia="Times New Roman" w:hAnsi="Times New Roman"/>
          <w:sz w:val="13"/>
          <w:szCs w:val="13"/>
          <w:color w:val="auto"/>
        </w:rPr>
        <w:t xml:space="preserve">” means the successive periods of three (3) consecutive calendar months ending on March 31, June 30, September 30 or December 31, for so long as this Agreement is in effect;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however that (a) the first Calendar Quarter shall commence on the date of this Agreement and shall end on the first such occurrence of a March 31, June 30, September 30 or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spacing w:after="0" w:line="131"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Commercially Reasonable Efforts</w:t>
      </w:r>
      <w:r>
        <w:rPr>
          <w:rFonts w:ascii="Times New Roman" w:cs="Times New Roman" w:eastAsia="Times New Roman" w:hAnsi="Times New Roman"/>
          <w:sz w:val="13"/>
          <w:szCs w:val="13"/>
          <w:color w:val="auto"/>
        </w:rPr>
        <w:t>” means with respect to the disposition of the Company Pre-Closing Assets, carrying out those obligations and tasks in good faith following receipt of a bona fide indication of interest or proposal from a third party (verbal (provided that any such verbal offer must be subsequently delivered in writing, which the Company shall request) or written) (“</w:t>
      </w:r>
      <w:r>
        <w:rPr>
          <w:rFonts w:ascii="Times New Roman" w:cs="Times New Roman" w:eastAsia="Times New Roman" w:hAnsi="Times New Roman"/>
          <w:sz w:val="13"/>
          <w:szCs w:val="13"/>
          <w:b w:val="1"/>
          <w:bCs w:val="1"/>
          <w:color w:val="auto"/>
        </w:rPr>
        <w:t>Inbound Interest</w:t>
      </w:r>
      <w:r>
        <w:rPr>
          <w:rFonts w:ascii="Times New Roman" w:cs="Times New Roman" w:eastAsia="Times New Roman" w:hAnsi="Times New Roman"/>
          <w:sz w:val="13"/>
          <w:szCs w:val="13"/>
          <w:color w:val="auto"/>
        </w:rPr>
        <w:t>”) delivered or otherwise made known to an executive officer or business development officer of the Company, taking into account all commercial and other relevant factors that the Company, exercising good faith, would normally take into account with respect to a disposition of assets; provided that Commercially Reasonable Efforts shall not require the Company to initiate any bona fide sale process or other proactive efforts to identify potential counterparties with respect to any Company Pre-Closing Assets.</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means the common stock, $0.0001 par value, of the Company.</w:t>
      </w:r>
    </w:p>
    <w:p>
      <w:pPr>
        <w:sectPr>
          <w:pgSz w:w="11900" w:h="16838" w:orient="portrait"/>
          <w:cols w:equalWidth="0" w:num="1">
            <w:col w:w="9019"/>
          </w:cols>
          <w:pgMar w:left="1440" w:top="229" w:right="1440" w:bottom="1440" w:gutter="0" w:footer="0" w:header="0"/>
        </w:sectPr>
      </w:pPr>
    </w:p>
    <w:bookmarkStart w:id="142" w:name="page143"/>
    <w:bookmarkEnd w:id="142"/>
    <w:p>
      <w:pPr>
        <w:ind w:left="640" w:right="77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Pre-Closing Assets</w:t>
      </w:r>
      <w:r>
        <w:rPr>
          <w:rFonts w:ascii="Times New Roman" w:cs="Times New Roman" w:eastAsia="Times New Roman" w:hAnsi="Times New Roman"/>
          <w:sz w:val="13"/>
          <w:szCs w:val="13"/>
          <w:color w:val="auto"/>
        </w:rPr>
        <w:t>” means those assets of the Company, to the extent existing as of immediately prior to the Closing, relating to (a) the Company’s plato manufacturing platform, (b) the Company’s AVR-RD-01 (Fabry), AVR-RD-02 (Gaucher), and/or AVR-RD-03 (Pompe) research and development programs, and (c) the Company’s Intellectual Property set forth in Section 4.12(a) of the Aspen Disclosure Schedule.</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means a contingent contractual right of Holders to receive CVR Payments pursuant to the Merger Agreement and this Agreement.</w:t>
      </w:r>
    </w:p>
    <w:p>
      <w:pPr>
        <w:spacing w:after="0" w:line="154" w:lineRule="exact"/>
        <w:rPr>
          <w:sz w:val="20"/>
          <w:szCs w:val="20"/>
          <w:color w:val="auto"/>
        </w:rPr>
      </w:pPr>
    </w:p>
    <w:p>
      <w:pPr>
        <w:ind w:left="640" w:right="9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w:t>
      </w:r>
      <w:r>
        <w:rPr>
          <w:rFonts w:ascii="Times New Roman" w:cs="Times New Roman" w:eastAsia="Times New Roman" w:hAnsi="Times New Roman"/>
          <w:sz w:val="13"/>
          <w:szCs w:val="13"/>
          <w:color w:val="auto"/>
        </w:rPr>
        <w:t>” means a cash payment equal to eighty percent (80%) of the Net Proceeds received by the Company in a given Calendar Quarter during the CVR Term, with the remaining twenty percent (20%) being retained by the Company.</w:t>
      </w:r>
    </w:p>
    <w:p>
      <w:pPr>
        <w:spacing w:after="0" w:line="119" w:lineRule="exact"/>
        <w:rPr>
          <w:sz w:val="20"/>
          <w:szCs w:val="20"/>
          <w:color w:val="auto"/>
        </w:rPr>
      </w:pPr>
    </w:p>
    <w:p>
      <w:pPr>
        <w:ind w:left="640" w:right="9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Amount</w:t>
      </w:r>
      <w:r>
        <w:rPr>
          <w:rFonts w:ascii="Times New Roman" w:cs="Times New Roman" w:eastAsia="Times New Roman" w:hAnsi="Times New Roman"/>
          <w:sz w:val="13"/>
          <w:szCs w:val="13"/>
          <w:color w:val="auto"/>
        </w:rPr>
        <w:t>” means with respect to each CVR Payment and each Holder, an amount equal to such CVR Payment divided by the total number of CVRs and then multiplied by the total number of CVRs held by such Holder as reflected on the CVR Register.</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Period</w:t>
      </w:r>
      <w:r>
        <w:rPr>
          <w:rFonts w:ascii="Times New Roman" w:cs="Times New Roman" w:eastAsia="Times New Roman" w:hAnsi="Times New Roman"/>
          <w:sz w:val="13"/>
          <w:szCs w:val="13"/>
          <w:color w:val="auto"/>
        </w:rPr>
        <w:t>” means a period equal to a Calendar Quarter ending at any time after the effective date of a Disposition Agreement.</w:t>
      </w:r>
    </w:p>
    <w:p>
      <w:pPr>
        <w:spacing w:after="0" w:line="154" w:lineRule="exact"/>
        <w:rPr>
          <w:sz w:val="20"/>
          <w:szCs w:val="20"/>
          <w:color w:val="auto"/>
        </w:rPr>
      </w:pPr>
    </w:p>
    <w:p>
      <w:pPr>
        <w:ind w:left="640" w:right="7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Statement</w:t>
      </w:r>
      <w:r>
        <w:rPr>
          <w:rFonts w:ascii="Times New Roman" w:cs="Times New Roman" w:eastAsia="Times New Roman" w:hAnsi="Times New Roman"/>
          <w:sz w:val="13"/>
          <w:szCs w:val="13"/>
          <w:color w:val="auto"/>
        </w:rPr>
        <w:t>” means, for a given CVR Payment Period during the CVR Term, a written statement of the Company, signed on behalf of the Company, setting forth in reasonable detail the calculation of the applicable CVR Payment for such CVR Payment Period.</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“CVR Register</w:t>
      </w:r>
      <w:r>
        <w:rPr>
          <w:rFonts w:ascii="Times New Roman" w:cs="Times New Roman" w:eastAsia="Times New Roman" w:hAnsi="Times New Roman"/>
          <w:sz w:val="13"/>
          <w:szCs w:val="13"/>
          <w:color w:val="auto"/>
        </w:rPr>
        <w:t>” has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2.3(b)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Term</w:t>
      </w:r>
      <w:r>
        <w:rPr>
          <w:rFonts w:ascii="Times New Roman" w:cs="Times New Roman" w:eastAsia="Times New Roman" w:hAnsi="Times New Roman"/>
          <w:sz w:val="13"/>
          <w:szCs w:val="13"/>
          <w:color w:val="auto"/>
        </w:rPr>
        <w:t>” means the period beginning on the Closing and ending upon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this Agreement.</w:t>
      </w:r>
    </w:p>
    <w:p>
      <w:pPr>
        <w:spacing w:after="0" w:line="96" w:lineRule="exact"/>
        <w:rPr>
          <w:sz w:val="20"/>
          <w:szCs w:val="20"/>
          <w:color w:val="auto"/>
        </w:rPr>
      </w:pPr>
    </w:p>
    <w:p>
      <w:pPr>
        <w:ind w:left="640" w:right="69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Disposition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Dispose</w:t>
      </w:r>
      <w:r>
        <w:rPr>
          <w:rFonts w:ascii="Times New Roman" w:cs="Times New Roman" w:eastAsia="Times New Roman" w:hAnsi="Times New Roman"/>
          <w:sz w:val="12"/>
          <w:szCs w:val="12"/>
          <w:color w:val="auto"/>
        </w:rPr>
        <w:t>” means the direct or indirect sale, license, assignment, transfer, conveyance, grant of any option or other disposition of any Company Pre-Closing Asset by the Company or its Affiliates (including any such sale or disposition of equity securities in any Subsidiary established by the Company or its Affiliates to hold any right, title or interest in or to any Company Pre-Closing Asset), in each case, during the Disposition Period.</w:t>
      </w:r>
    </w:p>
    <w:p>
      <w:pPr>
        <w:spacing w:after="0" w:line="110" w:lineRule="exact"/>
        <w:rPr>
          <w:sz w:val="20"/>
          <w:szCs w:val="20"/>
          <w:color w:val="auto"/>
        </w:rPr>
      </w:pPr>
    </w:p>
    <w:p>
      <w:pPr>
        <w:ind w:left="640" w:right="10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Disposition Agreement</w:t>
      </w:r>
      <w:r>
        <w:rPr>
          <w:rFonts w:ascii="Times New Roman" w:cs="Times New Roman" w:eastAsia="Times New Roman" w:hAnsi="Times New Roman"/>
          <w:sz w:val="13"/>
          <w:szCs w:val="13"/>
          <w:color w:val="auto"/>
        </w:rPr>
        <w:t>” means a definitive written agreement providing for a transaction or series of transactions between the Company or its Affiliates and any Person who is not an Affiliate of the Company regarding a Disposition of the Company Pre-Closing Assets.</w:t>
      </w:r>
    </w:p>
    <w:p>
      <w:pPr>
        <w:spacing w:after="0" w:line="119"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Disposition Period</w:t>
      </w:r>
      <w:r>
        <w:rPr>
          <w:rFonts w:ascii="Times New Roman" w:cs="Times New Roman" w:eastAsia="Times New Roman" w:hAnsi="Times New Roman"/>
          <w:sz w:val="13"/>
          <w:szCs w:val="13"/>
          <w:color w:val="auto"/>
        </w:rPr>
        <w:t>” means the period beginning on the execution date of the Merger Agreement and ending on the date that is eighteen (18) months after the Closing Date.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DTC</w:t>
      </w:r>
      <w:r>
        <w:rPr>
          <w:rFonts w:ascii="Times New Roman" w:cs="Times New Roman" w:eastAsia="Times New Roman" w:hAnsi="Times New Roman"/>
          <w:sz w:val="13"/>
          <w:szCs w:val="13"/>
          <w:color w:val="auto"/>
        </w:rPr>
        <w:t>” means The Depository Trust Company.</w:t>
      </w:r>
    </w:p>
    <w:p>
      <w:pPr>
        <w:spacing w:after="0" w:line="154"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Gross Proceeds</w:t>
      </w:r>
      <w:r>
        <w:rPr>
          <w:rFonts w:ascii="Times New Roman" w:cs="Times New Roman" w:eastAsia="Times New Roman" w:hAnsi="Times New Roman"/>
          <w:sz w:val="12"/>
          <w:szCs w:val="12"/>
          <w:color w:val="auto"/>
        </w:rPr>
        <w:t>” means, without duplication, the sum of all cash consideration and the value of any marketable consideration actually received by the Company or any of its Affiliates during the CVR Term with respect to a Disposition, solely as such consideration relates to a Company Pre-Closing Asset. The value of any marketable securities (whether debt or equity) or other non-cash property constituting Gross Proceeds shall be determined as follows: (i) if a value was ascribed to any such securities or property in connection with such Disposition, such value so ascribed or (ii) if no value was ascribed, then (A) the value of securities for which there is an established public market shall be equal to the volume weighted average of their closing market prices for the thirty (30) trading days ending the day prior to the date of payment to, or receipt by the Company or its relevant Affiliate, and</w:t>
      </w:r>
    </w:p>
    <w:p>
      <w:pPr>
        <w:ind w:left="640" w:right="679" w:hanging="3"/>
        <w:spacing w:after="0" w:line="246" w:lineRule="auto"/>
        <w:tabs>
          <w:tab w:leader="none" w:pos="840"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securities that have no established public market and the value of consideration that consists of other non-cash property, shall be the fair market value thereof as of the date of payment to, or receipt by, the Company or its relevant Affiliate.</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means, at the relevant time, a Person in whose name CVRs are registered in the CVR Register.</w:t>
      </w:r>
    </w:p>
    <w:p>
      <w:pPr>
        <w:sectPr>
          <w:pgSz w:w="11900" w:h="16838" w:orient="portrait"/>
          <w:cols w:equalWidth="0" w:num="1">
            <w:col w:w="9019"/>
          </w:cols>
          <w:pgMar w:left="1440" w:top="229" w:right="1440" w:bottom="1440" w:gutter="0" w:footer="0" w:header="0"/>
        </w:sectPr>
      </w:pPr>
    </w:p>
    <w:bookmarkStart w:id="143" w:name="page144"/>
    <w:bookmarkEnd w:id="143"/>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Loss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Net Proceeds</w:t>
      </w:r>
      <w:r>
        <w:rPr>
          <w:rFonts w:ascii="Times New Roman" w:cs="Times New Roman" w:eastAsia="Times New Roman" w:hAnsi="Times New Roman"/>
          <w:sz w:val="13"/>
          <w:szCs w:val="13"/>
          <w:color w:val="auto"/>
        </w:rPr>
        <w:t>” means, for any CVR Payment Period, Gross Proceeds minus Permitted Deductions, all as calculated, to the extent in accordance with GAAP, in a manner consistent with the Company’s accounting practices in the most recently filed annual audited financial statements with the SEC, except as otherwise set forth herein. For clarity, to the extent Permitted Deductions exceed Gross Proceeds for any CVR Payment Period, any excess Permitted Deductions shall be applied against Gross Proceeds in subsequent CVR Payment Periods.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Officer’s Certificate</w:t>
      </w:r>
      <w:r>
        <w:rPr>
          <w:rFonts w:ascii="Times New Roman" w:cs="Times New Roman" w:eastAsia="Times New Roman" w:hAnsi="Times New Roman"/>
          <w:sz w:val="13"/>
          <w:szCs w:val="13"/>
          <w:color w:val="auto"/>
        </w:rPr>
        <w:t>” means a certificate signed by the chief executive officer and the chief financial officer of the Company, in their respective official capacities.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means the Company or the Rights Agent.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Deductions</w:t>
      </w:r>
      <w:r>
        <w:rPr>
          <w:rFonts w:ascii="Times New Roman" w:cs="Times New Roman" w:eastAsia="Times New Roman" w:hAnsi="Times New Roman"/>
          <w:sz w:val="13"/>
          <w:szCs w:val="13"/>
          <w:color w:val="auto"/>
        </w:rPr>
        <w:t>” means the sum of (without duplication):</w:t>
      </w:r>
    </w:p>
    <w:p>
      <w:pPr>
        <w:spacing w:after="0" w:line="80" w:lineRule="exact"/>
        <w:rPr>
          <w:sz w:val="20"/>
          <w:szCs w:val="20"/>
          <w:color w:val="auto"/>
        </w:rPr>
      </w:pPr>
    </w:p>
    <w:p>
      <w:pPr>
        <w:ind w:left="640" w:right="699" w:firstLine="307"/>
        <w:spacing w:after="0" w:line="268" w:lineRule="auto"/>
        <w:tabs>
          <w:tab w:leader="none" w:pos="1121"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Tax (including any applicable value added, transfer, stamp or sales taxes) imposed on Gross Proceeds and payable by Tyrol, the Company or any of their respective Affiliates (regardless of whether the due date for such Taxes arises during or after the Disposition Period) and, without duplication, any income or other similar Taxes payable by Tyrol, the Company or any of their respective Affiliates that would not have been incurred by Tyrol, the Company or any of their respective Affiliates but for the Gross Proceeds; provided that, for purposes of calculating income Taxes incurred by Tyrol, the Company or any of their respective Affiliates in respect of the Gross Proceeds, any such income Taxes shall be computed</w:t>
      </w:r>
    </w:p>
    <w:p>
      <w:pPr>
        <w:ind w:left="640" w:right="659" w:hanging="3"/>
        <w:spacing w:after="0" w:line="243" w:lineRule="auto"/>
        <w:tabs>
          <w:tab w:leader="none" w:pos="791"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assuming that the only items of gross income of Tyrol, the Company and their subsidiaries are the applicable items of Gross Proceeds (for the avoidance of doubt, assuming that such items of Gross Proceeds are taxable in the hands of Tyrol, the Company or their subsidiaries, as applicable, no later than the taxable year that includes the corresponding CVR Payment Amount), (ii) assuming that the only items of expenses, losses, credits or other deductions of Tyrol, the Company and their subsidiaries are those items of expense, loss, credit and deduction (including net operating loss carryforwards or other Tax attributes) of the Company or its Affiliates existing as of immediately prior to the Closing for U.S. federal income tax purposes and applicable state and local income tax purposes that are actually usable by Tyrol, the Company or their subsidiaries, as applicable, in the tax year of receipt of the applicable items of Gross Proceeds, to the extent such net operating loss carryforwards and other items are permitted by Law to be, and are, taken as a deduction in such taxable year (for the sake of clarity, (1) taking into account any limits on the usability of such attributes, including under Section 382 of the Code as determined by the Company’s tax advisers, including, but not limited to, as a result of the transactions contemplated by the Merger Agreement and (2) excluding any net operating losses or other Tax attributes generated by Tyrol, the Company or any of their respective Affiliates after the Closing, including by reason of any acquisition after the Closing), and (iii) all such items of Gross Proceeds are taxed in the hands of Tyrol, the Company or their subsidiaries, as applicable, at the highest applicable marginal income or other similar U.S. federal, state, local and non-U.S. tax rate;</w:t>
      </w:r>
    </w:p>
    <w:p>
      <w:pPr>
        <w:spacing w:after="0" w:line="66"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out-of-pocket costs and expenses incurred by the Company or any of its Affiliates in respect to its</w:t>
      </w:r>
    </w:p>
    <w:p>
      <w:pPr>
        <w:spacing w:after="0" w:line="15" w:lineRule="exact"/>
        <w:rPr>
          <w:rFonts w:ascii="Times New Roman" w:cs="Times New Roman" w:eastAsia="Times New Roman" w:hAnsi="Times New Roman"/>
          <w:sz w:val="13"/>
          <w:szCs w:val="13"/>
          <w:color w:val="auto"/>
        </w:rPr>
      </w:pPr>
    </w:p>
    <w:p>
      <w:pPr>
        <w:ind w:left="640" w:right="69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of this Agreement following the Closing, including any costs related to the prosecution, maintenance or enforcement by the Company or any of its Subsidiaries of intellectual property rights (but excluding any costs related to a breach of this Agreement, including costs incurred in litigation in respect of the same);</w:t>
      </w:r>
    </w:p>
    <w:p>
      <w:pPr>
        <w:spacing w:after="0" w:line="59"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1"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out-of-pocket expenses incurred or accrued by the Company or any of its Affiliates in connection with the negotiation, entry into and closing of any Disposition of any Company Pre-Closing Asset, including any brokerage fee, finder’s fee, opinion fee, success fee, transaction fee, service fee or other fee, commission or expense owed to any broker, finder, investment bank, auditor, accountant, counsel, advisor or other third party in relation thereto;</w:t>
      </w:r>
    </w:p>
    <w:p>
      <w:pPr>
        <w:sectPr>
          <w:pgSz w:w="11900" w:h="16838" w:orient="portrait"/>
          <w:cols w:equalWidth="0" w:num="1">
            <w:col w:w="9019"/>
          </w:cols>
          <w:pgMar w:left="1440" w:top="229" w:right="1440" w:bottom="1440" w:gutter="0" w:footer="0" w:header="0"/>
        </w:sectPr>
      </w:pPr>
    </w:p>
    <w:bookmarkStart w:id="144" w:name="page145"/>
    <w:bookmarkEnd w:id="144"/>
    <w:p>
      <w:pPr>
        <w:ind w:left="640" w:right="659" w:firstLine="307"/>
        <w:spacing w:after="0" w:line="266" w:lineRule="auto"/>
        <w:tabs>
          <w:tab w:leader="none" w:pos="1128"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any Losses actually incurred, and actually paid or actually payable, or reasonably expected to be incurred and subsequently actually paid by the Company or any of its Subsidiaries arising out of any third-party claims, demands, actions, or other proceedings related to or in connection with any Disposition or any Company Pre-Closing Assets and, without duplication, (ii) an amount that would reasonably be payable under any obligations of the Company or any of its Subsidiaries in respect of contingent or indemnification obligations provided for in any Disposition Agreement; provided that any amounts deducted pursuant to this clause (d) shall be held back by the Company in a separate account for the benefit of the Holders and to the extent such amounts have not been paid in respect of such third-party proceedings or such contingent or indemnification obligations (as applicable) upon the final resolution of such third-party proceedings or the lapse in survival of such contingent or indemnification obligations (provided that in the case of contingent or indemnification obligations that continue indefinitely pursuant to their terms, such lapse of survival shall be deemed to have occurred three</w:t>
      </w:r>
    </w:p>
    <w:p>
      <w:pPr>
        <w:spacing w:after="0" w:line="2" w:lineRule="exact"/>
        <w:rPr>
          <w:rFonts w:ascii="Times New Roman" w:cs="Times New Roman" w:eastAsia="Times New Roman" w:hAnsi="Times New Roman"/>
          <w:sz w:val="12"/>
          <w:szCs w:val="12"/>
          <w:color w:val="auto"/>
        </w:rPr>
      </w:pPr>
    </w:p>
    <w:p>
      <w:pPr>
        <w:jc w:val="both"/>
        <w:ind w:left="640" w:right="779" w:hanging="3"/>
        <w:spacing w:after="0" w:line="245" w:lineRule="auto"/>
        <w:tabs>
          <w:tab w:leader="none" w:pos="81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years after the commencement of such obligations) (as applicable), in each case prior to the end of the CVR Term, then such amounts shall be paid over to the Rights Agent within fifteen (15) Business Days of such final resolution or such lapse (as applicable) for further distribution to the Holders; and</w:t>
      </w:r>
    </w:p>
    <w:p>
      <w:pPr>
        <w:spacing w:after="0" w:line="59"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1" w:val="left"/>
        </w:tabs>
        <w:numPr>
          <w:ilvl w:val="1"/>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proceeds in consideration for a Disposition pursuant to a Disposition Agreement included in the final determination of Aspen Net Cash in accordance with the Merger Agreement.</w:t>
      </w:r>
    </w:p>
    <w:p>
      <w:pPr>
        <w:spacing w:after="0" w:line="120" w:lineRule="exact"/>
        <w:rPr>
          <w:sz w:val="20"/>
          <w:szCs w:val="20"/>
          <w:color w:val="auto"/>
        </w:rPr>
      </w:pPr>
    </w:p>
    <w:p>
      <w:pPr>
        <w:ind w:left="640" w:right="67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Transfer</w:t>
      </w:r>
      <w:r>
        <w:rPr>
          <w:rFonts w:ascii="Times New Roman" w:cs="Times New Roman" w:eastAsia="Times New Roman" w:hAnsi="Times New Roman"/>
          <w:sz w:val="13"/>
          <w:szCs w:val="13"/>
          <w:color w:val="auto"/>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Rights Agent</w:t>
      </w:r>
      <w:r>
        <w:rPr>
          <w:rFonts w:ascii="Times New Roman" w:cs="Times New Roman" w:eastAsia="Times New Roman" w:hAnsi="Times New Roman"/>
          <w:sz w:val="13"/>
          <w:szCs w:val="13"/>
          <w:color w:val="auto"/>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2</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CONTINGENT VALUE RIGHTS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2.1 </w:t>
      </w:r>
      <w:r>
        <w:rPr>
          <w:rFonts w:ascii="Times New Roman" w:cs="Times New Roman" w:eastAsia="Times New Roman" w:hAnsi="Times New Roman"/>
          <w:sz w:val="13"/>
          <w:szCs w:val="13"/>
          <w:b w:val="1"/>
          <w:bCs w:val="1"/>
          <w:u w:val="single" w:color="auto"/>
          <w:color w:val="auto"/>
        </w:rPr>
        <w:t>Holders of CVRs; Appointment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59" w:firstLine="307"/>
        <w:spacing w:after="0" w:line="251" w:lineRule="auto"/>
        <w:tabs>
          <w:tab w:leader="none" w:pos="1121"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represent the rights of Holders to receive CVR Payments pursuant to this Agreement. The initial Holders will be the holders of issued and outstanding shares of Common Stock as of immediately prior to the Effective Time (the “</w:t>
      </w:r>
      <w:r>
        <w:rPr>
          <w:rFonts w:ascii="Times New Roman" w:cs="Times New Roman" w:eastAsia="Times New Roman" w:hAnsi="Times New Roman"/>
          <w:sz w:val="13"/>
          <w:szCs w:val="13"/>
          <w:b w:val="1"/>
          <w:bCs w:val="1"/>
          <w:color w:val="auto"/>
        </w:rPr>
        <w:t>Specified Time</w:t>
      </w:r>
      <w:r>
        <w:rPr>
          <w:rFonts w:ascii="Times New Roman" w:cs="Times New Roman" w:eastAsia="Times New Roman" w:hAnsi="Times New Roman"/>
          <w:sz w:val="13"/>
          <w:szCs w:val="13"/>
          <w:color w:val="auto"/>
        </w:rPr>
        <w:t>”) (including, for the avoidance of doubt, those shares of Common Stock issued upon settlement of Aspen Restricted Stock Units pursuant to Section 6.7 of the Merger Agreement) (the “</w:t>
      </w:r>
      <w:r>
        <w:rPr>
          <w:rFonts w:ascii="Times New Roman" w:cs="Times New Roman" w:eastAsia="Times New Roman" w:hAnsi="Times New Roman"/>
          <w:sz w:val="13"/>
          <w:szCs w:val="13"/>
          <w:b w:val="1"/>
          <w:bCs w:val="1"/>
          <w:color w:val="auto"/>
        </w:rPr>
        <w:t>Eligible Holders</w:t>
      </w:r>
      <w:r>
        <w:rPr>
          <w:rFonts w:ascii="Times New Roman" w:cs="Times New Roman" w:eastAsia="Times New Roman" w:hAnsi="Times New Roman"/>
          <w:sz w:val="13"/>
          <w:szCs w:val="13"/>
          <w:color w:val="auto"/>
        </w:rPr>
        <w:t>” and such shares, the “</w:t>
      </w:r>
      <w:r>
        <w:rPr>
          <w:rFonts w:ascii="Times New Roman" w:cs="Times New Roman" w:eastAsia="Times New Roman" w:hAnsi="Times New Roman"/>
          <w:sz w:val="13"/>
          <w:szCs w:val="13"/>
          <w:b w:val="1"/>
          <w:bCs w:val="1"/>
          <w:color w:val="auto"/>
        </w:rPr>
        <w:t>Eligible Shares</w:t>
      </w:r>
      <w:r>
        <w:rPr>
          <w:rFonts w:ascii="Times New Roman" w:cs="Times New Roman" w:eastAsia="Times New Roman" w:hAnsi="Times New Roman"/>
          <w:sz w:val="13"/>
          <w:szCs w:val="13"/>
          <w:color w:val="auto"/>
        </w:rPr>
        <w:t>”). One CVR will be issued with respect to each Eligible Share.</w:t>
      </w:r>
    </w:p>
    <w:p>
      <w:pPr>
        <w:spacing w:after="0" w:line="56" w:lineRule="exact"/>
        <w:rPr>
          <w:rFonts w:ascii="Times New Roman" w:cs="Times New Roman" w:eastAsia="Times New Roman" w:hAnsi="Times New Roman"/>
          <w:sz w:val="13"/>
          <w:szCs w:val="13"/>
          <w:color w:val="auto"/>
        </w:rPr>
      </w:pPr>
    </w:p>
    <w:p>
      <w:pPr>
        <w:ind w:left="640" w:right="759" w:firstLine="307"/>
        <w:spacing w:after="0" w:line="267" w:lineRule="auto"/>
        <w:tabs>
          <w:tab w:leader="none" w:pos="1128"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hereby appoints the Rights Agent to act as Rights Agent for the Company in accordance with the express terms and conditions set forth in this Agreement (and no implied terms and conditions), and the Rights Agent hereby accepts such appointment.</w:t>
      </w:r>
    </w:p>
    <w:p>
      <w:pPr>
        <w:spacing w:after="0" w:line="120" w:lineRule="exact"/>
        <w:rPr>
          <w:sz w:val="20"/>
          <w:szCs w:val="20"/>
          <w:color w:val="auto"/>
        </w:rPr>
      </w:pPr>
    </w:p>
    <w:p>
      <w:pPr>
        <w:ind w:left="640" w:right="77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2.2 </w:t>
      </w:r>
      <w:r>
        <w:rPr>
          <w:rFonts w:ascii="Times New Roman" w:cs="Times New Roman" w:eastAsia="Times New Roman" w:hAnsi="Times New Roman"/>
          <w:sz w:val="13"/>
          <w:szCs w:val="13"/>
          <w:b w:val="1"/>
          <w:bCs w:val="1"/>
          <w:u w:val="single" w:color="auto"/>
          <w:color w:val="auto"/>
        </w:rPr>
        <w:t>Non-transferable</w:t>
      </w:r>
      <w:r>
        <w:rPr>
          <w:rFonts w:ascii="Times New Roman" w:cs="Times New Roman" w:eastAsia="Times New Roman" w:hAnsi="Times New Roman"/>
          <w:sz w:val="13"/>
          <w:szCs w:val="13"/>
          <w:color w:val="auto"/>
        </w:rPr>
        <w:t>. The CVRs may not be sold, assigned, transferred, pledged, encumbered or in any other manner transferred or disposed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in whole or in part, other than through a Permitted Transfer. The CVRs will not be listed on any quotation system or traded on any securities exchange. Any purported transfer of a CVR other than in a Permitted Transfer shall be null and void ab initio.</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2.3 </w:t>
      </w:r>
      <w:r>
        <w:rPr>
          <w:rFonts w:ascii="Times New Roman" w:cs="Times New Roman" w:eastAsia="Times New Roman" w:hAnsi="Times New Roman"/>
          <w:sz w:val="13"/>
          <w:szCs w:val="13"/>
          <w:b w:val="1"/>
          <w:bCs w:val="1"/>
          <w:u w:val="single" w:color="auto"/>
          <w:color w:val="auto"/>
        </w:rPr>
        <w:t>No Certificate; Registration; Registration of Transfer; Change of Address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The CVRs will be issued in book-entry form only and will not be evidenced by a certificate or other instrument.</w:t>
      </w:r>
    </w:p>
    <w:p>
      <w:pPr>
        <w:sectPr>
          <w:pgSz w:w="11900" w:h="16838" w:orient="portrait"/>
          <w:cols w:equalWidth="0" w:num="1">
            <w:col w:w="9019"/>
          </w:cols>
          <w:pgMar w:left="1440" w:top="231" w:right="1440" w:bottom="1440" w:gutter="0" w:footer="0" w:header="0"/>
        </w:sectPr>
      </w:pPr>
    </w:p>
    <w:bookmarkStart w:id="145" w:name="page146"/>
    <w:bookmarkEnd w:id="145"/>
    <w:p>
      <w:pPr>
        <w:ind w:left="640" w:right="679" w:firstLine="307"/>
        <w:spacing w:after="0" w:line="272" w:lineRule="auto"/>
        <w:tabs>
          <w:tab w:leader="none" w:pos="1128"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shall create and maintain a register (the “</w:t>
      </w:r>
      <w:r>
        <w:rPr>
          <w:rFonts w:ascii="Times New Roman" w:cs="Times New Roman" w:eastAsia="Times New Roman" w:hAnsi="Times New Roman"/>
          <w:sz w:val="12"/>
          <w:szCs w:val="12"/>
          <w:b w:val="1"/>
          <w:bCs w:val="1"/>
          <w:color w:val="auto"/>
        </w:rPr>
        <w:t>CVR Register</w:t>
      </w:r>
      <w:r>
        <w:rPr>
          <w:rFonts w:ascii="Times New Roman" w:cs="Times New Roman" w:eastAsia="Times New Roman" w:hAnsi="Times New Roman"/>
          <w:sz w:val="12"/>
          <w:szCs w:val="12"/>
          <w:color w:val="auto"/>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Eligible Shares held by DTC on behalf of the street holders of the Eligible Shares held by such Eligible Holders as of the Specified Time. The Rights Agent will have no responsibility whatsoever directly or indirectly to the street name holders with respect to transfers of CVRs. With respect to any payments or issuances to be made under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below, the Rights Agent will accomplish the payment to any former street name holders of Eligible Shares by sending one lump-sum payment or issuance to DTC. The Rights Agent will have no responsibilities whatsoever with regard to the distribution of payments or Eligible Shares by DTC to such street name holders.</w:t>
      </w:r>
    </w:p>
    <w:p>
      <w:pPr>
        <w:spacing w:after="0" w:line="44" w:lineRule="exact"/>
        <w:rPr>
          <w:rFonts w:ascii="Times New Roman" w:cs="Times New Roman" w:eastAsia="Times New Roman" w:hAnsi="Times New Roman"/>
          <w:sz w:val="12"/>
          <w:szCs w:val="12"/>
          <w:color w:val="auto"/>
        </w:rPr>
      </w:pPr>
    </w:p>
    <w:p>
      <w:pPr>
        <w:ind w:left="640" w:right="659" w:firstLine="307"/>
        <w:spacing w:after="0" w:line="267" w:lineRule="auto"/>
        <w:tabs>
          <w:tab w:leader="none" w:pos="1121"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restrictions on transferability set forth in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every request made to transfer a CVR must be in writing and accompanied by a written instrument of transfer and any other requested documentation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and invalid. All costs and expenses related to any transfer or assignment of the CVRs (including the cost of any transfer tax) will be the responsibility of the transferor.</w:t>
      </w:r>
    </w:p>
    <w:p>
      <w:pPr>
        <w:spacing w:after="0" w:line="201" w:lineRule="exact"/>
        <w:rPr>
          <w:rFonts w:ascii="Times New Roman" w:cs="Times New Roman" w:eastAsia="Times New Roman" w:hAnsi="Times New Roman"/>
          <w:sz w:val="12"/>
          <w:szCs w:val="12"/>
          <w:color w:val="auto"/>
        </w:rPr>
      </w:pPr>
    </w:p>
    <w:p>
      <w:pPr>
        <w:ind w:left="640" w:right="659" w:firstLine="307"/>
        <w:spacing w:after="0" w:line="275" w:lineRule="auto"/>
        <w:tabs>
          <w:tab w:leader="none" w:pos="1128"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w:t>
      </w:r>
    </w:p>
    <w:p>
      <w:pPr>
        <w:spacing w:after="0" w:line="43" w:lineRule="exact"/>
        <w:rPr>
          <w:rFonts w:ascii="Times New Roman" w:cs="Times New Roman" w:eastAsia="Times New Roman" w:hAnsi="Times New Roman"/>
          <w:sz w:val="12"/>
          <w:szCs w:val="12"/>
          <w:color w:val="auto"/>
        </w:rPr>
      </w:pPr>
    </w:p>
    <w:p>
      <w:pPr>
        <w:jc w:val="both"/>
        <w:ind w:left="640" w:right="739" w:firstLine="307"/>
        <w:spacing w:after="0" w:line="251" w:lineRule="auto"/>
        <w:tabs>
          <w:tab w:leader="none" w:pos="1119"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provide written instructions to the Rights Agent for the distribution of CVRs to Eligible Holders as of the Specified Time. Subject to the terms and conditions of this Agreement and the Company’s prompt confirmation of the Effective Time, the Rights Agent shall effect the distribution of the CVRs, less any applicable tax withholding, to each Eligible Holder as of the Specified Time by the mailing of a statement of holding reflecting such CVRs.</w:t>
      </w:r>
    </w:p>
    <w:p>
      <w:pPr>
        <w:sectPr>
          <w:pgSz w:w="11900" w:h="16838" w:orient="portrait"/>
          <w:cols w:equalWidth="0" w:num="1">
            <w:col w:w="9019"/>
          </w:cols>
          <w:pgMar w:left="1440" w:top="229" w:right="1440" w:bottom="1440" w:gutter="0" w:footer="0" w:header="0"/>
        </w:sectPr>
      </w:pPr>
    </w:p>
    <w:bookmarkStart w:id="146" w:name="page147"/>
    <w:bookmarkEnd w:id="14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2.4 </w:t>
      </w:r>
      <w:r>
        <w:rPr>
          <w:rFonts w:ascii="Times New Roman" w:cs="Times New Roman" w:eastAsia="Times New Roman" w:hAnsi="Times New Roman"/>
          <w:sz w:val="13"/>
          <w:szCs w:val="13"/>
          <w:b w:val="1"/>
          <w:bCs w:val="1"/>
          <w:u w:val="single" w:color="auto"/>
          <w:color w:val="auto"/>
        </w:rPr>
        <w:t>Payment Procedures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59" w:firstLine="307"/>
        <w:spacing w:after="0" w:line="265" w:lineRule="auto"/>
        <w:tabs>
          <w:tab w:leader="none" w:pos="1121"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 later than forty-five (45) days following the end of each Calendar Quarter during the CVR Term, commencing with the first CVR Payment Period in which the Company or its Affiliates receives Gross Proceeds, the Company shall deliver to the Rights Agent a CVR Payment Statement for the such CVR Payment Period. Subject to the last sentence of this Section 2.4(a), concurrent with the delivery of each CVR Payment Statement, on the terms and conditions of this Agreement, the Company shall pay the Rights Agent in U.S. dollars an amount equal to the CVR Payment for the applicable CVR Payment Period. Such CVR Payment will be transferred by wire transfer of immediately available funds to an account designated in writing by the Rights Agent not less than twenty (20) Business Days prior to the date of the applicable payment. Upon receipt of the wire transfer referred to in the foregoing sentence, the Rights Agent shall promptly (and in any event, within ten (10) Business Days) pay, by check mailed, first-class postage prepaid, to the address each Holder set forth in the CVR Register at such time or by other method of deliver as specified by the applicable Holder in writing to the Rights Agent, an amount equal to such Holder’s CVR Payment Amount. The Rights Agent shall as soon as practicable after receipt of a CVR Payment Statement under this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 send each Holder at its registered address a copy of such statement. For the avoidance of doubt the Company shall have no further liability in respect of the relevant CVR Payment upon delivery of such CVR Payment in accordance with this</w:t>
      </w:r>
    </w:p>
    <w:p>
      <w:pPr>
        <w:spacing w:after="0" w:line="4" w:lineRule="exact"/>
        <w:rPr>
          <w:rFonts w:ascii="Times New Roman" w:cs="Times New Roman" w:eastAsia="Times New Roman" w:hAnsi="Times New Roman"/>
          <w:sz w:val="12"/>
          <w:szCs w:val="12"/>
          <w:color w:val="auto"/>
        </w:rPr>
      </w:pPr>
    </w:p>
    <w:p>
      <w:pPr>
        <w:jc w:val="both"/>
        <w:ind w:left="640" w:right="67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2.4(a)</w:t>
      </w:r>
      <w:r>
        <w:rPr>
          <w:rFonts w:ascii="Times New Roman" w:cs="Times New Roman" w:eastAsia="Times New Roman" w:hAnsi="Times New Roman"/>
          <w:sz w:val="13"/>
          <w:szCs w:val="13"/>
          <w:color w:val="auto"/>
        </w:rPr>
        <w:t xml:space="preserve"> and the satisfaction of each of the Company’s obligations set forth in this </w:t>
      </w:r>
      <w:r>
        <w:rPr>
          <w:rFonts w:ascii="Times New Roman" w:cs="Times New Roman" w:eastAsia="Times New Roman" w:hAnsi="Times New Roman"/>
          <w:sz w:val="13"/>
          <w:szCs w:val="13"/>
          <w:u w:val="single" w:color="auto"/>
          <w:color w:val="auto"/>
        </w:rPr>
        <w:t>Section 2.4(a)</w:t>
      </w:r>
      <w:r>
        <w:rPr>
          <w:rFonts w:ascii="Times New Roman" w:cs="Times New Roman" w:eastAsia="Times New Roman" w:hAnsi="Times New Roman"/>
          <w:sz w:val="13"/>
          <w:szCs w:val="13"/>
          <w:color w:val="auto"/>
        </w:rPr>
        <w:t>. Notwithstanding anything to the contrary herein, no CVR Payment shall become due and payable to any Holder until such time as the then-outstanding and undistributed Net Proceeds exceeds $350,000 in the aggregate.</w:t>
      </w:r>
    </w:p>
    <w:p>
      <w:pPr>
        <w:spacing w:after="0" w:line="59" w:lineRule="exact"/>
        <w:rPr>
          <w:rFonts w:ascii="Times New Roman" w:cs="Times New Roman" w:eastAsia="Times New Roman" w:hAnsi="Times New Roman"/>
          <w:sz w:val="12"/>
          <w:szCs w:val="12"/>
          <w:color w:val="auto"/>
        </w:rPr>
      </w:pPr>
    </w:p>
    <w:p>
      <w:pPr>
        <w:ind w:left="640" w:right="679" w:firstLine="307"/>
        <w:spacing w:after="0" w:line="268" w:lineRule="auto"/>
        <w:tabs>
          <w:tab w:leader="none" w:pos="1128"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shall solicit from each Holder, and each Holder covenants and agrees to provide to the Rights Agent, an IRS Form W-9 or appropriate IRS Form W-8, as applicable, at such time or times, including immediately prior to the first CVR Payment, as is necessary to permit any payment under this Agreement to be made without U.S. federal backup withholding. That notwithstanding, the Company, Tyrol and any of their respective Affiliates (each a “</w:t>
      </w:r>
      <w:r>
        <w:rPr>
          <w:rFonts w:ascii="Times New Roman" w:cs="Times New Roman" w:eastAsia="Times New Roman" w:hAnsi="Times New Roman"/>
          <w:sz w:val="12"/>
          <w:szCs w:val="12"/>
          <w:b w:val="1"/>
          <w:bCs w:val="1"/>
          <w:color w:val="auto"/>
        </w:rPr>
        <w:t>Withholding Agent</w:t>
      </w:r>
      <w:r>
        <w:rPr>
          <w:rFonts w:ascii="Times New Roman" w:cs="Times New Roman" w:eastAsia="Times New Roman" w:hAnsi="Times New Roman"/>
          <w:sz w:val="12"/>
          <w:szCs w:val="12"/>
          <w:color w:val="auto"/>
        </w:rPr>
        <w:t>”) shall be entitled to deduct and withhold and hereby authorizes the Rights Agent to deduct and withhold, any Tax or similar governmental charge or levy, that is required to be deducted or withheld under applicable Law from any amounts payable pursuant to this Agreement. To the extent the amounts are so withheld by a Withholding Agent and paid over to the appropriate Governmental Authority, such withheld amounts shall be treated for all purposes of this Agreement as having been paid to the Person in respect of whom such deduction and withholding was made. The Company will use commercially reasonable efforts to provide withholding and reporting instructions in writing (email being sufficient) to the Rights Agent from time to time as relevant, and upon request of the Rights Agent. The Rights Agent shall have no responsibilities with respect to Tax withholding, reporting or payment except as set forth herein or as specifically instructed by the Company.</w:t>
      </w:r>
    </w:p>
    <w:p>
      <w:pPr>
        <w:spacing w:after="0" w:line="51" w:lineRule="exact"/>
        <w:rPr>
          <w:rFonts w:ascii="Times New Roman" w:cs="Times New Roman" w:eastAsia="Times New Roman" w:hAnsi="Times New Roman"/>
          <w:sz w:val="12"/>
          <w:szCs w:val="12"/>
          <w:color w:val="auto"/>
        </w:rPr>
      </w:pPr>
    </w:p>
    <w:p>
      <w:pPr>
        <w:ind w:left="640" w:right="679" w:firstLine="307"/>
        <w:spacing w:after="0" w:line="251" w:lineRule="auto"/>
        <w:tabs>
          <w:tab w:leader="none" w:pos="1121"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a CVR Payment that remains undistributed to the Holders six (6) months after the applicable Calendar Quarter end (including by means of uncashed checks or invalid addresses on the CVR Register) will be delivered by the Rights Agent to the Company or a person nominated in writing by the Company (with written notice thereof from the Company to the Rights Agent), and any Holder will thereafter look only to the Company for payment of such CVR Payment (which shall be without interest).</w:t>
      </w:r>
    </w:p>
    <w:p>
      <w:pPr>
        <w:spacing w:after="0" w:line="56" w:lineRule="exact"/>
        <w:rPr>
          <w:rFonts w:ascii="Times New Roman" w:cs="Times New Roman" w:eastAsia="Times New Roman" w:hAnsi="Times New Roman"/>
          <w:sz w:val="13"/>
          <w:szCs w:val="13"/>
          <w:color w:val="auto"/>
        </w:rPr>
      </w:pPr>
    </w:p>
    <w:p>
      <w:pPr>
        <w:ind w:left="640" w:right="719" w:firstLine="307"/>
        <w:spacing w:after="0" w:line="246" w:lineRule="auto"/>
        <w:tabs>
          <w:tab w:leader="none" w:pos="1128"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CVR Payment (or portion thereof) remains unclaimed by a Holder two (2) years after the applicable Calendar Quarter end (or immediately prior to such earlier date on which such CVR Payment would otherwise escheat to or become the property of any Governmental Authority),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office or a person nominated in writing by the Company.</w:t>
      </w:r>
    </w:p>
    <w:p>
      <w:pPr>
        <w:sectPr>
          <w:pgSz w:w="11900" w:h="16838" w:orient="portrait"/>
          <w:cols w:equalWidth="0" w:num="1">
            <w:col w:w="9019"/>
          </w:cols>
          <w:pgMar w:left="1440" w:top="229" w:right="1440" w:bottom="1440" w:gutter="0" w:footer="0" w:header="0"/>
        </w:sectPr>
      </w:pPr>
    </w:p>
    <w:bookmarkStart w:id="147" w:name="page148"/>
    <w:bookmarkEnd w:id="14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2.5 </w:t>
      </w:r>
      <w:r>
        <w:rPr>
          <w:rFonts w:ascii="Times New Roman" w:cs="Times New Roman" w:eastAsia="Times New Roman" w:hAnsi="Times New Roman"/>
          <w:sz w:val="13"/>
          <w:szCs w:val="13"/>
          <w:b w:val="1"/>
          <w:bCs w:val="1"/>
          <w:u w:val="single" w:color="auto"/>
          <w:color w:val="auto"/>
        </w:rPr>
        <w:t>No Voting, Dividends or Interest; No Equity or Ownership Interest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859" w:firstLine="307"/>
        <w:spacing w:after="0" w:line="267" w:lineRule="auto"/>
        <w:tabs>
          <w:tab w:leader="none" w:pos="1121"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issued, the CVRs will not have any voting or dividend rights, and interest will not accrue on any amounts payable in respect of CVRs to any Holder.</w:t>
      </w:r>
    </w:p>
    <w:p>
      <w:pPr>
        <w:spacing w:after="0" w:line="46"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28"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issued, the CVRs will not represent any equity or ownership interest in the Company or in any constituent company to the Merger. It is hereby acknowledged and agreed that a CVR shall not constitute a security of the Company.</w:t>
      </w:r>
    </w:p>
    <w:p>
      <w:pPr>
        <w:spacing w:after="0" w:line="46" w:lineRule="exact"/>
        <w:rPr>
          <w:rFonts w:ascii="Times New Roman" w:cs="Times New Roman" w:eastAsia="Times New Roman" w:hAnsi="Times New Roman"/>
          <w:sz w:val="13"/>
          <w:szCs w:val="13"/>
          <w:color w:val="auto"/>
        </w:rPr>
      </w:pPr>
    </w:p>
    <w:p>
      <w:pPr>
        <w:jc w:val="both"/>
        <w:ind w:left="640" w:right="699" w:firstLine="307"/>
        <w:spacing w:after="0" w:line="251" w:lineRule="auto"/>
        <w:tabs>
          <w:tab w:leader="none" w:pos="1121"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spacing w:after="0" w:line="56"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28"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3"/>
          <w:szCs w:val="13"/>
          <w:u w:val="single" w:color="auto"/>
          <w:color w:val="auto"/>
        </w:rPr>
        <w:t>Section 2.5(d)</w:t>
      </w:r>
      <w:r>
        <w:rPr>
          <w:rFonts w:ascii="Times New Roman" w:cs="Times New Roman" w:eastAsia="Times New Roman" w:hAnsi="Times New Roman"/>
          <w:sz w:val="13"/>
          <w:szCs w:val="13"/>
          <w:color w:val="auto"/>
        </w:rPr>
        <w:t xml:space="preserve"> is an essential and material term of this Agreement.</w:t>
      </w:r>
    </w:p>
    <w:p>
      <w:pPr>
        <w:spacing w:after="0" w:line="134" w:lineRule="exact"/>
        <w:rPr>
          <w:sz w:val="20"/>
          <w:szCs w:val="20"/>
          <w:color w:val="auto"/>
        </w:rPr>
      </w:pPr>
    </w:p>
    <w:p>
      <w:pPr>
        <w:ind w:left="640" w:right="65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Section 2.6 </w:t>
      </w:r>
      <w:r>
        <w:rPr>
          <w:rFonts w:ascii="Times New Roman" w:cs="Times New Roman" w:eastAsia="Times New Roman" w:hAnsi="Times New Roman"/>
          <w:sz w:val="13"/>
          <w:szCs w:val="13"/>
          <w:b w:val="1"/>
          <w:bCs w:val="1"/>
          <w:u w:val="single" w:color="auto"/>
          <w:color w:val="auto"/>
        </w:rPr>
        <w:t>Ability to Abandon CVR</w:t>
      </w:r>
      <w:r>
        <w:rPr>
          <w:rFonts w:ascii="Times New Roman" w:cs="Times New Roman" w:eastAsia="Times New Roman" w:hAnsi="Times New Roman"/>
          <w:sz w:val="13"/>
          <w:szCs w:val="13"/>
          <w:color w:val="auto"/>
        </w:rPr>
        <w:t>. A Holder may at any time, at such Holder’s option, abandon all of such Holder’s remaining rights represented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w:t>
      </w:r>
    </w:p>
    <w:p>
      <w:pPr>
        <w:spacing w:after="0" w:line="131" w:lineRule="exact"/>
        <w:rPr>
          <w:sz w:val="20"/>
          <w:szCs w:val="20"/>
          <w:color w:val="auto"/>
        </w:rPr>
      </w:pPr>
    </w:p>
    <w:p>
      <w:pPr>
        <w:ind w:left="640" w:right="63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Section 2.7 </w:t>
      </w:r>
      <w:r>
        <w:rPr>
          <w:rFonts w:ascii="Times New Roman" w:cs="Times New Roman" w:eastAsia="Times New Roman" w:hAnsi="Times New Roman"/>
          <w:sz w:val="13"/>
          <w:szCs w:val="13"/>
          <w:b w:val="1"/>
          <w:bCs w:val="1"/>
          <w:u w:val="single" w:color="auto"/>
          <w:color w:val="auto"/>
        </w:rPr>
        <w:t>Intended Tax Treatment</w:t>
      </w:r>
      <w:r>
        <w:rPr>
          <w:rFonts w:ascii="Times New Roman" w:cs="Times New Roman" w:eastAsia="Times New Roman" w:hAnsi="Times New Roman"/>
          <w:sz w:val="13"/>
          <w:szCs w:val="13"/>
          <w:color w:val="auto"/>
        </w:rPr>
        <w:t>. Except to the extent otherwise required by applicable Law, for U.S. federal income tax (and applicable state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local income tax purposes), the parties agree to treat the issuance of the CVRs as not constituting a current distribution and all CVR Payments for all Tax purposes as distributions of money governed by Section 301 of the Code, which will constitute a dividend to the extent payable out of the Company and its Affiliates’ “earnings and profits” (pursuant to Section 316 of the Code) in the taxable year when the CVR Payment is made (the “</w:t>
      </w:r>
      <w:r>
        <w:rPr>
          <w:rFonts w:ascii="Times New Roman" w:cs="Times New Roman" w:eastAsia="Times New Roman" w:hAnsi="Times New Roman"/>
          <w:sz w:val="13"/>
          <w:szCs w:val="13"/>
          <w:b w:val="1"/>
          <w:bCs w:val="1"/>
          <w:color w:val="auto"/>
        </w:rPr>
        <w:t>Intended Tax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Treatment</w:t>
      </w:r>
      <w:r>
        <w:rPr>
          <w:rFonts w:ascii="Times New Roman" w:cs="Times New Roman" w:eastAsia="Times New Roman" w:hAnsi="Times New Roman"/>
          <w:sz w:val="13"/>
          <w:szCs w:val="13"/>
          <w:color w:val="auto"/>
        </w:rPr>
        <w: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3</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RIGHTS AGENT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3.1 </w:t>
      </w:r>
      <w:r>
        <w:rPr>
          <w:rFonts w:ascii="Times New Roman" w:cs="Times New Roman" w:eastAsia="Times New Roman" w:hAnsi="Times New Roman"/>
          <w:sz w:val="13"/>
          <w:szCs w:val="13"/>
          <w:b w:val="1"/>
          <w:bCs w:val="1"/>
          <w:u w:val="single" w:color="auto"/>
          <w:color w:val="auto"/>
        </w:rPr>
        <w:t>Certain Duties and Responsibilities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7"/>
        <w:spacing w:after="0" w:line="246" w:lineRule="auto"/>
        <w:tabs>
          <w:tab w:leader="none" w:pos="1121"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ectPr>
          <w:pgSz w:w="11900" w:h="16838" w:orient="portrait"/>
          <w:cols w:equalWidth="0" w:num="1">
            <w:col w:w="9019"/>
          </w:cols>
          <w:pgMar w:left="1440" w:top="229" w:right="1440" w:bottom="1440" w:gutter="0" w:footer="0" w:header="0"/>
        </w:sectPr>
      </w:pPr>
    </w:p>
    <w:bookmarkStart w:id="148" w:name="page149"/>
    <w:bookmarkEnd w:id="148"/>
    <w:p>
      <w:pPr>
        <w:ind w:left="640" w:right="739" w:firstLine="307"/>
        <w:spacing w:after="0" w:line="248" w:lineRule="auto"/>
        <w:tabs>
          <w:tab w:leader="none" w:pos="1128"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Legal Proceedings at Law or otherwise or to make any demand upon the Company or Tyrol.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3.2 </w:t>
      </w:r>
      <w:r>
        <w:rPr>
          <w:rFonts w:ascii="Times New Roman" w:cs="Times New Roman" w:eastAsia="Times New Roman" w:hAnsi="Times New Roman"/>
          <w:sz w:val="13"/>
          <w:szCs w:val="13"/>
          <w:b w:val="1"/>
          <w:bCs w:val="1"/>
          <w:u w:val="single" w:color="auto"/>
          <w:color w:val="auto"/>
        </w:rPr>
        <w:t>Certain Rights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1059" w:firstLine="307"/>
        <w:spacing w:after="0" w:line="267" w:lineRule="auto"/>
        <w:tabs>
          <w:tab w:leader="none" w:pos="1121"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46" w:lineRule="exact"/>
        <w:rPr>
          <w:rFonts w:ascii="Times New Roman" w:cs="Times New Roman" w:eastAsia="Times New Roman" w:hAnsi="Times New Roman"/>
          <w:sz w:val="13"/>
          <w:szCs w:val="13"/>
          <w:color w:val="auto"/>
        </w:rPr>
      </w:pPr>
    </w:p>
    <w:p>
      <w:pPr>
        <w:jc w:val="both"/>
        <w:ind w:left="640" w:right="799" w:firstLine="307"/>
        <w:spacing w:after="0" w:line="286" w:lineRule="auto"/>
        <w:tabs>
          <w:tab w:leader="none" w:pos="1128"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Rights Agent may rely and will be protected and held harmless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cs="Times New Roman" w:eastAsia="Times New Roman" w:hAnsi="Times New Roman"/>
          <w:sz w:val="12"/>
          <w:szCs w:val="12"/>
          <w:u w:val="single" w:color="auto"/>
          <w:color w:val="auto"/>
        </w:rPr>
        <w:t>Section 2.3(d)</w:t>
      </w:r>
      <w:r>
        <w:rPr>
          <w:rFonts w:ascii="Times New Roman" w:cs="Times New Roman" w:eastAsia="Times New Roman" w:hAnsi="Times New Roman"/>
          <w:sz w:val="12"/>
          <w:szCs w:val="12"/>
          <w:color w:val="auto"/>
        </w:rPr>
        <w:t>, the Acting Holders.</w:t>
      </w:r>
    </w:p>
    <w:p>
      <w:pPr>
        <w:spacing w:after="0" w:line="37" w:lineRule="exact"/>
        <w:rPr>
          <w:rFonts w:ascii="Times New Roman" w:cs="Times New Roman" w:eastAsia="Times New Roman" w:hAnsi="Times New Roman"/>
          <w:sz w:val="12"/>
          <w:szCs w:val="12"/>
          <w:color w:val="auto"/>
        </w:rPr>
      </w:pPr>
    </w:p>
    <w:p>
      <w:pPr>
        <w:ind w:left="640" w:right="739" w:firstLine="307"/>
        <w:spacing w:after="0" w:line="275" w:lineRule="auto"/>
        <w:tabs>
          <w:tab w:leader="none" w:pos="1121"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Rights Agent deems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gross negligence, fraud or willful misconduct (each as determined by a final non-appealable judgment of a court of competent jurisdiction) on its part, not incur any liability and shall be held harmless by the Company for or in respect of any action taken, suffered or omitted to be taken by it under the provisions of this Agreement in reliance upon such Officer’s Certificate.</w:t>
      </w:r>
    </w:p>
    <w:p>
      <w:pPr>
        <w:spacing w:after="0" w:line="43" w:lineRule="exact"/>
        <w:rPr>
          <w:rFonts w:ascii="Times New Roman" w:cs="Times New Roman" w:eastAsia="Times New Roman" w:hAnsi="Times New Roman"/>
          <w:sz w:val="12"/>
          <w:szCs w:val="12"/>
          <w:color w:val="auto"/>
        </w:rPr>
      </w:pPr>
    </w:p>
    <w:p>
      <w:pPr>
        <w:ind w:left="640" w:right="759" w:firstLine="307"/>
        <w:spacing w:after="0" w:line="251" w:lineRule="auto"/>
        <w:tabs>
          <w:tab w:leader="none" w:pos="1128"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engage and consult with counsel of its selection, and the advice or opinion of such counsel will, in the absence of bad faith, gross negligence, fraud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56"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permissive rights of the Rights Agent hereunder will not be construed as a duty.</w:t>
      </w:r>
    </w:p>
    <w:p>
      <w:pPr>
        <w:spacing w:after="0" w:line="77"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will not be required to give any note or surety in respect of the execution of its powers or otherwise under this Agreement.</w:t>
      </w:r>
    </w:p>
    <w:p>
      <w:pPr>
        <w:spacing w:after="0" w:line="89" w:lineRule="exact"/>
        <w:rPr>
          <w:rFonts w:ascii="Times New Roman" w:cs="Times New Roman" w:eastAsia="Times New Roman" w:hAnsi="Times New Roman"/>
          <w:sz w:val="12"/>
          <w:szCs w:val="12"/>
          <w:color w:val="auto"/>
        </w:rPr>
      </w:pPr>
    </w:p>
    <w:p>
      <w:pPr>
        <w:ind w:left="640" w:right="659" w:firstLine="307"/>
        <w:spacing w:after="0" w:line="270" w:lineRule="auto"/>
        <w:tabs>
          <w:tab w:leader="none" w:pos="1128"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2"/>
          <w:szCs w:val="12"/>
          <w:b w:val="1"/>
          <w:bCs w:val="1"/>
          <w:color w:val="auto"/>
        </w:rPr>
        <w:t>Loss</w:t>
      </w:r>
      <w:r>
        <w:rPr>
          <w:rFonts w:ascii="Times New Roman" w:cs="Times New Roman" w:eastAsia="Times New Roman" w:hAnsi="Times New Roman"/>
          <w:sz w:val="12"/>
          <w:szCs w:val="12"/>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 provided that this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shall not apply with respect to income, receipt, franchise or similar Taxes levied against the Rights Agent by a Governmental Authority.</w:t>
      </w:r>
    </w:p>
    <w:p>
      <w:pPr>
        <w:sectPr>
          <w:pgSz w:w="11900" w:h="16838" w:orient="portrait"/>
          <w:cols w:equalWidth="0" w:num="1">
            <w:col w:w="9019"/>
          </w:cols>
          <w:pgMar w:left="1440" w:top="231" w:right="1440" w:bottom="1440" w:gutter="0" w:footer="0" w:header="0"/>
        </w:sectPr>
      </w:pPr>
    </w:p>
    <w:bookmarkStart w:id="149" w:name="page150"/>
    <w:bookmarkEnd w:id="149"/>
    <w:p>
      <w:pPr>
        <w:ind w:left="640" w:right="659" w:firstLine="307"/>
        <w:spacing w:after="0" w:line="269" w:lineRule="auto"/>
        <w:tabs>
          <w:tab w:leader="none" w:pos="1128"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Company agrees (i) to pay the fees of the Rights Agent in connection with the Rights Agent’s performance of its obligations hereunder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2.4(b)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if the Company is found by a court of competent jurisdiction to be liable to the Rights Agent or the Holders, as applicable in such suit.</w:t>
      </w:r>
    </w:p>
    <w:p>
      <w:pPr>
        <w:spacing w:after="0" w:line="48" w:lineRule="exact"/>
        <w:rPr>
          <w:rFonts w:ascii="Times New Roman" w:cs="Times New Roman" w:eastAsia="Times New Roman" w:hAnsi="Times New Roman"/>
          <w:sz w:val="12"/>
          <w:szCs w:val="12"/>
          <w:color w:val="auto"/>
        </w:rPr>
      </w:pPr>
    </w:p>
    <w:p>
      <w:pPr>
        <w:ind w:left="640" w:right="799" w:firstLine="307"/>
        <w:spacing w:after="0" w:line="255" w:lineRule="auto"/>
        <w:tabs>
          <w:tab w:leader="none" w:pos="1100"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54"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00"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have no responsibility to the Company, any holders of CVRs, any holders of shares of Common Stock or any other Person for interest or earnings on any moneys held by the Rights Agent pursuant to this Agreement.</w:t>
      </w:r>
    </w:p>
    <w:p>
      <w:pPr>
        <w:spacing w:after="0" w:line="46" w:lineRule="exact"/>
        <w:rPr>
          <w:rFonts w:ascii="Times New Roman" w:cs="Times New Roman" w:eastAsia="Times New Roman" w:hAnsi="Times New Roman"/>
          <w:sz w:val="13"/>
          <w:szCs w:val="13"/>
          <w:color w:val="auto"/>
        </w:rPr>
      </w:pPr>
    </w:p>
    <w:p>
      <w:pPr>
        <w:ind w:left="640" w:right="659" w:firstLine="307"/>
        <w:spacing w:after="0" w:line="286" w:lineRule="auto"/>
        <w:tabs>
          <w:tab w:leader="none" w:pos="1128"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shall not be subject to, nor be required to comply with, or determine if any Person has complied with, the Merger Agreement or any other agreement between or among any the Company, Tyrol or Holders, even though reference thereto may be made in this Agreement, or to comply with any notice, instruction, direction, request or other communication, paper or document other than as expressly set forth in this Agreement.</w:t>
      </w:r>
    </w:p>
    <w:p>
      <w:pPr>
        <w:spacing w:after="0" w:line="37" w:lineRule="exact"/>
        <w:rPr>
          <w:rFonts w:ascii="Times New Roman" w:cs="Times New Roman" w:eastAsia="Times New Roman" w:hAnsi="Times New Roman"/>
          <w:sz w:val="12"/>
          <w:szCs w:val="12"/>
          <w:color w:val="auto"/>
        </w:rPr>
      </w:pPr>
    </w:p>
    <w:p>
      <w:pPr>
        <w:ind w:left="640" w:right="679" w:firstLine="307"/>
        <w:spacing w:after="0" w:line="251" w:lineRule="auto"/>
        <w:tabs>
          <w:tab w:leader="none" w:pos="1100"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(i) the Rights Agent and any shareholder, affiliate, director, officer or employee of the Rights Agent may buy, sell or deal in any securities of the Company or Tyrol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w:t>
      </w:r>
    </w:p>
    <w:p>
      <w:pPr>
        <w:spacing w:after="0" w:line="56" w:lineRule="exact"/>
        <w:rPr>
          <w:rFonts w:ascii="Times New Roman" w:cs="Times New Roman" w:eastAsia="Times New Roman" w:hAnsi="Times New Roman"/>
          <w:sz w:val="13"/>
          <w:szCs w:val="13"/>
          <w:color w:val="auto"/>
        </w:rPr>
      </w:pPr>
    </w:p>
    <w:p>
      <w:pPr>
        <w:ind w:left="640" w:right="659" w:firstLine="307"/>
        <w:spacing w:after="0" w:line="248" w:lineRule="auto"/>
        <w:tabs>
          <w:tab w:leader="none" w:pos="1163"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w:t>
      </w:r>
    </w:p>
    <w:p>
      <w:pPr>
        <w:spacing w:after="0" w:line="58"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28"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Tyrol resulting from any such act, default, neglect or misconduct, absent gross negligence, fraud, bad faith or willful misconduct (each as determined by a final non-appealable judgment of a court of competent jurisdiction) in the selection and continued employment thereof.</w:t>
      </w:r>
    </w:p>
    <w:p>
      <w:pPr>
        <w:spacing w:after="0" w:line="58" w:lineRule="exact"/>
        <w:rPr>
          <w:rFonts w:ascii="Times New Roman" w:cs="Times New Roman" w:eastAsia="Times New Roman" w:hAnsi="Times New Roman"/>
          <w:sz w:val="13"/>
          <w:szCs w:val="13"/>
          <w:color w:val="auto"/>
        </w:rPr>
      </w:pPr>
    </w:p>
    <w:p>
      <w:pPr>
        <w:ind w:left="640" w:right="1019" w:firstLine="307"/>
        <w:spacing w:after="0" w:line="255" w:lineRule="auto"/>
        <w:tabs>
          <w:tab w:leader="none" w:pos="1128"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w:t>
      </w:r>
    </w:p>
    <w:p>
      <w:pPr>
        <w:sectPr>
          <w:pgSz w:w="11900" w:h="16838" w:orient="portrait"/>
          <w:cols w:equalWidth="0" w:num="1">
            <w:col w:w="9019"/>
          </w:cols>
          <w:pgMar w:left="1440" w:top="231" w:right="1440" w:bottom="1440" w:gutter="0" w:footer="0" w:header="0"/>
        </w:sectPr>
      </w:pPr>
    </w:p>
    <w:bookmarkStart w:id="150" w:name="page151"/>
    <w:bookmarkEnd w:id="150"/>
    <w:p>
      <w:pPr>
        <w:ind w:left="640" w:right="719" w:firstLine="307"/>
        <w:spacing w:after="0" w:line="279" w:lineRule="auto"/>
        <w:tabs>
          <w:tab w:leader="none" w:pos="1128"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Legal Proceedings at Law or otherwise or to make any demand upon the Company.</w:t>
      </w:r>
    </w:p>
    <w:p>
      <w:pPr>
        <w:spacing w:after="0" w:line="40" w:lineRule="exact"/>
        <w:rPr>
          <w:rFonts w:ascii="Times New Roman" w:cs="Times New Roman" w:eastAsia="Times New Roman" w:hAnsi="Times New Roman"/>
          <w:sz w:val="12"/>
          <w:szCs w:val="12"/>
          <w:color w:val="auto"/>
        </w:rPr>
      </w:pPr>
    </w:p>
    <w:p>
      <w:pPr>
        <w:ind w:left="640" w:right="739" w:firstLine="307"/>
        <w:spacing w:after="0" w:line="251" w:lineRule="auto"/>
        <w:tabs>
          <w:tab w:leader="none" w:pos="1128"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56" w:lineRule="exact"/>
        <w:rPr>
          <w:rFonts w:ascii="Times New Roman" w:cs="Times New Roman" w:eastAsia="Times New Roman" w:hAnsi="Times New Roman"/>
          <w:sz w:val="13"/>
          <w:szCs w:val="13"/>
          <w:color w:val="auto"/>
        </w:rPr>
      </w:pPr>
    </w:p>
    <w:p>
      <w:pPr>
        <w:ind w:left="640" w:right="1099" w:firstLine="307"/>
        <w:spacing w:after="0" w:line="309" w:lineRule="auto"/>
        <w:tabs>
          <w:tab w:leader="none" w:pos="1107"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shall not be liable or responsible for any failure of the Company to comply with any of its obligations relating to any registration statement filed with the SEC or this Agreement, including without limitation obligations under applicable regulation or Law.</w:t>
      </w:r>
    </w:p>
    <w:p>
      <w:pPr>
        <w:spacing w:after="0" w:line="23" w:lineRule="exact"/>
        <w:rPr>
          <w:rFonts w:ascii="Times New Roman" w:cs="Times New Roman" w:eastAsia="Times New Roman" w:hAnsi="Times New Roman"/>
          <w:sz w:val="12"/>
          <w:szCs w:val="12"/>
          <w:color w:val="auto"/>
        </w:rPr>
      </w:pPr>
    </w:p>
    <w:p>
      <w:pPr>
        <w:ind w:left="640" w:right="1099" w:firstLine="307"/>
        <w:spacing w:after="0" w:line="267" w:lineRule="auto"/>
        <w:tabs>
          <w:tab w:leader="none" w:pos="1114"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obligations of the Company and the rights of the Rights Agent under this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shall survive the expiration of the CVRs and the termination of this Agreement and the resignation, replacement or removal of the Rights Agent.</w:t>
      </w:r>
    </w:p>
    <w:p>
      <w:pPr>
        <w:spacing w:after="0" w:line="46" w:lineRule="exact"/>
        <w:rPr>
          <w:rFonts w:ascii="Times New Roman" w:cs="Times New Roman" w:eastAsia="Times New Roman" w:hAnsi="Times New Roman"/>
          <w:sz w:val="13"/>
          <w:szCs w:val="13"/>
          <w:color w:val="auto"/>
        </w:rPr>
      </w:pPr>
    </w:p>
    <w:p>
      <w:pPr>
        <w:ind w:left="640" w:right="859" w:firstLine="307"/>
        <w:spacing w:after="0" w:line="255" w:lineRule="auto"/>
        <w:tabs>
          <w:tab w:leader="none" w:pos="1100"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(email being sufficient).</w:t>
      </w:r>
    </w:p>
    <w:p>
      <w:pPr>
        <w:spacing w:after="0" w:line="54" w:lineRule="exact"/>
        <w:rPr>
          <w:rFonts w:ascii="Times New Roman" w:cs="Times New Roman" w:eastAsia="Times New Roman" w:hAnsi="Times New Roman"/>
          <w:sz w:val="13"/>
          <w:szCs w:val="13"/>
          <w:color w:val="auto"/>
        </w:rPr>
      </w:pPr>
    </w:p>
    <w:p>
      <w:pPr>
        <w:ind w:left="640" w:right="839" w:firstLine="307"/>
        <w:spacing w:after="0" w:line="251" w:lineRule="auto"/>
        <w:tabs>
          <w:tab w:leader="none" w:pos="1128"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have no liability and shall be held harmless by the Company in respect of the validity of this Agreement and the execution and delivery hereof (except the due execution and delivery hereof by the Rights Agent and the enforceability of this Agreement against the Rights Agent assuming the due execution and delivery hereof by the Company), nor shall it be responsible for any breach by the Company of any covenant or condition contained in this Agreement.</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3.3 </w:t>
      </w:r>
      <w:r>
        <w:rPr>
          <w:rFonts w:ascii="Times New Roman" w:cs="Times New Roman" w:eastAsia="Times New Roman" w:hAnsi="Times New Roman"/>
          <w:sz w:val="13"/>
          <w:szCs w:val="13"/>
          <w:b w:val="1"/>
          <w:bCs w:val="1"/>
          <w:u w:val="single" w:color="auto"/>
          <w:color w:val="auto"/>
        </w:rPr>
        <w:t>Resignation and Removal; Appointment of Successor</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79" w:firstLine="307"/>
        <w:spacing w:after="0" w:line="255" w:lineRule="auto"/>
        <w:tabs>
          <w:tab w:leader="none" w:pos="112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54" w:lineRule="exact"/>
        <w:rPr>
          <w:rFonts w:ascii="Times New Roman" w:cs="Times New Roman" w:eastAsia="Times New Roman" w:hAnsi="Times New Roman"/>
          <w:sz w:val="13"/>
          <w:szCs w:val="13"/>
          <w:color w:val="auto"/>
        </w:rPr>
      </w:pPr>
    </w:p>
    <w:p>
      <w:pPr>
        <w:ind w:left="640" w:right="779" w:firstLine="307"/>
        <w:spacing w:after="0" w:line="255" w:lineRule="auto"/>
        <w:tabs>
          <w:tab w:leader="none" w:pos="1128"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54" w:lineRule="exact"/>
        <w:rPr>
          <w:rFonts w:ascii="Times New Roman" w:cs="Times New Roman" w:eastAsia="Times New Roman" w:hAnsi="Times New Roman"/>
          <w:sz w:val="13"/>
          <w:szCs w:val="13"/>
          <w:color w:val="auto"/>
        </w:rPr>
      </w:pPr>
    </w:p>
    <w:p>
      <w:pPr>
        <w:ind w:left="640" w:right="859" w:firstLine="307"/>
        <w:spacing w:after="0" w:line="248" w:lineRule="auto"/>
        <w:tabs>
          <w:tab w:leader="none" w:pos="112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become the Rights Agent for all purposes hereunder.</w:t>
      </w:r>
    </w:p>
    <w:p>
      <w:pPr>
        <w:spacing w:after="0" w:line="58" w:lineRule="exact"/>
        <w:rPr>
          <w:rFonts w:ascii="Times New Roman" w:cs="Times New Roman" w:eastAsia="Times New Roman" w:hAnsi="Times New Roman"/>
          <w:sz w:val="13"/>
          <w:szCs w:val="13"/>
          <w:color w:val="auto"/>
        </w:rPr>
      </w:pPr>
    </w:p>
    <w:p>
      <w:pPr>
        <w:jc w:val="both"/>
        <w:ind w:left="640" w:right="779" w:firstLine="307"/>
        <w:spacing w:after="0" w:line="251" w:lineRule="auto"/>
        <w:tabs>
          <w:tab w:leader="none" w:pos="1128"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will give notice to the Holders of each resignation or removal of the Rights Agent and each appointment of a successor Rights Agent in accordance with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sectPr>
          <w:pgSz w:w="11900" w:h="16838" w:orient="portrait"/>
          <w:cols w:equalWidth="0" w:num="1">
            <w:col w:w="9019"/>
          </w:cols>
          <w:pgMar w:left="1440" w:top="231" w:right="1440" w:bottom="1440" w:gutter="0" w:footer="0" w:header="0"/>
        </w:sectPr>
      </w:pPr>
    </w:p>
    <w:bookmarkStart w:id="151" w:name="page152"/>
    <w:bookmarkEnd w:id="151"/>
    <w:p>
      <w:pPr>
        <w:ind w:left="640" w:right="679" w:firstLine="307"/>
        <w:spacing w:after="0" w:line="255" w:lineRule="auto"/>
        <w:tabs>
          <w:tab w:leader="none" w:pos="1121"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in this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unless consented to in writing by the Acting Holders, the Company will not appoint as a successor Rights Agent any Person that is not a stock transfer agent of national reputation or the corporate trust department of a commercial bank.</w:t>
      </w:r>
    </w:p>
    <w:p>
      <w:pPr>
        <w:spacing w:after="0" w:line="54"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07"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31"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Section 3.4 </w:t>
      </w:r>
      <w:r>
        <w:rPr>
          <w:rFonts w:ascii="Times New Roman" w:cs="Times New Roman" w:eastAsia="Times New Roman" w:hAnsi="Times New Roman"/>
          <w:sz w:val="13"/>
          <w:szCs w:val="13"/>
          <w:b w:val="1"/>
          <w:bCs w:val="1"/>
          <w:u w:val="single" w:color="auto"/>
          <w:color w:val="auto"/>
        </w:rPr>
        <w:t>Acceptance of Appointment by Successor</w:t>
      </w:r>
      <w:r>
        <w:rPr>
          <w:rFonts w:ascii="Times New Roman" w:cs="Times New Roman" w:eastAsia="Times New Roman" w:hAnsi="Times New Roman"/>
          <w:sz w:val="13"/>
          <w:szCs w:val="13"/>
          <w:color w:val="auto"/>
        </w:rPr>
        <w:t>. Every successor Rights Agent appointed hereunder will, at or prior to such appointment,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except such rights which survive its resignation or removal under the terms hereunder.</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39" w:lineRule="exact"/>
        <w:rPr>
          <w:sz w:val="20"/>
          <w:szCs w:val="20"/>
          <w:color w:val="auto"/>
        </w:rPr>
      </w:pPr>
    </w:p>
    <w:p>
      <w:pPr>
        <w:ind w:left="640" w:right="85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4.1 </w:t>
      </w:r>
      <w:r>
        <w:rPr>
          <w:rFonts w:ascii="Times New Roman" w:cs="Times New Roman" w:eastAsia="Times New Roman" w:hAnsi="Times New Roman"/>
          <w:sz w:val="13"/>
          <w:szCs w:val="13"/>
          <w:b w:val="1"/>
          <w:bCs w:val="1"/>
          <w:u w:val="single" w:color="auto"/>
          <w:color w:val="auto"/>
        </w:rPr>
        <w:t>List of Holders</w:t>
      </w:r>
      <w:r>
        <w:rPr>
          <w:rFonts w:ascii="Times New Roman" w:cs="Times New Roman" w:eastAsia="Times New Roman" w:hAnsi="Times New Roman"/>
          <w:sz w:val="13"/>
          <w:szCs w:val="13"/>
          <w:color w:val="auto"/>
        </w:rPr>
        <w:t>. The Company will furnish or cause to be furnished to the Rights Agent, in such form as the Company receives from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Company’s transfer agent (or other agent performing similar services for the Company), the names and addresses of the Holders within fifteen (15) Business Days following the Closing Date.</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4.2 </w:t>
      </w:r>
      <w:r>
        <w:rPr>
          <w:rFonts w:ascii="Times New Roman" w:cs="Times New Roman" w:eastAsia="Times New Roman" w:hAnsi="Times New Roman"/>
          <w:sz w:val="13"/>
          <w:szCs w:val="13"/>
          <w:b w:val="1"/>
          <w:bCs w:val="1"/>
          <w:u w:val="single" w:color="auto"/>
          <w:color w:val="auto"/>
        </w:rPr>
        <w:t>Efforts</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ind w:left="1320" w:right="799" w:hanging="379"/>
        <w:spacing w:after="0" w:line="279" w:lineRule="auto"/>
        <w:tabs>
          <w:tab w:leader="none" w:pos="1320"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Disposition Period, the Company shall, and shall cause its Subsidiaries to, use Commercially Reasonable Efforts to effect Dispositions with respect to the Company Pre-Closing Assets to a third party that has delivered Inbound Interest delivered or otherwise made known to an executive officer or business development officer of the Company with respect to a Company Pre-Closing Asset after the Closing to the Company, its Subsidiaries or their Representatives in evaluating or potentially engaging in a Disposition.</w:t>
      </w:r>
    </w:p>
    <w:p>
      <w:pPr>
        <w:spacing w:after="0" w:line="50" w:lineRule="exact"/>
        <w:rPr>
          <w:rFonts w:ascii="Times New Roman" w:cs="Times New Roman" w:eastAsia="Times New Roman" w:hAnsi="Times New Roman"/>
          <w:sz w:val="12"/>
          <w:szCs w:val="12"/>
          <w:color w:val="auto"/>
        </w:rPr>
      </w:pPr>
    </w:p>
    <w:p>
      <w:pPr>
        <w:ind w:left="1320" w:right="659" w:hanging="379"/>
        <w:spacing w:after="0" w:line="270" w:lineRule="auto"/>
        <w:tabs>
          <w:tab w:leader="none" w:pos="1320"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4.2(a)</w:t>
      </w:r>
      <w:r>
        <w:rPr>
          <w:rFonts w:ascii="Times New Roman" w:cs="Times New Roman" w:eastAsia="Times New Roman" w:hAnsi="Times New Roman"/>
          <w:sz w:val="12"/>
          <w:szCs w:val="12"/>
          <w:color w:val="auto"/>
        </w:rPr>
        <w:t xml:space="preserve"> and the other contractual obligations of the Company expressly set forth in this Agreement, (i) the Holders acknowledge that the Company has a fiduciary obligation to operate its business in the best interests of its stockholders, and any potential obligation to pay CVR Payments will not create any express or implied obligation to operate its business in any particular manner in order to maximize such CVR Payments, (ii) except as expressly set forth in this Agreement, the Holders are not relying on any representation of the Company or any other Person with regard to any Disposition or other action involving the Company Pre-Closing Assets following the Closing, and neither the Company nor any other Person has provided, or can provide, any assurance to the Holders that any CVR Payments will in fact be earned and paid, and (iii) none of the Company or any of its Subsidiaries, officers or directors shall have any obligation or liability whatsoever to any Person relating to or in connection with any action, or failure to act, with respect to any Disposition.</w:t>
      </w:r>
    </w:p>
    <w:p>
      <w:pPr>
        <w:sectPr>
          <w:pgSz w:w="11900" w:h="16838" w:orient="portrait"/>
          <w:cols w:equalWidth="0" w:num="1">
            <w:col w:w="9019"/>
          </w:cols>
          <w:pgMar w:left="1440" w:top="231" w:right="1440" w:bottom="1440" w:gutter="0" w:footer="0" w:header="0"/>
        </w:sectPr>
      </w:pPr>
    </w:p>
    <w:bookmarkStart w:id="152" w:name="page153"/>
    <w:bookmarkEnd w:id="15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4.3 </w:t>
      </w:r>
      <w:r>
        <w:rPr>
          <w:rFonts w:ascii="Times New Roman" w:cs="Times New Roman" w:eastAsia="Times New Roman" w:hAnsi="Times New Roman"/>
          <w:sz w:val="13"/>
          <w:szCs w:val="13"/>
          <w:b w:val="1"/>
          <w:bCs w:val="1"/>
          <w:u w:val="single" w:color="auto"/>
          <w:color w:val="auto"/>
        </w:rPr>
        <w:t>Additional Covenants</w:t>
      </w:r>
      <w:r>
        <w:rPr>
          <w:rFonts w:ascii="Times New Roman" w:cs="Times New Roman" w:eastAsia="Times New Roman" w:hAnsi="Times New Roman"/>
          <w:sz w:val="13"/>
          <w:szCs w:val="13"/>
          <w:color w:val="auto"/>
        </w:rPr>
        <w:t>. During the Disposition Period:</w:t>
      </w:r>
    </w:p>
    <w:p>
      <w:pPr>
        <w:spacing w:after="0" w:line="89" w:lineRule="exact"/>
        <w:rPr>
          <w:sz w:val="20"/>
          <w:szCs w:val="20"/>
          <w:color w:val="auto"/>
        </w:rPr>
      </w:pPr>
    </w:p>
    <w:p>
      <w:pPr>
        <w:ind w:left="1320" w:right="819" w:hanging="379"/>
        <w:spacing w:after="0" w:line="251" w:lineRule="auto"/>
        <w:tabs>
          <w:tab w:leader="none" w:pos="1320"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limiting any other provisions of this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neither the Company nor any of its Affiliates shall take any action in bad faith with respect to, or with the primary purpose of avoiding, the payment of the CVR Payment Amount, including by making any dividend, distribution or other transfer of Net Proceeds in a manner materially adverse to the Company’s obligations in respect of Net Proceeds pursuant to this Agreement</w:t>
      </w:r>
    </w:p>
    <w:p>
      <w:pPr>
        <w:spacing w:after="0" w:line="66" w:lineRule="exact"/>
        <w:rPr>
          <w:rFonts w:ascii="Times New Roman" w:cs="Times New Roman" w:eastAsia="Times New Roman" w:hAnsi="Times New Roman"/>
          <w:sz w:val="13"/>
          <w:szCs w:val="13"/>
          <w:color w:val="auto"/>
        </w:rPr>
      </w:pPr>
    </w:p>
    <w:p>
      <w:pPr>
        <w:ind w:left="1320" w:right="719" w:hanging="379"/>
        <w:spacing w:after="0" w:line="247" w:lineRule="auto"/>
        <w:tabs>
          <w:tab w:leader="none" w:pos="1320"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and shall cause its subsidiaries to, use commercially reasonable efforts to continue to preserve and maintain the Company Pre-Closing Assets, including all Intellectual Property relating thereto but, and shall use commercially reasonable efforts to comply with such maintenance obligations as required by any license or related term set forth in any Disposition Agreement. Notwithstanding the foregoing, with respect to such efforts to preserve and maintain Intellectual Property relating to the Company Pre-Closing Assets, (A) the Company shall not be required to incur aggregate out-of-pocket costs and expenses in excess of $200,000 (the “</w:t>
      </w:r>
      <w:r>
        <w:rPr>
          <w:rFonts w:ascii="Times New Roman" w:cs="Times New Roman" w:eastAsia="Times New Roman" w:hAnsi="Times New Roman"/>
          <w:sz w:val="13"/>
          <w:szCs w:val="13"/>
          <w:b w:val="1"/>
          <w:bCs w:val="1"/>
          <w:color w:val="auto"/>
        </w:rPr>
        <w:t>IP Expense Fund</w:t>
      </w:r>
      <w:r>
        <w:rPr>
          <w:rFonts w:ascii="Times New Roman" w:cs="Times New Roman" w:eastAsia="Times New Roman" w:hAnsi="Times New Roman"/>
          <w:sz w:val="13"/>
          <w:szCs w:val="13"/>
          <w:color w:val="auto"/>
        </w:rPr>
        <w:t>”) and (B) the Company shall prioritize the application of the IP Expense Fund in accordance with the provisions of Schedule 1 hereto.</w:t>
      </w:r>
    </w:p>
    <w:p>
      <w:pPr>
        <w:spacing w:after="0" w:line="69" w:lineRule="exact"/>
        <w:rPr>
          <w:rFonts w:ascii="Times New Roman" w:cs="Times New Roman" w:eastAsia="Times New Roman" w:hAnsi="Times New Roman"/>
          <w:sz w:val="13"/>
          <w:szCs w:val="13"/>
          <w:color w:val="auto"/>
        </w:rPr>
      </w:pPr>
    </w:p>
    <w:p>
      <w:pPr>
        <w:ind w:left="1320" w:right="659" w:hanging="379"/>
        <w:spacing w:after="0" w:line="249" w:lineRule="auto"/>
        <w:tabs>
          <w:tab w:leader="none" w:pos="1320"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not grant any lien, security interest, pledge or similar interest in any Company Pre-Closing Assets or any Net Proceeds other than (A) pursuant to the terms of a Disposition Agreement or (B) any such interest generally granted with respect to all assets of the Company and not specific to any of the Company Pre-Closing Assets, and which do not prohibit the ability of the Company to complete a Disposition and, in connection therewith, to deliver title to the Company Pre-Closing Assets to the purchaser thereof, free and clear of such interest.</w:t>
      </w:r>
    </w:p>
    <w:p>
      <w:pPr>
        <w:spacing w:after="0" w:line="67" w:lineRule="exact"/>
        <w:rPr>
          <w:rFonts w:ascii="Times New Roman" w:cs="Times New Roman" w:eastAsia="Times New Roman" w:hAnsi="Times New Roman"/>
          <w:sz w:val="13"/>
          <w:szCs w:val="13"/>
          <w:color w:val="auto"/>
        </w:rPr>
      </w:pPr>
    </w:p>
    <w:p>
      <w:pPr>
        <w:ind w:left="1320" w:right="759" w:hanging="379"/>
        <w:spacing w:after="0" w:line="286" w:lineRule="auto"/>
        <w:tabs>
          <w:tab w:leader="none" w:pos="1320"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promptly inform the director(s) on the Company board of directors who then hold CVRs if and after Inbound Interest is delivered or otherwise made known to an executive officer or business development officer of the Company, and shall keep such director(s) reasonably and promptly informed regarding material developments in the negotiation of Disposition Agreements.</w:t>
      </w:r>
    </w:p>
    <w:p>
      <w:pPr>
        <w:spacing w:after="0" w:line="111" w:lineRule="exact"/>
        <w:rPr>
          <w:sz w:val="20"/>
          <w:szCs w:val="20"/>
          <w:color w:val="auto"/>
        </w:rPr>
      </w:pPr>
    </w:p>
    <w:p>
      <w:pPr>
        <w:jc w:val="both"/>
        <w:ind w:left="640" w:right="73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4.4 </w:t>
      </w:r>
      <w:r>
        <w:rPr>
          <w:rFonts w:ascii="Times New Roman" w:cs="Times New Roman" w:eastAsia="Times New Roman" w:hAnsi="Times New Roman"/>
          <w:sz w:val="13"/>
          <w:szCs w:val="13"/>
          <w:b w:val="1"/>
          <w:bCs w:val="1"/>
          <w:u w:val="single" w:color="auto"/>
          <w:color w:val="auto"/>
        </w:rPr>
        <w:t>Books and Records</w:t>
      </w:r>
      <w:r>
        <w:rPr>
          <w:rFonts w:ascii="Times New Roman" w:cs="Times New Roman" w:eastAsia="Times New Roman" w:hAnsi="Times New Roman"/>
          <w:sz w:val="13"/>
          <w:szCs w:val="13"/>
          <w:color w:val="auto"/>
        </w:rPr>
        <w:t>. Until the end of the CVR Term, the Company shall, and shall cause its Affiliates to, keep true, complete and accurate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records in sufficient detail to enable the Rights Agent to confirm the applicable CVR Payment Amount payable hereunder in accordance with the terms specified in this Agreement.</w:t>
      </w:r>
    </w:p>
    <w:p>
      <w:pPr>
        <w:spacing w:after="0" w:line="126"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Section 4.5 </w:t>
      </w:r>
      <w:r>
        <w:rPr>
          <w:rFonts w:ascii="Times New Roman" w:cs="Times New Roman" w:eastAsia="Times New Roman" w:hAnsi="Times New Roman"/>
          <w:sz w:val="12"/>
          <w:szCs w:val="12"/>
          <w:b w:val="1"/>
          <w:bCs w:val="1"/>
          <w:u w:val="single" w:color="auto"/>
          <w:color w:val="auto"/>
        </w:rPr>
        <w:t>Audits</w:t>
      </w:r>
      <w:r>
        <w:rPr>
          <w:rFonts w:ascii="Times New Roman" w:cs="Times New Roman" w:eastAsia="Times New Roman" w:hAnsi="Times New Roman"/>
          <w:sz w:val="12"/>
          <w:szCs w:val="12"/>
          <w:color w:val="auto"/>
        </w:rPr>
        <w:t>. Until the expiration of this Agreement and for a period of one (1) year thereafter, the Company shall keep complete and accurate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records in sufficient detail to support the accuracy of the payments due hereunder. The Acting Holders shall have the right to cause an independent accounting firm reasonably acceptable to the Company to audit such records for the sole purpose of confirming payments for a period covering not more than the date commencing with the first CVR Payment Period in which the Company or its Affiliates receives Gross Proceeds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Acting Holders, as applicable, unless after an accounting period has been audited by the Acting Holders, as applicable, the Company restates its financial results for such accounting period, in which event the Acting Holders, as applicable, may conduct a second audit of such accounting period in accordance with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Adjustments (including remittances of underpayments or overpayments disclosed by such audit) shall be made by the Company to reflect the results of such audit, which adjustments shall be paid promptly</w:t>
      </w:r>
    </w:p>
    <w:p>
      <w:pPr>
        <w:sectPr>
          <w:pgSz w:w="11900" w:h="16838" w:orient="portrait"/>
          <w:cols w:equalWidth="0" w:num="1">
            <w:col w:w="9019"/>
          </w:cols>
          <w:pgMar w:left="1440" w:top="229" w:right="1440" w:bottom="1440" w:gutter="0" w:footer="0" w:header="0"/>
        </w:sectPr>
      </w:pPr>
    </w:p>
    <w:bookmarkStart w:id="153" w:name="page154"/>
    <w:bookmarkEnd w:id="153"/>
    <w:p>
      <w:pPr>
        <w:ind w:left="640" w:right="7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Statement for the relevant CVR Payment Period.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as applicable, shall bear the full cost and expense of such audit unless such audit discloses an underpayment by the Company of twenty percent (20%)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Section 4.7 </w:t>
      </w:r>
      <w:r>
        <w:rPr>
          <w:rFonts w:ascii="Times New Roman" w:cs="Times New Roman" w:eastAsia="Times New Roman" w:hAnsi="Times New Roman"/>
          <w:sz w:val="13"/>
          <w:szCs w:val="13"/>
          <w:b w:val="1"/>
          <w:bCs w:val="1"/>
          <w:u w:val="single" w:color="auto"/>
          <w:color w:val="auto"/>
        </w:rPr>
        <w:t>No Conflict</w:t>
      </w:r>
      <w:r>
        <w:rPr>
          <w:rFonts w:ascii="Times New Roman" w:cs="Times New Roman" w:eastAsia="Times New Roman" w:hAnsi="Times New Roman"/>
          <w:sz w:val="13"/>
          <w:szCs w:val="13"/>
          <w:color w:val="auto"/>
        </w:rPr>
        <w:t>. The Company will not enter into any agreement with any Person that is, or otherwise take any actions or inactions, in conflict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this Agreement in any material respect or materially and adversely affect the performance of its obligations under this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5.1 </w:t>
      </w:r>
      <w:r>
        <w:rPr>
          <w:rFonts w:ascii="Times New Roman" w:cs="Times New Roman" w:eastAsia="Times New Roman" w:hAnsi="Times New Roman"/>
          <w:sz w:val="13"/>
          <w:szCs w:val="13"/>
          <w:b w:val="1"/>
          <w:bCs w:val="1"/>
          <w:u w:val="single" w:color="auto"/>
          <w:color w:val="auto"/>
        </w:rPr>
        <w:t>Amendments Without Consent of Holders or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7"/>
        <w:spacing w:after="0" w:line="309" w:lineRule="auto"/>
        <w:tabs>
          <w:tab w:leader="none" w:pos="1121"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spacing w:after="0" w:line="23" w:lineRule="exact"/>
        <w:rPr>
          <w:rFonts w:ascii="Times New Roman" w:cs="Times New Roman" w:eastAsia="Times New Roman" w:hAnsi="Times New Roman"/>
          <w:sz w:val="12"/>
          <w:szCs w:val="12"/>
          <w:color w:val="auto"/>
        </w:rPr>
      </w:pPr>
    </w:p>
    <w:p>
      <w:pPr>
        <w:ind w:left="640" w:right="819" w:firstLine="693"/>
        <w:spacing w:after="0" w:line="267" w:lineRule="auto"/>
        <w:tabs>
          <w:tab w:leader="none" w:pos="1487"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46" w:lineRule="exact"/>
        <w:rPr>
          <w:rFonts w:ascii="Times New Roman" w:cs="Times New Roman" w:eastAsia="Times New Roman" w:hAnsi="Times New Roman"/>
          <w:sz w:val="13"/>
          <w:szCs w:val="13"/>
          <w:color w:val="auto"/>
        </w:rPr>
      </w:pPr>
    </w:p>
    <w:p>
      <w:pPr>
        <w:ind w:left="640" w:right="799" w:firstLine="693"/>
        <w:spacing w:after="0" w:line="267" w:lineRule="auto"/>
        <w:tabs>
          <w:tab w:leader="none" w:pos="1522"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to evidence the succession of another person to the Company and the assumption of any such successor of the covenants of the Company outlined herein in a transaction contemplated by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57"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add to the covenants of the Company such further covenants, restrictions, conditions or provisions as the Company and the Rights Agent will consider to be for the protection and benefit of the Holders;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54"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50"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54"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15"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may be necessary or appropriate to ensure that the CVRs are not subject to registration under the Securities Act or the Exchange Act and the rules and regulations promulgated thereunder, or any applicable state securities or “blue sky” laws;</w:t>
      </w:r>
    </w:p>
    <w:p>
      <w:pPr>
        <w:spacing w:after="0" w:line="46" w:lineRule="exact"/>
        <w:rPr>
          <w:rFonts w:ascii="Times New Roman" w:cs="Times New Roman" w:eastAsia="Times New Roman" w:hAnsi="Times New Roman"/>
          <w:sz w:val="13"/>
          <w:szCs w:val="13"/>
          <w:color w:val="auto"/>
        </w:rPr>
      </w:pPr>
    </w:p>
    <w:p>
      <w:pPr>
        <w:ind w:left="640" w:right="799" w:firstLine="693"/>
        <w:spacing w:after="0" w:line="267" w:lineRule="auto"/>
        <w:tabs>
          <w:tab w:leader="none" w:pos="1550"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may be necessary or appropriate to ensure that the Company is not required to produce a prospectus or an admission document in order to comply with applicable Law;</w:t>
      </w:r>
    </w:p>
    <w:p>
      <w:pPr>
        <w:spacing w:after="0" w:line="46" w:lineRule="exact"/>
        <w:rPr>
          <w:rFonts w:ascii="Times New Roman" w:cs="Times New Roman" w:eastAsia="Times New Roman" w:hAnsi="Times New Roman"/>
          <w:sz w:val="13"/>
          <w:szCs w:val="13"/>
          <w:color w:val="auto"/>
        </w:rPr>
      </w:pPr>
    </w:p>
    <w:p>
      <w:pPr>
        <w:jc w:val="both"/>
        <w:ind w:left="640" w:right="679" w:firstLine="693"/>
        <w:spacing w:after="0" w:line="309" w:lineRule="auto"/>
        <w:tabs>
          <w:tab w:leader="none" w:pos="1585" w:val="left"/>
        </w:tabs>
        <w:numPr>
          <w:ilvl w:val="1"/>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cancel the CVRs (i) in the event that any Holder has abandoned its rights in accordance with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(ii) in order to give effect to the provisions of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or (iii) following a transfer of such CVRs to the Company or its Affiliates in accordance with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31" w:right="1440" w:bottom="1440" w:gutter="0" w:footer="0" w:header="0"/>
        </w:sectPr>
      </w:pPr>
    </w:p>
    <w:bookmarkStart w:id="154" w:name="page155"/>
    <w:bookmarkEnd w:id="154"/>
    <w:p>
      <w:pPr>
        <w:ind w:left="1620" w:hanging="287"/>
        <w:spacing w:after="0"/>
        <w:tabs>
          <w:tab w:leader="none" w:pos="1620"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as may be necessary or appropriate to ensure that the Company complies with applicable Law; or</w:t>
      </w:r>
    </w:p>
    <w:p>
      <w:pPr>
        <w:spacing w:after="0" w:line="77"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50"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effect any other amendment to this Agreement for the purpose of adding, eliminating or changing any provisions of this Agreement,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in each case, such additions, eliminations or changes do not adversely affect the interests of the Holders.</w:t>
      </w:r>
    </w:p>
    <w:p>
      <w:pPr>
        <w:spacing w:after="0" w:line="46" w:lineRule="exact"/>
        <w:rPr>
          <w:rFonts w:ascii="Times New Roman" w:cs="Times New Roman" w:eastAsia="Times New Roman" w:hAnsi="Times New Roman"/>
          <w:sz w:val="13"/>
          <w:szCs w:val="13"/>
          <w:color w:val="auto"/>
        </w:rPr>
      </w:pPr>
    </w:p>
    <w:p>
      <w:pPr>
        <w:ind w:left="640" w:right="979" w:firstLine="307"/>
        <w:spacing w:after="0" w:line="267" w:lineRule="auto"/>
        <w:tabs>
          <w:tab w:leader="none" w:pos="1128"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the Company of any amendment pursuant to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5.2 </w:t>
      </w:r>
      <w:r>
        <w:rPr>
          <w:rFonts w:ascii="Times New Roman" w:cs="Times New Roman" w:eastAsia="Times New Roman" w:hAnsi="Times New Roman"/>
          <w:sz w:val="13"/>
          <w:szCs w:val="13"/>
          <w:b w:val="1"/>
          <w:bCs w:val="1"/>
          <w:u w:val="single" w:color="auto"/>
          <w:color w:val="auto"/>
        </w:rPr>
        <w:t>Amendments with Consent of Holders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In addition to any amendments to this Agreement that may be made by the Company without the consent of any Holder pursuant to</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with the consent of the Acting Holders (whether evidenced in a writing or taken at a meeting of the Holders), the Company and the Rights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Agent may enter into one or more amendments to this Agreement for the purpose of adding, eliminating or amending any provisions of this Agreement,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even if such addition, elimination or amendment is adverse to the interests of the Holders.</w:t>
      </w:r>
    </w:p>
    <w:p>
      <w:pPr>
        <w:spacing w:after="0" w:line="65" w:lineRule="exact"/>
        <w:rPr>
          <w:sz w:val="20"/>
          <w:szCs w:val="20"/>
          <w:color w:val="auto"/>
        </w:rPr>
      </w:pPr>
    </w:p>
    <w:p>
      <w:pPr>
        <w:ind w:left="640" w:right="999" w:firstLine="307"/>
        <w:spacing w:after="0" w:line="255" w:lineRule="auto"/>
        <w:tabs>
          <w:tab w:leader="none" w:pos="1128"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the Company and the Rights Agent of any amendment pursuant to the provisions of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5.3 </w:t>
      </w:r>
      <w:r>
        <w:rPr>
          <w:rFonts w:ascii="Times New Roman" w:cs="Times New Roman" w:eastAsia="Times New Roman" w:hAnsi="Times New Roman"/>
          <w:sz w:val="13"/>
          <w:szCs w:val="13"/>
          <w:b w:val="1"/>
          <w:bCs w:val="1"/>
          <w:u w:val="single" w:color="auto"/>
          <w:color w:val="auto"/>
        </w:rPr>
        <w:t>Effect of Amendments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 xml:space="preserve">Upon the execution of any amendment under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6</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CONSOLIDATION, MERGER, SALE OR CONVEYANCE</w:t>
      </w:r>
    </w:p>
    <w:p>
      <w:pPr>
        <w:spacing w:after="0" w:line="139"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Section 6.1 </w:t>
      </w:r>
      <w:r>
        <w:rPr>
          <w:rFonts w:ascii="Times New Roman" w:cs="Times New Roman" w:eastAsia="Times New Roman" w:hAnsi="Times New Roman"/>
          <w:sz w:val="13"/>
          <w:szCs w:val="13"/>
          <w:b w:val="1"/>
          <w:bCs w:val="1"/>
          <w:u w:val="single" w:color="auto"/>
          <w:color w:val="auto"/>
        </w:rPr>
        <w:t>The Company May Not Consolidate, Etc</w:t>
      </w:r>
      <w:r>
        <w:rPr>
          <w:rFonts w:ascii="Times New Roman" w:cs="Times New Roman" w:eastAsia="Times New Roman" w:hAnsi="Times New Roman"/>
          <w:sz w:val="13"/>
          <w:szCs w:val="13"/>
          <w:color w:val="auto"/>
        </w:rPr>
        <w:t>. During the CVR Term, the Company shall not consolidate with or merge into any other Person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convey, transfer or lease its properties and assets substantially as an entirety to any Person, unless:</w:t>
      </w:r>
    </w:p>
    <w:p>
      <w:pPr>
        <w:spacing w:after="0" w:line="45" w:lineRule="exact"/>
        <w:rPr>
          <w:sz w:val="20"/>
          <w:szCs w:val="20"/>
          <w:color w:val="auto"/>
        </w:rPr>
      </w:pPr>
    </w:p>
    <w:p>
      <w:pPr>
        <w:ind w:left="640" w:right="659" w:firstLine="307"/>
        <w:spacing w:after="0" w:line="251" w:lineRule="auto"/>
        <w:tabs>
          <w:tab w:leader="none" w:pos="1121"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 formed by such consolidation or into which the Company is merged or the Person that acquires by conveyance or transfer, or that leases, the properties and assets of the Company substantially as an entirety (the “</w:t>
      </w:r>
      <w:r>
        <w:rPr>
          <w:rFonts w:ascii="Times New Roman" w:cs="Times New Roman" w:eastAsia="Times New Roman" w:hAnsi="Times New Roman"/>
          <w:sz w:val="13"/>
          <w:szCs w:val="13"/>
          <w:b w:val="1"/>
          <w:bCs w:val="1"/>
          <w:color w:val="auto"/>
        </w:rPr>
        <w:t>Surviving Person</w:t>
      </w:r>
      <w:r>
        <w:rPr>
          <w:rFonts w:ascii="Times New Roman" w:cs="Times New Roman" w:eastAsia="Times New Roman" w:hAnsi="Times New Roman"/>
          <w:sz w:val="13"/>
          <w:szCs w:val="13"/>
          <w:color w:val="auto"/>
        </w:rPr>
        <w:t>”) shall expressly assume payment of amounts on all CVRs (when and as due hereunder) and the performance of every duty and covenant of this Agreement on the part of the Company to be performed or observed; and</w:t>
      </w:r>
    </w:p>
    <w:p>
      <w:pPr>
        <w:spacing w:after="0" w:line="56"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8"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has delivered to the Rights Agent an Officer’s Certificate, stating that such consolidation, merger, conveyance, transfer or lease complies with this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xml:space="preserve"> and that all conditions precedent herein provided for relating to such transaction have been complied with.</w:t>
      </w:r>
    </w:p>
    <w:p>
      <w:pPr>
        <w:spacing w:after="0" w:line="120" w:lineRule="exact"/>
        <w:rPr>
          <w:sz w:val="20"/>
          <w:szCs w:val="20"/>
          <w:color w:val="auto"/>
        </w:rPr>
      </w:pPr>
    </w:p>
    <w:p>
      <w:pPr>
        <w:jc w:val="both"/>
        <w:ind w:left="640" w:right="69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Section 6.2 </w:t>
      </w:r>
      <w:r>
        <w:rPr>
          <w:rFonts w:ascii="Times New Roman" w:cs="Times New Roman" w:eastAsia="Times New Roman" w:hAnsi="Times New Roman"/>
          <w:sz w:val="13"/>
          <w:szCs w:val="13"/>
          <w:b w:val="1"/>
          <w:bCs w:val="1"/>
          <w:u w:val="single" w:color="auto"/>
          <w:color w:val="auto"/>
        </w:rPr>
        <w:t>Successor Substituted</w:t>
      </w:r>
      <w:r>
        <w:rPr>
          <w:rFonts w:ascii="Times New Roman" w:cs="Times New Roman" w:eastAsia="Times New Roman" w:hAnsi="Times New Roman"/>
          <w:sz w:val="13"/>
          <w:szCs w:val="13"/>
          <w:color w:val="auto"/>
        </w:rPr>
        <w:t>. Upon any consolidation of or merger by the Company with or into any other Person, or any conveyance, transfer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lease of the properties and assets substantially as an entirety to any Person in accordance with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the Surviving Person shall succeed to, and be substituted for, and may exercise every right and power of, and shall assume all of the obligations of the Company under this Agreement with the same effect as if the Surviving Person had been named as the Company herein.</w:t>
      </w:r>
    </w:p>
    <w:p>
      <w:pPr>
        <w:sectPr>
          <w:pgSz w:w="11900" w:h="16838" w:orient="portrait"/>
          <w:cols w:equalWidth="0" w:num="1">
            <w:col w:w="9019"/>
          </w:cols>
          <w:pgMar w:left="1440" w:top="231" w:right="1440"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7</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67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Section 7.1 </w:t>
      </w:r>
      <w:r>
        <w:rPr>
          <w:rFonts w:ascii="Times New Roman" w:cs="Times New Roman" w:eastAsia="Times New Roman" w:hAnsi="Times New Roman"/>
          <w:sz w:val="13"/>
          <w:szCs w:val="13"/>
          <w:b w:val="1"/>
          <w:bCs w:val="1"/>
          <w:u w:val="single" w:color="auto"/>
          <w:color w:val="auto"/>
        </w:rPr>
        <w:t>Notices to Rights Agent and to the Company</w:t>
      </w:r>
      <w:r>
        <w:rPr>
          <w:rFonts w:ascii="Times New Roman" w:cs="Times New Roman" w:eastAsia="Times New Roman" w:hAnsi="Times New Roman"/>
          <w:sz w:val="13"/>
          <w:szCs w:val="13"/>
          <w:color w:val="auto"/>
        </w:rPr>
        <w:t>. All notices, requests and other communications (each, a “</w:t>
      </w:r>
      <w:r>
        <w:rPr>
          <w:rFonts w:ascii="Times New Roman" w:cs="Times New Roman" w:eastAsia="Times New Roman" w:hAnsi="Times New Roman"/>
          <w:sz w:val="13"/>
          <w:szCs w:val="13"/>
          <w:b w:val="1"/>
          <w:bCs w:val="1"/>
          <w:color w:val="auto"/>
        </w:rPr>
        <w:t>Notice</w:t>
      </w:r>
      <w:r>
        <w:rPr>
          <w:rFonts w:ascii="Times New Roman" w:cs="Times New Roman" w:eastAsia="Times New Roman" w:hAnsi="Times New Roman"/>
          <w:sz w:val="13"/>
          <w:szCs w:val="13"/>
          <w:color w:val="auto"/>
        </w:rPr>
        <w:t>”) to any party hereunder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be in writing and shall be deemed to have been duly delivered and received hereunder (a) when sent, fees prepaid, via a reputable international overnight courier service in the case of delivery in person, by FedEx or other internationally recognized overnight courier service or (b) when sent, if sent by email (with a written or electronic confirmation of delivery) prior to 6:00 p.m. (New York City time), otherwise on the next succeeding Business Day, in each case to the intended recipient as set forth below:</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Rights Agent,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[_____]</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[_____]</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[_____]</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[_____]</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Company,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Tectonic Therapeutic, Inc.</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[_____]</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[_____]</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[_____]</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[_____]</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Cooley LLP</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500 Boylston Street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Boston, MA 02116</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Miguel Vega; Marc Recht; Michael Rohr</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mvega@cooley.com; mrecht@cooley.com; mrohr@cooley.com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or to such other address as such party may hereafter specify for the purpose by notice to the other parties hereto.</w:t>
      </w:r>
    </w:p>
    <w:p>
      <w:pPr>
        <w:spacing w:after="0" w:line="152" w:lineRule="exact"/>
        <w:rPr>
          <w:sz w:val="20"/>
          <w:szCs w:val="20"/>
          <w:color w:val="auto"/>
        </w:rPr>
      </w:pPr>
    </w:p>
    <w:p>
      <w:pPr>
        <w:ind w:left="640" w:right="67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Section 7.2 </w:t>
      </w:r>
      <w:r>
        <w:rPr>
          <w:rFonts w:ascii="Times New Roman" w:cs="Times New Roman" w:eastAsia="Times New Roman" w:hAnsi="Times New Roman"/>
          <w:sz w:val="13"/>
          <w:szCs w:val="13"/>
          <w:b w:val="1"/>
          <w:bCs w:val="1"/>
          <w:u w:val="single" w:color="auto"/>
          <w:color w:val="auto"/>
        </w:rPr>
        <w:t>Notice to Holders</w:t>
      </w:r>
      <w:r>
        <w:rPr>
          <w:rFonts w:ascii="Times New Roman" w:cs="Times New Roman" w:eastAsia="Times New Roman" w:hAnsi="Times New Roman"/>
          <w:sz w:val="13"/>
          <w:szCs w:val="13"/>
          <w:color w:val="auto"/>
        </w:rPr>
        <w:t>. All Notices required to be given to the Holders will be given (unless otherwise herein expressly provided) in writing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31" w:lineRule="exact"/>
        <w:rPr>
          <w:sz w:val="20"/>
          <w:szCs w:val="20"/>
          <w:color w:val="auto"/>
        </w:rPr>
      </w:pPr>
    </w:p>
    <w:p>
      <w:pPr>
        <w:jc w:val="both"/>
        <w:ind w:left="640" w:right="79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7.3 </w:t>
      </w:r>
      <w:r>
        <w:rPr>
          <w:rFonts w:ascii="Times New Roman" w:cs="Times New Roman" w:eastAsia="Times New Roman" w:hAnsi="Times New Roman"/>
          <w:sz w:val="13"/>
          <w:szCs w:val="13"/>
          <w:b w:val="1"/>
          <w:bCs w:val="1"/>
          <w:u w:val="single" w:color="auto"/>
          <w:color w:val="auto"/>
        </w:rPr>
        <w:t>Entire Agreement</w:t>
      </w:r>
      <w:r>
        <w:rPr>
          <w:rFonts w:ascii="Times New Roman" w:cs="Times New Roman" w:eastAsia="Times New Roman" w:hAnsi="Times New Roman"/>
          <w:sz w:val="13"/>
          <w:szCs w:val="13"/>
          <w:color w:val="auto"/>
        </w:rPr>
        <w:t>. As between the Company and the Rights Agent, this Agreement constitutes the entire agreement between the parties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ectPr>
          <w:pgSz w:w="11900" w:h="16838" w:orient="portrait"/>
          <w:cols w:equalWidth="0" w:num="1">
            <w:col w:w="9019"/>
          </w:cols>
          <w:pgMar w:left="1440" w:top="229" w:right="1440" w:bottom="1440" w:gutter="0" w:footer="0" w:header="0"/>
        </w:sectPr>
      </w:pPr>
    </w:p>
    <w:bookmarkStart w:id="156" w:name="page157"/>
    <w:bookmarkEnd w:id="156"/>
    <w:p>
      <w:pPr>
        <w:ind w:left="640" w:right="699"/>
        <w:spacing w:after="0" w:line="268"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7.4 </w:t>
      </w:r>
      <w:r>
        <w:rPr>
          <w:rFonts w:ascii="Times New Roman" w:cs="Times New Roman" w:eastAsia="Times New Roman" w:hAnsi="Times New Roman"/>
          <w:sz w:val="12"/>
          <w:szCs w:val="12"/>
          <w:b w:val="1"/>
          <w:bCs w:val="1"/>
          <w:u w:val="single" w:color="auto"/>
          <w:color w:val="auto"/>
        </w:rPr>
        <w:t>Merger or Consolidation or Change of Name of Rights Agent</w:t>
      </w:r>
      <w:r>
        <w:rPr>
          <w:rFonts w:ascii="Times New Roman" w:cs="Times New Roman" w:eastAsia="Times New Roman" w:hAnsi="Times New Roman"/>
          <w:sz w:val="12"/>
          <w:szCs w:val="12"/>
          <w:color w:val="auto"/>
        </w:rPr>
        <w:t>. Any Person into which the Rights Agent or any successor Rights Agent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w:t>
      </w:r>
    </w:p>
    <w:p>
      <w:pPr>
        <w:spacing w:after="0" w:line="3"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3"/>
          <w:szCs w:val="13"/>
          <w:u w:val="single" w:color="auto"/>
          <w:color w:val="auto"/>
        </w:rPr>
        <w:t>Section 7.4</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59"/>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Section 7.5 </w:t>
      </w:r>
      <w:r>
        <w:rPr>
          <w:rFonts w:ascii="Times New Roman" w:cs="Times New Roman" w:eastAsia="Times New Roman" w:hAnsi="Times New Roman"/>
          <w:sz w:val="12"/>
          <w:szCs w:val="12"/>
          <w:b w:val="1"/>
          <w:bCs w:val="1"/>
          <w:u w:val="single" w:color="auto"/>
          <w:color w:val="auto"/>
        </w:rPr>
        <w:t>Successors and Assigns</w:t>
      </w:r>
      <w:r>
        <w:rPr>
          <w:rFonts w:ascii="Times New Roman" w:cs="Times New Roman" w:eastAsia="Times New Roman" w:hAnsi="Times New Roman"/>
          <w:sz w:val="12"/>
          <w:szCs w:val="12"/>
          <w:color w:val="auto"/>
        </w:rPr>
        <w:t>. This Agreement will be binding upon, and will be enforceable by and inure solely to the benefit of, the Holders,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 Company and the Rights Agent and their respective successors and assigns. Except for assignments pursuant to </w:t>
      </w:r>
      <w:r>
        <w:rPr>
          <w:rFonts w:ascii="Times New Roman" w:cs="Times New Roman" w:eastAsia="Times New Roman" w:hAnsi="Times New Roman"/>
          <w:sz w:val="12"/>
          <w:szCs w:val="12"/>
          <w:u w:val="single" w:color="auto"/>
          <w:color w:val="auto"/>
        </w:rPr>
        <w:t>Section 7.4</w:t>
      </w:r>
      <w:r>
        <w:rPr>
          <w:rFonts w:ascii="Times New Roman" w:cs="Times New Roman" w:eastAsia="Times New Roman" w:hAnsi="Times New Roman"/>
          <w:sz w:val="12"/>
          <w:szCs w:val="12"/>
          <w:color w:val="auto"/>
        </w:rPr>
        <w:t xml:space="preserve">, the Rights Agent may not assign this Agreement without the Company’s prior written consent. Subject to </w:t>
      </w:r>
      <w:r>
        <w:rPr>
          <w:rFonts w:ascii="Times New Roman" w:cs="Times New Roman" w:eastAsia="Times New Roman" w:hAnsi="Times New Roman"/>
          <w:sz w:val="12"/>
          <w:szCs w:val="12"/>
          <w:u w:val="single" w:color="auto"/>
          <w:color w:val="auto"/>
        </w:rPr>
        <w:t>Section 5.1(a)(ii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6</w:t>
      </w:r>
      <w:r>
        <w:rPr>
          <w:rFonts w:ascii="Times New Roman" w:cs="Times New Roman" w:eastAsia="Times New Roman" w:hAnsi="Times New Roman"/>
          <w:sz w:val="12"/>
          <w:szCs w:val="12"/>
          <w:color w:val="auto"/>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cs="Times New Roman" w:eastAsia="Times New Roman" w:hAnsi="Times New Roman"/>
          <w:sz w:val="12"/>
          <w:szCs w:val="12"/>
          <w:b w:val="1"/>
          <w:bCs w:val="1"/>
          <w:color w:val="auto"/>
        </w:rPr>
        <w:t>Assignee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will be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of no effect.</w:t>
      </w:r>
    </w:p>
    <w:p>
      <w:pPr>
        <w:spacing w:after="0" w:line="124"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2"/>
          <w:szCs w:val="12"/>
          <w:b w:val="1"/>
          <w:bCs w:val="1"/>
          <w:color w:val="auto"/>
        </w:rPr>
        <w:t xml:space="preserve">Section 7.6 </w:t>
      </w:r>
      <w:r>
        <w:rPr>
          <w:rFonts w:ascii="Times New Roman" w:cs="Times New Roman" w:eastAsia="Times New Roman" w:hAnsi="Times New Roman"/>
          <w:sz w:val="12"/>
          <w:szCs w:val="12"/>
          <w:b w:val="1"/>
          <w:bCs w:val="1"/>
          <w:u w:val="single" w:color="auto"/>
          <w:color w:val="auto"/>
        </w:rPr>
        <w:t>Benefits of Agreement; Action by Acting Holders</w:t>
      </w:r>
      <w:r>
        <w:rPr>
          <w:rFonts w:ascii="Times New Roman" w:cs="Times New Roman" w:eastAsia="Times New Roman" w:hAnsi="Times New Roman"/>
          <w:sz w:val="12"/>
          <w:szCs w:val="12"/>
          <w:color w:val="auto"/>
        </w:rPr>
        <w:t>. Nothing in this Agreement, express or implied, will give to any Person (other than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The Holders shall be intended third-party beneficiaries of the provisions of this Agreement; provided that, except for the rights of the Rights Agent set forth herein, the Acting Holders will have the sole right, on behalf of all Holders, by virtue of or under any provision of this Agreement, to institute any action or Legal Proceeding at Law or in equity with respect to this Agreement or otherwise to enforce the Holders’ rights hereunder, and no individual Holder or other group of Holders will be entitled to exercise such rights.</w:t>
      </w:r>
    </w:p>
    <w:p>
      <w:pPr>
        <w:spacing w:after="0" w:line="123" w:lineRule="exact"/>
        <w:rPr>
          <w:sz w:val="20"/>
          <w:szCs w:val="20"/>
          <w:color w:val="auto"/>
        </w:rPr>
      </w:pPr>
    </w:p>
    <w:p>
      <w:pPr>
        <w:ind w:left="640" w:right="77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Section 7.7 </w:t>
      </w:r>
      <w:r>
        <w:rPr>
          <w:rFonts w:ascii="Times New Roman" w:cs="Times New Roman" w:eastAsia="Times New Roman" w:hAnsi="Times New Roman"/>
          <w:sz w:val="13"/>
          <w:szCs w:val="13"/>
          <w:b w:val="1"/>
          <w:bCs w:val="1"/>
          <w:u w:val="single" w:color="auto"/>
          <w:color w:val="auto"/>
        </w:rPr>
        <w:t>Governing Law</w:t>
      </w:r>
      <w:r>
        <w:rPr>
          <w:rFonts w:ascii="Times New Roman" w:cs="Times New Roman" w:eastAsia="Times New Roman" w:hAnsi="Times New Roman"/>
          <w:sz w:val="13"/>
          <w:szCs w:val="13"/>
          <w:color w:val="auto"/>
        </w:rPr>
        <w:t>. This Agreement and the CVRs will be governed by, and construed in accordance with, the laws of the State of Delaware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without regard to the conflicts of law rules of such state.</w:t>
      </w:r>
    </w:p>
    <w:p>
      <w:pPr>
        <w:spacing w:after="0" w:line="119"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Section 7.8 </w:t>
      </w:r>
      <w:r>
        <w:rPr>
          <w:rFonts w:ascii="Times New Roman" w:cs="Times New Roman" w:eastAsia="Times New Roman" w:hAnsi="Times New Roman"/>
          <w:sz w:val="13"/>
          <w:szCs w:val="13"/>
          <w:b w:val="1"/>
          <w:bCs w:val="1"/>
          <w:u w:val="single" w:color="auto"/>
          <w:color w:val="auto"/>
        </w:rPr>
        <w:t>Jurisdiction</w:t>
      </w:r>
      <w:r>
        <w:rPr>
          <w:rFonts w:ascii="Times New Roman" w:cs="Times New Roman" w:eastAsia="Times New Roman" w:hAnsi="Times New Roman"/>
          <w:sz w:val="13"/>
          <w:szCs w:val="13"/>
          <w:color w:val="auto"/>
        </w:rPr>
        <w:t>. In any action or proceeding between any of the parties hereto arising out of or relating to this Agreement or any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7.8</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of this Agreement.</w:t>
      </w:r>
    </w:p>
    <w:p>
      <w:pPr>
        <w:sectPr>
          <w:pgSz w:w="11900" w:h="16838" w:orient="portrait"/>
          <w:cols w:equalWidth="0" w:num="1">
            <w:col w:w="9019"/>
          </w:cols>
          <w:pgMar w:left="1440" w:top="229" w:right="1440" w:bottom="1440" w:gutter="0" w:footer="0" w:header="0"/>
        </w:sectPr>
      </w:pPr>
    </w:p>
    <w:bookmarkStart w:id="157" w:name="page158"/>
    <w:bookmarkEnd w:id="157"/>
    <w:p>
      <w:pPr>
        <w:ind w:left="640" w:right="699"/>
        <w:spacing w:after="0" w:line="24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7.9 </w:t>
      </w:r>
      <w:r>
        <w:rPr>
          <w:rFonts w:ascii="Times New Roman" w:cs="Times New Roman" w:eastAsia="Times New Roman" w:hAnsi="Times New Roman"/>
          <w:sz w:val="13"/>
          <w:szCs w:val="13"/>
          <w:b w:val="1"/>
          <w:bCs w:val="1"/>
          <w:u w:val="single" w:color="auto"/>
          <w:color w:val="auto"/>
        </w:rPr>
        <w:t>WAIVER OF JURY TRIAL</w:t>
      </w:r>
      <w:r>
        <w:rPr>
          <w:rFonts w:ascii="Times New Roman" w:cs="Times New Roman" w:eastAsia="Times New Roman" w:hAnsi="Times New Roman"/>
          <w:sz w:val="13"/>
          <w:szCs w:val="13"/>
          <w:b w:val="1"/>
          <w:bCs w:val="1"/>
          <w:color w:val="auto"/>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3"/>
          <w:szCs w:val="13"/>
          <w:b w:val="1"/>
          <w:bCs w:val="1"/>
          <w:u w:val="single" w:color="auto"/>
          <w:color w:val="auto"/>
        </w:rPr>
        <w:t>SECTION 7.9</w:t>
      </w:r>
      <w:r>
        <w:rPr>
          <w:rFonts w:ascii="Times New Roman" w:cs="Times New Roman" w:eastAsia="Times New Roman" w:hAnsi="Times New Roman"/>
          <w:sz w:val="13"/>
          <w:szCs w:val="13"/>
          <w:b w:val="1"/>
          <w:bCs w:val="1"/>
          <w:color w:val="auto"/>
        </w:rPr>
        <w:t>.</w:t>
      </w:r>
    </w:p>
    <w:p>
      <w:pPr>
        <w:spacing w:after="0" w:line="134"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Section 7.10 </w:t>
      </w:r>
      <w:r>
        <w:rPr>
          <w:rFonts w:ascii="Times New Roman" w:cs="Times New Roman" w:eastAsia="Times New Roman" w:hAnsi="Times New Roman"/>
          <w:sz w:val="13"/>
          <w:szCs w:val="13"/>
          <w:b w:val="1"/>
          <w:bCs w:val="1"/>
          <w:u w:val="single" w:color="auto"/>
          <w:color w:val="auto"/>
        </w:rPr>
        <w:t>Severability Clause</w:t>
      </w:r>
      <w:r>
        <w:rPr>
          <w:rFonts w:ascii="Times New Roman" w:cs="Times New Roman" w:eastAsia="Times New Roman" w:hAnsi="Times New Roman"/>
          <w:sz w:val="13"/>
          <w:szCs w:val="13"/>
          <w:color w:val="auto"/>
        </w:rPr>
        <w:t>. In the event that any provision of this Agreement, or the application of any such provision to any Person or set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an excluded provision shall affect the rights, immunities, liabilities, duties or obligations of the Rights Agent, the Rights Agent shall be entitled to resign immediately upon written Notice to the Company.</w:t>
      </w:r>
    </w:p>
    <w:p>
      <w:pPr>
        <w:spacing w:after="0" w:line="134"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Section 7.11 </w:t>
      </w:r>
      <w:r>
        <w:rPr>
          <w:rFonts w:ascii="Times New Roman" w:cs="Times New Roman" w:eastAsia="Times New Roman" w:hAnsi="Times New Roman"/>
          <w:sz w:val="13"/>
          <w:szCs w:val="13"/>
          <w:b w:val="1"/>
          <w:bCs w:val="1"/>
          <w:u w:val="single" w:color="auto"/>
          <w:color w:val="auto"/>
        </w:rPr>
        <w:t>Counterparts; Effectiveness</w:t>
      </w:r>
      <w:r>
        <w:rPr>
          <w:rFonts w:ascii="Times New Roman" w:cs="Times New Roman" w:eastAsia="Times New Roman" w:hAnsi="Times New Roman"/>
          <w:sz w:val="13"/>
          <w:szCs w:val="13"/>
          <w:color w:val="auto"/>
        </w:rPr>
        <w:t>. This Agreement may be signed in any number of counterparts, each of which will be deemed an original,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35" w:lineRule="exact"/>
        <w:rPr>
          <w:sz w:val="20"/>
          <w:szCs w:val="20"/>
          <w:color w:val="auto"/>
        </w:rPr>
      </w:pPr>
    </w:p>
    <w:p>
      <w:pPr>
        <w:ind w:left="640" w:right="679"/>
        <w:spacing w:after="0" w:line="273" w:lineRule="auto"/>
        <w:rPr>
          <w:sz w:val="20"/>
          <w:szCs w:val="20"/>
          <w:color w:val="auto"/>
        </w:rPr>
      </w:pPr>
      <w:r>
        <w:rPr>
          <w:rFonts w:ascii="Times New Roman" w:cs="Times New Roman" w:eastAsia="Times New Roman" w:hAnsi="Times New Roman"/>
          <w:sz w:val="12"/>
          <w:szCs w:val="12"/>
          <w:b w:val="1"/>
          <w:bCs w:val="1"/>
          <w:color w:val="auto"/>
        </w:rPr>
        <w:t xml:space="preserve">Section 7.12 </w:t>
      </w:r>
      <w:r>
        <w:rPr>
          <w:rFonts w:ascii="Times New Roman" w:cs="Times New Roman" w:eastAsia="Times New Roman" w:hAnsi="Times New Roman"/>
          <w:sz w:val="12"/>
          <w:szCs w:val="12"/>
          <w:b w:val="1"/>
          <w:bCs w:val="1"/>
          <w:u w:val="single" w:color="auto"/>
          <w:color w:val="auto"/>
        </w:rPr>
        <w:t>Termination</w:t>
      </w:r>
      <w:r>
        <w:rPr>
          <w:rFonts w:ascii="Times New Roman" w:cs="Times New Roman" w:eastAsia="Times New Roman" w:hAnsi="Times New Roman"/>
          <w:sz w:val="12"/>
          <w:szCs w:val="12"/>
          <w:color w:val="auto"/>
        </w:rPr>
        <w:t>. This Agreement will automatically terminate and be of no further force or effect and, except as provided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to the extent earned prior to the termination of this Agreement, and the provisions applicable thereto will survive the expiration or termination of this Agreement until such CVR Payments have been made, if applicable. Upon termination or expiry of this Agreement pursuant to this </w:t>
      </w:r>
      <w:r>
        <w:rPr>
          <w:rFonts w:ascii="Times New Roman" w:cs="Times New Roman" w:eastAsia="Times New Roman" w:hAnsi="Times New Roman"/>
          <w:sz w:val="12"/>
          <w:szCs w:val="12"/>
          <w:u w:val="single" w:color="auto"/>
          <w:color w:val="auto"/>
        </w:rPr>
        <w:t>Section 7.12</w:t>
      </w:r>
      <w:r>
        <w:rPr>
          <w:rFonts w:ascii="Times New Roman" w:cs="Times New Roman" w:eastAsia="Times New Roman" w:hAnsi="Times New Roman"/>
          <w:sz w:val="12"/>
          <w:szCs w:val="12"/>
          <w:color w:val="auto"/>
        </w:rPr>
        <w:t>, all CVRs issued hereunder shall be automatically cancelled and forfeited by the Holders without any consideration or payment therefor.</w:t>
      </w:r>
    </w:p>
    <w:p>
      <w:pPr>
        <w:spacing w:after="0" w:line="120" w:lineRule="exact"/>
        <w:rPr>
          <w:sz w:val="20"/>
          <w:szCs w:val="20"/>
          <w:color w:val="auto"/>
        </w:rPr>
      </w:pPr>
    </w:p>
    <w:p>
      <w:pPr>
        <w:ind w:left="640" w:right="659"/>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Section 7.13 </w:t>
      </w:r>
      <w:r>
        <w:rPr>
          <w:rFonts w:ascii="Times New Roman" w:cs="Times New Roman" w:eastAsia="Times New Roman" w:hAnsi="Times New Roman"/>
          <w:sz w:val="12"/>
          <w:szCs w:val="12"/>
          <w:b w:val="1"/>
          <w:bCs w:val="1"/>
          <w:u w:val="single" w:color="auto"/>
          <w:color w:val="auto"/>
        </w:rPr>
        <w:t>Funds</w:t>
      </w:r>
      <w:r>
        <w:rPr>
          <w:rFonts w:ascii="Times New Roman" w:cs="Times New Roman" w:eastAsia="Times New Roman" w:hAnsi="Times New Roman"/>
          <w:sz w:val="12"/>
          <w:szCs w:val="12"/>
          <w:color w:val="auto"/>
        </w:rPr>
        <w:t>. All funds received by Rights Agent under this Agreement that are to be distributed or applied by Rights Agent in the performance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services hereunder (the “</w:t>
      </w:r>
      <w:r>
        <w:rPr>
          <w:rFonts w:ascii="Times New Roman" w:cs="Times New Roman" w:eastAsia="Times New Roman" w:hAnsi="Times New Roman"/>
          <w:sz w:val="12"/>
          <w:szCs w:val="12"/>
          <w:b w:val="1"/>
          <w:bCs w:val="1"/>
          <w:color w:val="auto"/>
        </w:rPr>
        <w:t>Funds</w:t>
      </w:r>
      <w:r>
        <w:rPr>
          <w:rFonts w:ascii="Times New Roman" w:cs="Times New Roman" w:eastAsia="Times New Roman" w:hAnsi="Times New Roman"/>
          <w:sz w:val="12"/>
          <w:szCs w:val="12"/>
          <w:color w:val="auto"/>
        </w:rPr>
        <w:t>”) shall be held by the Rights Agent,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fraud or willful misconduct (as determined by a final non appealable judgment of a court of competent jurisdiction) on its part, have no responsibility or liability for any diminution of the Funds that may result from any deposit made by it in accordance with this paragraph, including any losses resulting from a default by any bank, financial institution or other third party. The Rights Agent may from time to time receive interest, dividends or other earnings in connection with such deposits.</w:t>
      </w:r>
    </w:p>
    <w:p>
      <w:pPr>
        <w:sectPr>
          <w:pgSz w:w="11900" w:h="16838" w:orient="portrait"/>
          <w:cols w:equalWidth="0" w:num="1">
            <w:col w:w="9019"/>
          </w:cols>
          <w:pgMar w:left="1440" w:top="229" w:right="1440" w:bottom="1440" w:gutter="0" w:footer="0" w:header="0"/>
        </w:sectPr>
      </w:pPr>
    </w:p>
    <w:bookmarkStart w:id="158" w:name="page159"/>
    <w:bookmarkEnd w:id="158"/>
    <w:p>
      <w:pPr>
        <w:ind w:left="640" w:right="739"/>
        <w:spacing w:after="0" w:line="25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7.14 </w:t>
      </w:r>
      <w:r>
        <w:rPr>
          <w:rFonts w:ascii="Times New Roman" w:cs="Times New Roman" w:eastAsia="Times New Roman" w:hAnsi="Times New Roman"/>
          <w:sz w:val="13"/>
          <w:szCs w:val="13"/>
          <w:b w:val="1"/>
          <w:bCs w:val="1"/>
          <w:u w:val="single" w:color="auto"/>
          <w:color w:val="auto"/>
        </w:rPr>
        <w:t>Further Assurance by Company</w:t>
      </w:r>
      <w:r>
        <w:rPr>
          <w:rFonts w:ascii="Times New Roman" w:cs="Times New Roman" w:eastAsia="Times New Roman" w:hAnsi="Times New Roman"/>
          <w:sz w:val="13"/>
          <w:szCs w:val="13"/>
          <w:color w:val="auto"/>
        </w:rPr>
        <w:t>. The Company agrees that it will perform, execute, acknowledge and deliver or cause to be performed,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7.15 </w:t>
      </w:r>
      <w:r>
        <w:rPr>
          <w:rFonts w:ascii="Times New Roman" w:cs="Times New Roman" w:eastAsia="Times New Roman" w:hAnsi="Times New Roman"/>
          <w:sz w:val="13"/>
          <w:szCs w:val="13"/>
          <w:b w:val="1"/>
          <w:bCs w:val="1"/>
          <w:u w:val="single" w:color="auto"/>
          <w:color w:val="auto"/>
        </w:rPr>
        <w:t>Construction</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7"/>
        <w:spacing w:after="0" w:line="255" w:lineRule="auto"/>
        <w:tabs>
          <w:tab w:leader="none" w:pos="1121"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54"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words “include” and “including,” and variations thereof, will not be deemed to be terms of limitation, but rather will be deemed to be followed by the words “without limitation.”</w:t>
      </w:r>
    </w:p>
    <w:p>
      <w:pPr>
        <w:spacing w:after="0" w:line="46"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1"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46" w:lineRule="exact"/>
        <w:rPr>
          <w:rFonts w:ascii="Times New Roman" w:cs="Times New Roman" w:eastAsia="Times New Roman" w:hAnsi="Times New Roman"/>
          <w:sz w:val="13"/>
          <w:szCs w:val="13"/>
          <w:color w:val="auto"/>
        </w:rPr>
      </w:pPr>
    </w:p>
    <w:p>
      <w:pPr>
        <w:jc w:val="both"/>
        <w:ind w:left="640" w:right="999" w:firstLine="307"/>
        <w:spacing w:after="0" w:line="251" w:lineRule="auto"/>
        <w:tabs>
          <w:tab w:leader="none" w:pos="1128"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pacing w:after="0" w:line="56" w:lineRule="exact"/>
        <w:rPr>
          <w:rFonts w:ascii="Times New Roman" w:cs="Times New Roman" w:eastAsia="Times New Roman" w:hAnsi="Times New Roman"/>
          <w:sz w:val="13"/>
          <w:szCs w:val="13"/>
          <w:color w:val="auto"/>
        </w:rPr>
      </w:pPr>
    </w:p>
    <w:p>
      <w:pPr>
        <w:ind w:left="640" w:right="679" w:firstLine="307"/>
        <w:spacing w:after="0" w:line="309" w:lineRule="auto"/>
        <w:tabs>
          <w:tab w:leader="none" w:pos="1121"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spacing w:after="0" w:line="23" w:lineRule="exact"/>
        <w:rPr>
          <w:rFonts w:ascii="Times New Roman" w:cs="Times New Roman" w:eastAsia="Times New Roman" w:hAnsi="Times New Roman"/>
          <w:sz w:val="12"/>
          <w:szCs w:val="12"/>
          <w:color w:val="auto"/>
        </w:rPr>
      </w:pPr>
    </w:p>
    <w:p>
      <w:pPr>
        <w:ind w:left="640" w:right="759" w:firstLine="307"/>
        <w:spacing w:after="0" w:line="279" w:lineRule="auto"/>
        <w:tabs>
          <w:tab w:leader="none" w:pos="1107"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spacing w:after="0" w:line="40"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references herein to “$” are to United States Dollars.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59" w:name="page160"/>
    <w:bookmarkEnd w:id="159"/>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parties has caused this Agreement to be executed as of the day and year first above written.</w:t>
      </w:r>
    </w:p>
    <w:p>
      <w:pPr>
        <w:spacing w:after="0" w:line="18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AVROBIO,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[_____]</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29" w:right="1440"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Rights Agent Fee Schedule</w:t>
      </w:r>
    </w:p>
    <w:p>
      <w:pPr>
        <w:sectPr>
          <w:pgSz w:w="11900" w:h="16838" w:orient="portrait"/>
          <w:cols w:equalWidth="0" w:num="1">
            <w:col w:w="9019"/>
          </w:cols>
          <w:pgMar w:left="1440" w:top="229"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Schedule 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IP Expense Fund Prioritization</w:t>
      </w:r>
    </w:p>
    <w:p>
      <w:pPr>
        <w:sectPr>
          <w:pgSz w:w="11900" w:h="16838" w:orient="portrait"/>
          <w:cols w:equalWidth="0" w:num="1">
            <w:col w:w="9019"/>
          </w:cols>
          <w:pgMar w:left="1440" w:top="229" w:right="1440" w:bottom="1440" w:gutter="0" w:footer="0" w:header="0"/>
        </w:sectPr>
      </w:pPr>
    </w:p>
    <w:bookmarkStart w:id="162" w:name="page163"/>
    <w:bookmarkEnd w:id="16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AVROBIO and Tectonic Therapeutic Announce Merger</w:t>
      </w:r>
    </w:p>
    <w:p>
      <w:pPr>
        <w:spacing w:after="0" w:line="154"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Combined company to be Nasdaq-listed, clinical-stage biopharmaceutical company focused on advancing Tectonic’s novel GPCR-targeted therapeutic proteins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$130.7 million in private financing commitments with new and existing leading life sciences investors in connection with merger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Combined company expected to have approximately $165 million in cash and cash equivalents at close to provide cash runway into mid-2027</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Funding is expected to advance lead asset TX45, a potential best-in-class Fc-relaxin fusion protein, through multiple clinical data catalysts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Tectonic’s first two programs address indications with high unmet need and no approved therapies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Companies to host joint webcast today, January 30, 2024 at 8:30 a.m. ET</w:t>
      </w:r>
    </w:p>
    <w:p>
      <w:pPr>
        <w:spacing w:after="0" w:line="154" w:lineRule="exact"/>
        <w:rPr>
          <w:sz w:val="20"/>
          <w:szCs w:val="20"/>
          <w:color w:val="auto"/>
        </w:rPr>
      </w:pPr>
    </w:p>
    <w:p>
      <w:pPr>
        <w:ind w:left="640" w:right="75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Cambridge, Mass. and Watertown, Mass. (January 30, 2024) </w:t>
      </w:r>
      <w:r>
        <w:rPr>
          <w:rFonts w:ascii="Times New Roman" w:cs="Times New Roman" w:eastAsia="Times New Roman" w:hAnsi="Times New Roman"/>
          <w:sz w:val="13"/>
          <w:szCs w:val="13"/>
          <w:color w:val="auto"/>
        </w:rPr>
        <w:t>– AVROBIO, Inc. (Nasdaq: AVRO) and Tectonic Therapeutic, Inc. (“Tectonic”),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privately-held biotechnology company developing GPCR (G-protein coupled receptor)-targeted therapeutic proteins, co-founded by Timothy A. Springer and Andrew C. Kruse of Harvard Medical School, today announced that the companies have entered into a definitive merger agreement to combine in an all-stock transaction (the “Merger”). Under the terms of the agreement, AVROBIO will acquire 100% of the outstanding equity interests of Tectonic. Upon completion of the Merger, the combined company is expected to operate under the name Tectonic Therapeutic, Inc. and trade on Nasdaq under the ticker symbol “TECX.”</w:t>
      </w:r>
    </w:p>
    <w:p>
      <w:pPr>
        <w:spacing w:after="0" w:line="137" w:lineRule="exact"/>
        <w:rPr>
          <w:sz w:val="20"/>
          <w:szCs w:val="20"/>
          <w:color w:val="auto"/>
        </w:rPr>
      </w:pPr>
    </w:p>
    <w:p>
      <w:pPr>
        <w:ind w:left="640" w:right="779"/>
        <w:spacing w:after="0" w:line="248" w:lineRule="auto"/>
        <w:rPr>
          <w:sz w:val="20"/>
          <w:szCs w:val="20"/>
          <w:color w:val="auto"/>
        </w:rPr>
      </w:pPr>
      <w:r>
        <w:rPr>
          <w:rFonts w:ascii="Times New Roman" w:cs="Times New Roman" w:eastAsia="Times New Roman" w:hAnsi="Times New Roman"/>
          <w:sz w:val="13"/>
          <w:szCs w:val="13"/>
          <w:color w:val="auto"/>
        </w:rPr>
        <w:t>In connection with the Merger, Tectonic has raised or entered into agreements for a $130.7 million private placement with a syndicate of new and existing leading life sciences investors, led by a major mutual fund, TAS Partners, 5AM Ventures, EcoR1 Capital, Polaris Partners, funds and accounts advised by Farallon Capital Management, Vida Ventures, PagsGroup, and other investors. The combined company is expected to have approximately $165 million of cash and cash equivalents at closing, inclusive of the proceeds to be received in the private placement. These proceeds will be used to advance Tectonic’s pipeline through multiple clinical data catalysts and are expected to fund the combined company’s operations into mid-2027. The private placement is expected to close in conjunction with the Merger in the second quarter of 2024.</w:t>
      </w:r>
    </w:p>
    <w:p>
      <w:pPr>
        <w:spacing w:after="0" w:line="135" w:lineRule="exact"/>
        <w:rPr>
          <w:sz w:val="20"/>
          <w:szCs w:val="20"/>
          <w:color w:val="auto"/>
        </w:rPr>
      </w:pPr>
    </w:p>
    <w:p>
      <w:pPr>
        <w:ind w:left="640" w:right="659"/>
        <w:spacing w:after="0" w:line="234" w:lineRule="auto"/>
        <w:rPr>
          <w:sz w:val="20"/>
          <w:szCs w:val="20"/>
          <w:color w:val="auto"/>
        </w:rPr>
      </w:pPr>
      <w:r>
        <w:rPr>
          <w:rFonts w:ascii="Times New Roman" w:cs="Times New Roman" w:eastAsia="Times New Roman" w:hAnsi="Times New Roman"/>
          <w:sz w:val="13"/>
          <w:szCs w:val="13"/>
          <w:color w:val="auto"/>
        </w:rPr>
        <w:t>“We are delighted to merge with AVROBIO at this important time for Tectonic. We are grateful to our investors for their commitment to our mission and to advancing our pipeline of uniquely differentiated molecules. Using biologics to unlock the therapeutic utility of targeting GPCRs which are not optimally drugged by small molecules could result in important advances for patients,” said Alise Reicin, M.D., Chief Executive Officer of Tectonic. “GPCRs are central to human biology and are the target of more than 30% of all currently approved drugs. However, many GPCRs remain unexplored and have proven to be challenging targets for drug development. Our GEODe</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3"/>
          <w:szCs w:val="13"/>
          <w:color w:val="auto"/>
        </w:rPr>
        <w:t xml:space="preserve"> platform makes it possible to discover a broad pipeline of biologics addressing some of the most challenging receptors in the class. This transaction enhances our ability to execute on an efficient plan to advance our clinical-stage and potential best-in-class Fc-relaxin fusion protein, TX45, as well as additional assets in our pipeline. We anticipate multiple clinical catalysts over the next three years.”</w:t>
      </w:r>
    </w:p>
    <w:p>
      <w:pPr>
        <w:sectPr>
          <w:pgSz w:w="11900" w:h="16838" w:orient="portrait"/>
          <w:cols w:equalWidth="0" w:num="1">
            <w:col w:w="9019"/>
          </w:cols>
          <w:pgMar w:left="1440" w:top="229" w:right="1440" w:bottom="1440" w:gutter="0" w:footer="0" w:header="0"/>
        </w:sectPr>
      </w:pPr>
    </w:p>
    <w:bookmarkStart w:id="163" w:name="page164"/>
    <w:bookmarkEnd w:id="163"/>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transaction is the culmination of a comprehensive review of strategic alternatives, and our Board believes that the Merger with Tectonic is in the best interests of our shareholders,” said Erik Ostrowski, interim Chief Executive Officer and Chief Financial Officer of AVROBIO. “Tectonic has unparalleled expertise in the biochemistry and biophysics of GPCRs, and a highly accomplished team poised to advance their rich pipeline of innovative therapies.”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Tectonic’s Portfolio and Platform Overview</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2"/>
          <w:szCs w:val="12"/>
          <w:color w:val="auto"/>
        </w:rPr>
        <w:t>Tectonic is developing novel GPCR-targeted therapeutic proteins. The company is prioritizing compelling GPCR targets to address indications that are not currently well-served by small molecule-based approaches. The selectivity and specificity profile of biologics is one of the most important advantages of Tectonic’s approach over traditional small molecule drug discovery. However, most GPCRs have not historically been amenable to standard biologics discovery methods because of the instability and conformational heterogeneity of the GPCRs themselves. Tectonic’s GEODe</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2"/>
          <w:szCs w:val="12"/>
          <w:color w:val="auto"/>
        </w:rPr>
        <w:t xml:space="preserve"> platform was developed to overcome the challenges of GPCR-targeted biologics discovery by combining GPCR biochemistry and receptor engineering strategies, proprietary antibody libraries and screening protocols, and structure-guided protein engineering for therapeutic candidate optimization.</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Tectonic’s rich pipeline addresses high-value targets across a range of indications. The first two targets are in indications with no approved therapies:</w:t>
      </w:r>
    </w:p>
    <w:p>
      <w:pPr>
        <w:spacing w:after="0" w:line="99" w:lineRule="exact"/>
        <w:rPr>
          <w:sz w:val="20"/>
          <w:szCs w:val="20"/>
          <w:color w:val="auto"/>
        </w:rPr>
      </w:pPr>
    </w:p>
    <w:p>
      <w:pPr>
        <w:ind w:left="1320" w:right="659" w:hanging="303"/>
        <w:spacing w:after="0" w:line="248" w:lineRule="auto"/>
        <w:tabs>
          <w:tab w:leader="none" w:pos="132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Tectonic’s lead program, TX45, a Fc-relaxin fusion protein, is a potential best-in-class agent derived from its internal protein engineering efforts. TX45 has been optimized with an aim to overcome multiple limitations associated with the natural human hormone to achieve both optimal </w:t>
      </w:r>
      <w:r>
        <w:rPr>
          <w:rFonts w:ascii="Times New Roman" w:cs="Times New Roman" w:eastAsia="Times New Roman" w:hAnsi="Times New Roman"/>
          <w:sz w:val="13"/>
          <w:szCs w:val="13"/>
          <w:i w:val="1"/>
          <w:iCs w:val="1"/>
          <w:color w:val="auto"/>
        </w:rPr>
        <w:t>in vitro</w:t>
      </w:r>
      <w:r>
        <w:rPr>
          <w:rFonts w:ascii="Times New Roman" w:cs="Times New Roman" w:eastAsia="Times New Roman" w:hAnsi="Times New Roman"/>
          <w:sz w:val="13"/>
          <w:szCs w:val="13"/>
          <w:color w:val="auto"/>
        </w:rPr>
        <w:t xml:space="preserve"> (biophysical and developability), and </w:t>
      </w:r>
      <w:r>
        <w:rPr>
          <w:rFonts w:ascii="Times New Roman" w:cs="Times New Roman" w:eastAsia="Times New Roman" w:hAnsi="Times New Roman"/>
          <w:sz w:val="13"/>
          <w:szCs w:val="13"/>
          <w:i w:val="1"/>
          <w:iCs w:val="1"/>
          <w:color w:val="auto"/>
        </w:rPr>
        <w:t>in vivo</w:t>
      </w:r>
      <w:r>
        <w:rPr>
          <w:rFonts w:ascii="Times New Roman" w:cs="Times New Roman" w:eastAsia="Times New Roman" w:hAnsi="Times New Roman"/>
          <w:sz w:val="13"/>
          <w:szCs w:val="13"/>
          <w:color w:val="auto"/>
        </w:rPr>
        <w:t xml:space="preserve"> (pharmacokinetic and pharmacodynamic, or “PK/PD”) properties. Following completion of the ongoing dose escalation safety and PK/PD studies in healthy volunteers, development of TX45 is planned to focus on an area of very high unmet need, Group 2 Pulmonary Hypertension in patients with Heart Failure with preserved Ejection Fraction (HFpEF), which impacts over 600,000 people in the U.S.</w:t>
      </w:r>
    </w:p>
    <w:p>
      <w:pPr>
        <w:spacing w:after="0" w:line="68" w:lineRule="exact"/>
        <w:rPr>
          <w:rFonts w:ascii="Times New Roman" w:cs="Times New Roman" w:eastAsia="Times New Roman" w:hAnsi="Times New Roman"/>
          <w:sz w:val="13"/>
          <w:szCs w:val="13"/>
          <w:color w:val="auto"/>
        </w:rPr>
      </w:pPr>
    </w:p>
    <w:p>
      <w:pPr>
        <w:ind w:left="1640" w:right="659" w:hanging="235"/>
        <w:spacing w:after="0" w:line="255" w:lineRule="auto"/>
        <w:tabs>
          <w:tab w:leader="none" w:pos="1640" w:val="left"/>
        </w:tabs>
        <w:numPr>
          <w:ilvl w:val="1"/>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Preliminary data from the Phase 1a study has demonstrated PK/PD effects for TX-45 that are consistent with a potential best-in-class profile for TX45 and monthly dosing. Additional PK/PD data from the ongoing Phase 1a study are expected in mid-2024. Phase 1b hemodynamic Proof of Concept data is expected in 2025 and Phase 2 randomized data is expected in 2026.</w:t>
      </w:r>
    </w:p>
    <w:p>
      <w:pPr>
        <w:spacing w:after="0" w:line="63" w:lineRule="exact"/>
        <w:rPr>
          <w:rFonts w:ascii="Times New Roman" w:cs="Times New Roman" w:eastAsia="Times New Roman" w:hAnsi="Times New Roman"/>
          <w:sz w:val="13"/>
          <w:szCs w:val="13"/>
          <w:color w:val="auto"/>
        </w:rPr>
      </w:pPr>
    </w:p>
    <w:p>
      <w:pPr>
        <w:ind w:left="1320" w:right="699" w:hanging="303"/>
        <w:spacing w:after="0" w:line="251" w:lineRule="auto"/>
        <w:tabs>
          <w:tab w:leader="none" w:pos="132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Tectonic’s second program addresses Hereditary Hemorrhagic Telangiectasia (HHT), an autosomal dominant disease that causes abnormal blood vessel formation. HHT affects approximately 75,000 patients in the U.S. The target population for development is the 10-20% of patients that are considered to have severe disease because of frequent bleeding, anemia, and in some cases, the need for frequent blood transfusions. Tectonic plans to initiate human studies in this program during the Q4 2025 to Q1 2026 timeframe.</w:t>
      </w:r>
    </w:p>
    <w:p>
      <w:pPr>
        <w:spacing w:after="0" w:line="66" w:lineRule="exact"/>
        <w:rPr>
          <w:rFonts w:ascii="Times New Roman" w:cs="Times New Roman" w:eastAsia="Times New Roman" w:hAnsi="Times New Roman"/>
          <w:sz w:val="13"/>
          <w:szCs w:val="13"/>
          <w:color w:val="auto"/>
        </w:rPr>
      </w:pPr>
    </w:p>
    <w:p>
      <w:pPr>
        <w:ind w:left="1320" w:right="1099" w:hanging="303"/>
        <w:spacing w:after="0" w:line="267" w:lineRule="auto"/>
        <w:tabs>
          <w:tab w:leader="none" w:pos="132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Tectonic’s third program is focused on fibrosis, using a bispecific approach to inhibit two different receptors with complementary / non-overlapping modes of action.</w:t>
      </w:r>
    </w:p>
    <w:p>
      <w:pPr>
        <w:sectPr>
          <w:pgSz w:w="11900" w:h="16838" w:orient="portrait"/>
          <w:cols w:equalWidth="0" w:num="1">
            <w:col w:w="9019"/>
          </w:cols>
          <w:pgMar w:left="1440" w:top="231" w:right="1440" w:bottom="1440" w:gutter="0" w:footer="0" w:header="0"/>
        </w:sectPr>
      </w:pPr>
    </w:p>
    <w:bookmarkStart w:id="164" w:name="page165"/>
    <w:bookmarkEnd w:id="16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the Proposed Transaction: Financials, Management and Organization</w:t>
      </w:r>
    </w:p>
    <w:p>
      <w:pPr>
        <w:spacing w:after="0" w:line="80" w:lineRule="exact"/>
        <w:rPr>
          <w:sz w:val="20"/>
          <w:szCs w:val="20"/>
          <w:color w:val="auto"/>
        </w:rPr>
      </w:pPr>
    </w:p>
    <w:p>
      <w:pPr>
        <w:ind w:left="640" w:right="879"/>
        <w:spacing w:after="0" w:line="272" w:lineRule="auto"/>
        <w:rPr>
          <w:sz w:val="20"/>
          <w:szCs w:val="20"/>
          <w:color w:val="auto"/>
        </w:rPr>
      </w:pPr>
      <w:r>
        <w:rPr>
          <w:rFonts w:ascii="Times New Roman" w:cs="Times New Roman" w:eastAsia="Times New Roman" w:hAnsi="Times New Roman"/>
          <w:sz w:val="12"/>
          <w:szCs w:val="12"/>
          <w:color w:val="auto"/>
        </w:rPr>
        <w:t>Upon completion of the Merger, pre-Merger AVROBIO shareholders are expected to own approximately 22.3% of the combined company and pre-Merger Tectonic shareholders are expected to own approximately 40.2% of the combined company, and in each case after giving effect to the aforementioned private placement financing. The percentage of the combined company that AVROBIO shareholders will own as of the close of the transaction is subject to adjustment based on the amount of AVROBIO net cash at the closing date, which is currently estimated to be approximately $65 million. Immediately prior to the closing of the Merger, AVROBIO shareholders will be issued contingent value rights representing the right to receive certain payments from proceeds received by the combined company, if any, related to certain pre-transaction assets of AVROBIO.</w:t>
      </w:r>
    </w:p>
    <w:p>
      <w:pPr>
        <w:spacing w:after="0" w:line="123"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Following the closing of the Merger, the combined company will be led by Dr. Reicin and other members of the Tectonic management team. AVROBIO will be renamed Tectonic Therapeutic, Inc. and the corporate headquarters will be located in Watertown, Mass. The merger agreement provides that post-merger, one board member from AVROBIO will join the Board of Directors of the combined company.</w:t>
      </w:r>
    </w:p>
    <w:p>
      <w:pPr>
        <w:spacing w:after="0" w:line="13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The Merger has been approved by the Board of Directors of both companies and is expected to close in the second quarter of 2024 subject to customary closing conditions, including the approvals by the shareholders of each company, the closing of the private placement financing and other customary closing conditions.</w:t>
      </w:r>
    </w:p>
    <w:p>
      <w:pPr>
        <w:spacing w:after="0" w:line="130" w:lineRule="exact"/>
        <w:rPr>
          <w:sz w:val="20"/>
          <w:szCs w:val="20"/>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color w:val="auto"/>
        </w:rPr>
        <w:t>In connection with the Merger, directors, officers, and certain shareholders of AVROBIO and Tectonic have executed support agreements, pursuant to which they have agreed to vote all of their shares of capital stock in favor of the Merger.</w:t>
      </w:r>
    </w:p>
    <w:p>
      <w:pPr>
        <w:spacing w:after="0" w:line="122" w:lineRule="exact"/>
        <w:rPr>
          <w:sz w:val="20"/>
          <w:szCs w:val="20"/>
          <w:color w:val="auto"/>
        </w:rPr>
      </w:pPr>
    </w:p>
    <w:p>
      <w:pPr>
        <w:ind w:left="640" w:right="639"/>
        <w:spacing w:after="0" w:line="251" w:lineRule="auto"/>
        <w:rPr>
          <w:sz w:val="20"/>
          <w:szCs w:val="20"/>
          <w:color w:val="auto"/>
        </w:rPr>
      </w:pPr>
      <w:r>
        <w:rPr>
          <w:rFonts w:ascii="Times New Roman" w:cs="Times New Roman" w:eastAsia="Times New Roman" w:hAnsi="Times New Roman"/>
          <w:sz w:val="13"/>
          <w:szCs w:val="13"/>
          <w:color w:val="auto"/>
        </w:rPr>
        <w:t>Leerink Partners is serving as exclusive financial advisor to Tectonic and Cooley LLP is serving as legal counsel to Tectonic. Leerink Partners and TD Cowen are acting as joint placement agents to Tectonic in connection with the private placement. Piper Sandler is acting as capital markets advisor to Tectonic. TD Cowen is serving as lead financial advisor, Houlihan Lokey is serving as co-financial advisor, and Goodwin Procter LLP is serving as legal counsel to AVROBIO.</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Webcast Presentation</w:t>
      </w:r>
    </w:p>
    <w:p>
      <w:pPr>
        <w:spacing w:after="0" w:line="80" w:lineRule="exact"/>
        <w:rPr>
          <w:sz w:val="20"/>
          <w:szCs w:val="20"/>
          <w:color w:val="auto"/>
        </w:rPr>
      </w:pPr>
    </w:p>
    <w:p>
      <w:pPr>
        <w:ind w:left="640" w:right="879"/>
        <w:spacing w:after="0" w:line="251" w:lineRule="auto"/>
        <w:rPr>
          <w:sz w:val="20"/>
          <w:szCs w:val="20"/>
          <w:color w:val="auto"/>
        </w:rPr>
      </w:pPr>
      <w:r>
        <w:rPr>
          <w:rFonts w:ascii="Times New Roman" w:cs="Times New Roman" w:eastAsia="Times New Roman" w:hAnsi="Times New Roman"/>
          <w:sz w:val="13"/>
          <w:szCs w:val="13"/>
          <w:color w:val="auto"/>
        </w:rPr>
        <w:t xml:space="preserve">The companies will host a webcast presentation to discuss the proposed transaction today, January 30, at 8:30 a.m. ET. Listeners can register for the webcast via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A copy of the slides being presented will be available via AVROBIO’s investor website. Those who plan on participating are advised to join 15 minutes prior to the start time. A replay of the webcast will also be available via AVROBIO’s investor website approximately two hours after the call’s conclusion.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AVROBIO</w:t>
      </w:r>
    </w:p>
    <w:p>
      <w:pPr>
        <w:spacing w:after="0" w:line="80"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AVROBIO is a gene therapy company with a purpose to free people from a lifetime of genetic disease. The company has been focused on developing potentially curative HSC gene therapies to treat patients with rare diseases following a single dose treatment regimen.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Tectonic Therapeutic</w:t>
      </w:r>
    </w:p>
    <w:p>
      <w:pPr>
        <w:spacing w:after="0" w:line="80" w:lineRule="exact"/>
        <w:rPr>
          <w:sz w:val="20"/>
          <w:szCs w:val="20"/>
          <w:color w:val="auto"/>
        </w:rPr>
      </w:pPr>
    </w:p>
    <w:p>
      <w:pPr>
        <w:ind w:left="640" w:right="679"/>
        <w:spacing w:after="0" w:line="226" w:lineRule="auto"/>
        <w:rPr>
          <w:sz w:val="20"/>
          <w:szCs w:val="20"/>
          <w:color w:val="auto"/>
        </w:rPr>
      </w:pPr>
      <w:r>
        <w:rPr>
          <w:rFonts w:ascii="Times New Roman" w:cs="Times New Roman" w:eastAsia="Times New Roman" w:hAnsi="Times New Roman"/>
          <w:sz w:val="13"/>
          <w:szCs w:val="13"/>
          <w:color w:val="auto"/>
        </w:rPr>
        <w:t>Tectonic Therapeutic, co-founded by Andrew Kruse and Tim Springer of Harvard Medical School, is transforming the discovery of antibodies and other biologic drugs targeting GPCRs to develop novel therapies for patients inadequately served by current treatments. With its proprietary GEODe</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3"/>
          <w:szCs w:val="13"/>
          <w:color w:val="auto"/>
        </w:rPr>
        <w:t xml:space="preserve"> platform, Tectonic aims to unlock the therapeutic utility of some of the most difficult receptors in the class, where small molecule pharmacology may be intractable.</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839"/>
        <w:spacing w:after="0" w:line="309" w:lineRule="auto"/>
        <w:rPr>
          <w:sz w:val="20"/>
          <w:szCs w:val="20"/>
          <w:color w:val="auto"/>
        </w:rPr>
      </w:pPr>
      <w:r>
        <w:rPr>
          <w:rFonts w:ascii="Times New Roman" w:cs="Times New Roman" w:eastAsia="Times New Roman" w:hAnsi="Times New Roman"/>
          <w:sz w:val="12"/>
          <w:szCs w:val="12"/>
          <w:color w:val="auto"/>
        </w:rPr>
        <w:t>AVROBIO, Tectonic, and their respective directors and certain of their executive officers may be considered participants in the solicitation of proxies from AVROBIO’s shareholders with respect to the proposed merger transaction under the rules of the U.S. Securities and Exchange Commission.</w:t>
      </w:r>
    </w:p>
    <w:p>
      <w:pPr>
        <w:sectPr>
          <w:pgSz w:w="11900" w:h="16838" w:orient="portrait"/>
          <w:cols w:equalWidth="0" w:num="1">
            <w:col w:w="9019"/>
          </w:cols>
          <w:pgMar w:left="1440" w:top="229" w:right="1440" w:bottom="1440" w:gutter="0" w:footer="0" w:header="0"/>
        </w:sectPr>
      </w:pPr>
    </w:p>
    <w:bookmarkStart w:id="165" w:name="page166"/>
    <w:bookmarkEnd w:id="165"/>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Information about the directors and executive officers of AVROBIO is set forth in its Annual Report on Form 10-K for the year ended December 31, 2022, which was filed with the SEC on March 23, 2023, subsequent Quarterly Reports on Form 10-Q and other documents that may be filed from time to time with the SEC. Additional information regarding the persons who may be deemed participants in the proxy solicitations and a description of their direct and indirect interests, by security holdings or otherwise, will also be included in a registration statement filed on Form S-4 that will contain a proxy statement (and prospectus and other relevant materials) to be filed with the SEC when they become available. You may obtain free copies of this document as described above.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U S. Securities Act of 1933, as amended, and otherwise in accordance with applicable law.</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This communication relates to the proposed merger transaction involving AVROBIO and Tectonic (the “Merger”) and may be deemed to be solicitation material in respect of the proposed Merger. In connection with the proposed Merger, AVROBIO will file relevant materials with the SEC, including a registration statement on Form S-4 (the “Form S-4”) that will contain a proxy statement (the “Proxy Statement”) and prospectus. This communication is not a substitute for the Form S-4, the Proxy Statement or for any other document that AVROBIO may file with the SEC and/or send to AVROBIO’s shareholders in connection with the proposed Merger. BEFORE MAKING ANY VOTING DECISION, INVESTORS AND SECURITY HOLDERS OF AVROBIO ARE URGED TO READ THE FORM S-4, THE PROXY STATEMENT AND OTHER DOCUMENTS FILED WITH THE SEC CAREFULLY AND IN THEIR ENTIRETY WHEN THEY BECOME AVAILABLE BECAUSE THEY WILL CONTAIN IMPORTANT INFORMATION ABOUT AVROBIO, THE PROPOSED MERGER AND RELATED MATTERS.</w:t>
      </w:r>
    </w:p>
    <w:p>
      <w:pPr>
        <w:spacing w:after="0" w:line="139" w:lineRule="exact"/>
        <w:rPr>
          <w:sz w:val="20"/>
          <w:szCs w:val="20"/>
          <w:color w:val="auto"/>
        </w:rPr>
      </w:pPr>
    </w:p>
    <w:p>
      <w:pPr>
        <w:ind w:left="640" w:right="659"/>
        <w:spacing w:after="0" w:line="286"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Form S-4, the Proxy Statement and other documents filed by AVROBIO with the SEC through the website maintained by the SEC at http://www.sec.gov. Copies of the documents filed by AVROBIO with the SEC will also be available free of charge on AVROBIO’s website at www.avrobio.com, or by contacting AVROBIO’s Investor Relations at https://investors.avrobio.com/.</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759"/>
        <w:spacing w:after="0" w:line="246" w:lineRule="auto"/>
        <w:rPr>
          <w:sz w:val="20"/>
          <w:szCs w:val="20"/>
          <w:color w:val="auto"/>
        </w:rPr>
      </w:pPr>
      <w:r>
        <w:rPr>
          <w:rFonts w:ascii="Times New Roman" w:cs="Times New Roman" w:eastAsia="Times New Roman" w:hAnsi="Times New Roman"/>
          <w:sz w:val="13"/>
          <w:szCs w:val="13"/>
          <w:color w:val="auto"/>
        </w:rPr>
        <w:t>This communication contains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“Closing”); expectations regarding the ownership structure of the combined company; the anticipated timing of the Closing; the expected executive officers and directors of the combined company; expectations regarding the structure, timing and completion of the private placement financing, including investment amounts from investors, timing of closing, expected proceeds and impact on ownership structure; each company’s and the combined company’s expected cash position at the Closing and cash runway of the combined company following the Merger and private financing; the future operations of the combined company, including commercialization activities, timing of launch, buildout of commercial infrastructure; the nature, strategy</w:t>
      </w:r>
    </w:p>
    <w:p>
      <w:pPr>
        <w:sectPr>
          <w:pgSz w:w="11900" w:h="16838" w:orient="portrait"/>
          <w:cols w:equalWidth="0" w:num="1">
            <w:col w:w="9019"/>
          </w:cols>
          <w:pgMar w:left="1440" w:top="231" w:right="1440" w:bottom="1440" w:gutter="0" w:footer="0" w:header="0"/>
        </w:sectPr>
      </w:pPr>
    </w:p>
    <w:bookmarkStart w:id="166" w:name="page167"/>
    <w:bookmarkEnd w:id="166"/>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focus of the combined company; the development and commercial potential and potential benefits of any product candidates of the combined company,; the location of the combined company’s corporate headquarters; anticipated clinical drug development activities and related timelines; and other statements that are not historical fact. All statements other than statements of historical fact contained in this communication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AVROBIO, Tectonic, the Merger or the private placement financing will be those that have been anticipated.</w:t>
      </w:r>
    </w:p>
    <w:p>
      <w:pPr>
        <w:spacing w:after="0" w:line="135"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Forward-looking statements are subject to a number of risks and uncertainties, many of which involve factors or circumstances that are beyond AVROBIO’s control. AVROBIO’s actual results could differ materially from those stated or implied in forward-looking statements due to a number of factors, including but not limited to (i) the risk that the conditions to the Closing are not satisfied, including the failure to timely obtain stockholder approval for the transaction, if at all; (ii) uncertainties as to the timing of the consummation of the proposed Merger and the ability of each of AVROBIO and Tectonic to consummate the proposed Merger; (iii) risks related to AVROBIO’s ability to manage its operating expenses and its expenses associated with the proposed Merger pending the Closing; (iv) risks related to the failure or delay in obtaining any required consents necessary to consummate the proposed Merger; (v) the risk that as a result of adjustments to the exchange ratio, AVROBIO stockholders and Tectonic stockholders could own more or less of the combined company than is currently anticipated; (vi) risks related to the market price of AVROBIO’s common stock relative to the value suggested by the exchange ratio; (vii) unexpected costs, charges or expenses resulting from the transaction; (viii) potential adverse reactions or changes to business relationships resulting from the announcement or completion of the proposed Merger; (ix) the uncertainties associated with Tectonic’s product candidates, as well as risks associated with the clinical development and regulatory approval of product candidates, including potential delays in the completion of clinical trials; (x) risks related to the inability of the combined company to obtain sufficient additional capital to continue to advance these or other product candidates; (xi) uncertainties in obtaining successful clinical results for product candidates and unexpected costs that may result therefrom; (xii) risks related to the failure to realize any value from product candidates currently being developed and anticipated to be developed in light of inherent risks and difficulties involved in successfully bringing product candidates to market; (xiii) risks associated with the possible failure to realize certain anticipated benefits of the proposed Merger, including with respect to future financial and operating results; and (xiv) the risk that the private placement financing is not consummated upon the Closing. Actual results and the timing of events could differ materially from those anticipated in such forward-looking statements as a result of these risks and uncertainties. These and other risks and uncertainties are more fully described in periodic filings with the U.S. Securities and Exchange Commission (the “SEC”), including the factors described in the section titled “Risk Factors” in AVROBIO’s Annual Report on Form 10-K for the year ended December 31, 2022, which was filed with the SEC on March 23, 2023, subsequent Quarterly Reports on Form 10-Q filed with the SEC, and in other filings that AVROBIO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AVROBIO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AVROBIO or Tectonic.</w:t>
      </w:r>
    </w:p>
    <w:p>
      <w:pPr>
        <w:sectPr>
          <w:pgSz w:w="11900" w:h="16838" w:orient="portrait"/>
          <w:cols w:equalWidth="0" w:num="1">
            <w:col w:w="9019"/>
          </w:cols>
          <w:pgMar w:left="1440" w:top="231" w:right="1440" w:bottom="1440" w:gutter="0" w:footer="0" w:header="0"/>
        </w:sectPr>
      </w:pPr>
    </w:p>
    <w:bookmarkStart w:id="167" w:name="page168"/>
    <w:bookmarkEnd w:id="16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AVROBIO 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Ed Trissel / Carly King</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Joele Frank, Wilkinson Brimmer Katcher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(212) 355-4449</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Christopher F. Brinzey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Westwicke, an ICR Company</w:t>
      </w:r>
    </w:p>
    <w:p>
      <w:pPr>
        <w:spacing w:after="0" w:line="2" w:lineRule="exact"/>
        <w:rPr>
          <w:sz w:val="20"/>
          <w:szCs w:val="20"/>
          <w:color w:val="auto"/>
        </w:rPr>
      </w:pPr>
    </w:p>
    <w:p>
      <w:pPr>
        <w:ind w:left="640" w:right="6819" w:hanging="3"/>
        <w:spacing w:after="0" w:line="287" w:lineRule="auto"/>
        <w:tabs>
          <w:tab w:leader="none" w:pos="94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970-2843 </w:t>
      </w:r>
      <w:r>
        <w:rPr>
          <w:rFonts w:ascii="Times New Roman" w:cs="Times New Roman" w:eastAsia="Times New Roman" w:hAnsi="Times New Roman"/>
          <w:sz w:val="12"/>
          <w:szCs w:val="12"/>
          <w:u w:val="single" w:color="auto"/>
          <w:color w:val="auto"/>
        </w:rPr>
        <w:t>chris.brinzey@westwicke.com</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Tectonic Therapeutic 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Christian Cortis, PhD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Tectonic Therapeutic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ccortis@tectonictx.com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(781) 327-2606</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Karen Sharma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MacDougall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ksharma@macdougall.bio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(781) 235-3060</w:t>
      </w:r>
    </w:p>
    <w:p>
      <w:pPr>
        <w:sectPr>
          <w:pgSz w:w="11900" w:h="16838" w:orient="portrait"/>
          <w:cols w:equalWidth="0" w:num="1">
            <w:col w:w="9019"/>
          </w:cols>
          <w:pgMar w:left="1440" w:top="229" w:right="1440" w:bottom="1440"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1)"/>
      <w:numFmt w:val="lowerRoman"/>
      <w:start w:val="5"/>
    </w:lvl>
  </w:abstractNum>
  <w:abstractNum w:abstractNumId="3">
    <w:nsid w:val="53299938"/>
    <w:multiLevelType w:val="hybridMultilevel"/>
    <w:lvl w:ilvl="0">
      <w:lvlJc w:val="left"/>
      <w:lvlText w:val="(%1)"/>
      <w:numFmt w:val="lowerRoman"/>
      <w:start w:val="8"/>
    </w:lvl>
  </w:abstractNum>
  <w:abstractNum w:abstractNumId="4">
    <w:nsid w:val="1FBFE8E0"/>
    <w:multiLevelType w:val="hybridMultilevel"/>
    <w:lvl w:ilvl="0">
      <w:lvlJc w:val="left"/>
      <w:lvlText w:val="(%1)"/>
      <w:numFmt w:val="lowerRoman"/>
      <w:start w:val="13"/>
    </w:lvl>
  </w:abstractNum>
  <w:abstractNum w:abstractNumId="5">
    <w:nsid w:val="5092CA79"/>
    <w:multiLevelType w:val="hybridMultilevel"/>
    <w:lvl w:ilvl="0">
      <w:lvlJc w:val="left"/>
      <w:lvlText w:val="(%1)"/>
      <w:numFmt w:val="lowerLetter"/>
      <w:start w:val="4"/>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1)"/>
      <w:numFmt w:val="lowerLetter"/>
      <w:start w:val="1"/>
    </w:lvl>
  </w:abstractNum>
  <w:abstractNum w:abstractNumId="8">
    <w:nsid w:val="288F1A34"/>
    <w:multiLevelType w:val="hybridMultilevel"/>
    <w:lvl w:ilvl="0">
      <w:lvlJc w:val="left"/>
      <w:lvlText w:val="(%1)"/>
      <w:numFmt w:val="lowerRoman"/>
      <w:start w:val="2"/>
    </w:lvl>
  </w:abstractNum>
  <w:abstractNum w:abstractNumId="9">
    <w:nsid w:val="2A155DBC"/>
    <w:multiLevelType w:val="hybridMultilevel"/>
    <w:lvl w:ilvl="0">
      <w:lvlJc w:val="left"/>
      <w:lvlText w:val="(%1)"/>
      <w:numFmt w:val="lowerLetter"/>
      <w:start w:val="1"/>
    </w:lvl>
  </w:abstractNum>
  <w:abstractNum w:abstractNumId="10">
    <w:nsid w:val="1D9F6E5F"/>
    <w:multiLevelType w:val="hybridMultilevel"/>
    <w:lvl w:ilvl="0">
      <w:lvlJc w:val="left"/>
      <w:lvlText w:val="(%1)"/>
      <w:numFmt w:val="lowerRoman"/>
      <w:start w:val="14"/>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1)"/>
      <w:numFmt w:val="lowerRoman"/>
      <w:start w:val="7"/>
    </w:lvl>
  </w:abstractNum>
  <w:abstractNum w:abstractNumId="14">
    <w:nsid w:val="53584BCB"/>
    <w:multiLevelType w:val="hybridMultilevel"/>
    <w:lvl w:ilvl="0">
      <w:lvlJc w:val="left"/>
      <w:lvlText w:val="(%1)"/>
      <w:numFmt w:val="lowerLetter"/>
      <w:start w:val="3"/>
    </w:lvl>
  </w:abstractNum>
  <w:abstractNum w:abstractNumId="15">
    <w:nsid w:val="415E286C"/>
    <w:multiLevelType w:val="hybridMultilevel"/>
    <w:lvl w:ilvl="0">
      <w:lvlJc w:val="left"/>
      <w:lvlText w:val="(%1)"/>
      <w:numFmt w:val="lowerRoman"/>
      <w:start w:val="2"/>
    </w:lvl>
  </w:abstractNum>
  <w:abstractNum w:abstractNumId="16">
    <w:nsid w:val="7C58FD05"/>
    <w:multiLevelType w:val="hybridMultilevel"/>
    <w:lvl w:ilvl="0">
      <w:lvlJc w:val="left"/>
      <w:lvlText w:val="(%1)"/>
      <w:numFmt w:val="lowerLetter"/>
      <w:start w:val="2"/>
    </w:lvl>
  </w:abstractNum>
  <w:abstractNum w:abstractNumId="17">
    <w:nsid w:val="23D86AAC"/>
    <w:multiLevelType w:val="hybridMultilevel"/>
    <w:lvl w:ilvl="0">
      <w:lvlJc w:val="left"/>
      <w:lvlText w:val="(%1)"/>
      <w:numFmt w:val="lowerLetter"/>
      <w:start w:val="1"/>
    </w:lvl>
  </w:abstractNum>
  <w:abstractNum w:abstractNumId="18">
    <w:nsid w:val="45E6D486"/>
    <w:multiLevelType w:val="hybridMultilevel"/>
    <w:lvl w:ilvl="0">
      <w:lvlJc w:val="left"/>
      <w:lvlText w:val="(%1)"/>
      <w:numFmt w:val="lowerLetter"/>
      <w:start w:val="2"/>
    </w:lvl>
  </w:abstractNum>
  <w:abstractNum w:abstractNumId="19">
    <w:nsid w:val="5C10FE21"/>
    <w:multiLevelType w:val="hybridMultilevel"/>
    <w:lvl w:ilvl="0">
      <w:lvlJc w:val="left"/>
      <w:lvlText w:val="(%1)"/>
      <w:numFmt w:val="lowerLetter"/>
      <w:start w:val="1"/>
    </w:lvl>
  </w:abstractNum>
  <w:abstractNum w:abstractNumId="20">
    <w:nsid w:val="E7FFA2B"/>
    <w:multiLevelType w:val="hybridMultilevel"/>
    <w:lvl w:ilvl="0">
      <w:lvlJc w:val="left"/>
      <w:lvlText w:val="(%1)"/>
      <w:numFmt w:val="lowerLetter"/>
      <w:start w:val="4"/>
    </w:lvl>
  </w:abstractNum>
  <w:abstractNum w:abstractNumId="21">
    <w:nsid w:val="3C5991A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
    <w:nsid w:val="4BD8591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
    <w:nsid w:val="78DF6A55"/>
    <w:multiLevelType w:val="hybridMultilevel"/>
    <w:lvl w:ilvl="0">
      <w:lvlJc w:val="left"/>
      <w:lvlText w:val="(%1)"/>
      <w:numFmt w:val="lowerLetter"/>
      <w:start w:val="5"/>
    </w:lvl>
  </w:abstractNum>
  <w:abstractNum w:abstractNumId="24">
    <w:nsid w:val="39B7AAA2"/>
    <w:multiLevelType w:val="hybridMultilevel"/>
    <w:lvl w:ilvl="0">
      <w:lvlJc w:val="left"/>
      <w:lvlText w:val="(%1)"/>
      <w:numFmt w:val="lowerLetter"/>
      <w:start w:val="1"/>
    </w:lvl>
  </w:abstractNum>
  <w:abstractNum w:abstractNumId="25">
    <w:nsid w:val="2B0D8DBE"/>
    <w:multiLevelType w:val="hybridMultilevel"/>
    <w:lvl w:ilvl="0">
      <w:lvlJc w:val="left"/>
      <w:lvlText w:val="(%1)"/>
      <w:numFmt w:val="lowerLetter"/>
      <w:start w:val="1"/>
    </w:lvl>
  </w:abstractNum>
  <w:abstractNum w:abstractNumId="26">
    <w:nsid w:val="6C80EC70"/>
    <w:multiLevelType w:val="hybridMultilevel"/>
    <w:lvl w:ilvl="0">
      <w:lvlJc w:val="left"/>
      <w:lvlText w:val="(%1)"/>
      <w:numFmt w:val="lowerLetter"/>
      <w:start w:val="3"/>
    </w:lvl>
  </w:abstractNum>
  <w:abstractNum w:abstractNumId="27">
    <w:nsid w:val="379E21B5"/>
    <w:multiLevelType w:val="hybridMultilevel"/>
    <w:lvl w:ilvl="0">
      <w:lvlJc w:val="left"/>
      <w:lvlText w:val="(%1)"/>
      <w:numFmt w:val="lowerLetter"/>
      <w:start w:val="1"/>
    </w:lvl>
  </w:abstractNum>
  <w:abstractNum w:abstractNumId="28">
    <w:nsid w:val="69E373"/>
    <w:multiLevelType w:val="hybridMultilevel"/>
    <w:lvl w:ilvl="0">
      <w:lvlJc w:val="left"/>
      <w:lvlText w:val="%1"/>
      <w:numFmt w:val="decimal"/>
      <w:start w:val="1"/>
    </w:lvl>
    <w:lvl w:ilvl="1">
      <w:lvlJc w:val="left"/>
      <w:lvlText w:val="(%2)"/>
      <w:numFmt w:val="lowerLetter"/>
      <w:start w:val="3"/>
    </w:lvl>
  </w:abstractNum>
  <w:abstractNum w:abstractNumId="29">
    <w:nsid w:val="2C27173B"/>
    <w:multiLevelType w:val="hybridMultilevel"/>
    <w:lvl w:ilvl="0">
      <w:lvlJc w:val="left"/>
      <w:lvlText w:val="(%1)"/>
      <w:numFmt w:val="decimal"/>
      <w:start w:val="5"/>
    </w:lvl>
    <w:lvl w:ilvl="1">
      <w:lvlJc w:val="left"/>
      <w:lvlText w:val="%2"/>
      <w:numFmt w:val="lowerLetter"/>
      <w:start w:val="1"/>
    </w:lvl>
  </w:abstractNum>
  <w:abstractNum w:abstractNumId="30">
    <w:nsid w:val="4C9B0904"/>
    <w:multiLevelType w:val="hybridMultilevel"/>
    <w:lvl w:ilvl="0">
      <w:lvlJc w:val="left"/>
      <w:lvlText w:val="(%1)"/>
      <w:numFmt w:val="lowerLetter"/>
      <w:start w:val="1"/>
    </w:lvl>
  </w:abstractNum>
  <w:abstractNum w:abstractNumId="31">
    <w:nsid w:val="6AA7B75C"/>
    <w:multiLevelType w:val="hybridMultilevel"/>
    <w:lvl w:ilvl="0">
      <w:lvlJc w:val="left"/>
      <w:lvlText w:val="(%1)"/>
      <w:numFmt w:val="lowerLetter"/>
      <w:start w:val="1"/>
    </w:lvl>
  </w:abstractNum>
  <w:abstractNum w:abstractNumId="32">
    <w:nsid w:val="1DF029D3"/>
    <w:multiLevelType w:val="hybridMultilevel"/>
    <w:lvl w:ilvl="0">
      <w:lvlJc w:val="left"/>
      <w:lvlText w:val="(%1)"/>
      <w:numFmt w:val="lowerLetter"/>
      <w:start w:val="1"/>
    </w:lvl>
    <w:lvl w:ilvl="1">
      <w:lvlJc w:val="left"/>
      <w:lvlText w:val="(%2)"/>
      <w:numFmt w:val="lowerRoman"/>
      <w:start w:val="1"/>
    </w:lvl>
  </w:abstractNum>
  <w:abstractNum w:abstractNumId="33">
    <w:nsid w:val="5675FF36"/>
    <w:multiLevelType w:val="hybridMultilevel"/>
    <w:lvl w:ilvl="0">
      <w:lvlJc w:val="left"/>
      <w:lvlText w:val="(%1)"/>
      <w:numFmt w:val="lowerLetter"/>
      <w:start w:val="1"/>
    </w:lvl>
    <w:lvl w:ilvl="1">
      <w:lvlJc w:val="left"/>
      <w:lvlText w:val="(%2)"/>
      <w:numFmt w:val="lowerRoman"/>
      <w:start w:val="1"/>
    </w:lvl>
  </w:abstractNum>
  <w:abstractNum w:abstractNumId="34">
    <w:nsid w:val="3DD15094"/>
    <w:multiLevelType w:val="hybridMultilevel"/>
    <w:lvl w:ilvl="0">
      <w:lvlJc w:val="left"/>
      <w:lvlText w:val="(%1)"/>
      <w:numFmt w:val="lowerLetter"/>
      <w:start w:val="5"/>
    </w:lvl>
  </w:abstractNum>
  <w:abstractNum w:abstractNumId="35">
    <w:nsid w:val="3DB012B3"/>
    <w:multiLevelType w:val="hybridMultilevel"/>
    <w:lvl w:ilvl="0">
      <w:lvlJc w:val="left"/>
      <w:lvlText w:val="%1"/>
      <w:numFmt w:val="lowerLetter"/>
      <w:start w:val="1"/>
    </w:lvl>
    <w:lvl w:ilvl="1">
      <w:lvlJc w:val="left"/>
      <w:lvlText w:val="(%2)"/>
      <w:numFmt w:val="lowerLetter"/>
      <w:start w:val="1"/>
    </w:lvl>
  </w:abstractNum>
  <w:abstractNum w:abstractNumId="36">
    <w:nsid w:val="2708C9AF"/>
    <w:multiLevelType w:val="hybridMultilevel"/>
    <w:lvl w:ilvl="0">
      <w:lvlJc w:val="left"/>
      <w:lvlText w:val="(%1)"/>
      <w:numFmt w:val="lowerLetter"/>
      <w:start w:val="35"/>
    </w:lvl>
    <w:lvl w:ilvl="1">
      <w:lvlJc w:val="left"/>
      <w:lvlText w:val="(%2)"/>
      <w:numFmt w:val="lowerLetter"/>
      <w:start w:val="2"/>
    </w:lvl>
  </w:abstractNum>
  <w:abstractNum w:abstractNumId="37">
    <w:nsid w:val="5B25ACE2"/>
    <w:multiLevelType w:val="hybridMultilevel"/>
    <w:lvl w:ilvl="0">
      <w:lvlJc w:val="left"/>
      <w:lvlText w:val="(%1)"/>
      <w:numFmt w:val="lowerLetter"/>
      <w:start w:val="2"/>
    </w:lvl>
  </w:abstractNum>
  <w:abstractNum w:abstractNumId="38">
    <w:nsid w:val="175DFCF0"/>
    <w:multiLevelType w:val="hybridMultilevel"/>
    <w:lvl w:ilvl="0">
      <w:lvlJc w:val="left"/>
      <w:lvlText w:val="(%1)"/>
      <w:numFmt w:val="lowerRoman"/>
      <w:start w:val="4"/>
    </w:lvl>
  </w:abstractNum>
  <w:abstractNum w:abstractNumId="39">
    <w:nsid w:val="4F97E3E4"/>
    <w:multiLevelType w:val="hybridMultilevel"/>
    <w:lvl w:ilvl="0">
      <w:lvlJc w:val="left"/>
      <w:lvlText w:val="(%1)"/>
      <w:numFmt w:val="lowerLetter"/>
      <w:start w:val="1"/>
    </w:lvl>
  </w:abstractNum>
  <w:abstractNum w:abstractNumId="40">
    <w:nsid w:val="53B0A9E"/>
    <w:multiLevelType w:val="hybridMultilevel"/>
    <w:lvl w:ilvl="0">
      <w:lvlJc w:val="left"/>
      <w:lvlText w:val="(%1)"/>
      <w:numFmt w:val="lowerLetter"/>
      <w:start w:val="2"/>
    </w:lvl>
  </w:abstractNum>
  <w:abstractNum w:abstractNumId="41">
    <w:nsid w:val="34FD6B4F"/>
    <w:multiLevelType w:val="hybridMultilevel"/>
    <w:lvl w:ilvl="0">
      <w:lvlJc w:val="left"/>
      <w:lvlText w:val="%1"/>
      <w:numFmt w:val="lowerLetter"/>
      <w:start w:val="1"/>
    </w:lvl>
    <w:lvl w:ilvl="1">
      <w:lvlJc w:val="left"/>
      <w:lvlText w:val="(%2)"/>
      <w:numFmt w:val="lowerLetter"/>
      <w:start w:val="6"/>
    </w:lvl>
  </w:abstractNum>
  <w:abstractNum w:abstractNumId="42">
    <w:nsid w:val="5915FF32"/>
    <w:multiLevelType w:val="hybridMultilevel"/>
    <w:lvl w:ilvl="0">
      <w:lvlJc w:val="left"/>
      <w:lvlText w:val="(%1)"/>
      <w:numFmt w:val="lowerLetter"/>
      <w:start w:val="9"/>
    </w:lvl>
    <w:lvl w:ilvl="1">
      <w:lvlJc w:val="left"/>
      <w:lvlText w:val="%2"/>
      <w:numFmt w:val="lowerLetter"/>
      <w:start w:val="1"/>
    </w:lvl>
  </w:abstractNum>
  <w:abstractNum w:abstractNumId="43">
    <w:nsid w:val="56438D15"/>
    <w:multiLevelType w:val="hybridMultilevel"/>
    <w:lvl w:ilvl="0">
      <w:lvlJc w:val="left"/>
      <w:lvlText w:val="(%1)"/>
      <w:numFmt w:val="lowerLetter"/>
      <w:start w:val="12"/>
    </w:lvl>
  </w:abstractNum>
  <w:abstractNum w:abstractNumId="44">
    <w:nsid w:val="519E3149"/>
    <w:multiLevelType w:val="hybridMultilevel"/>
    <w:lvl w:ilvl="0">
      <w:lvlJc w:val="left"/>
      <w:lvlText w:val="(%1)"/>
      <w:numFmt w:val="lowerLetter"/>
      <w:start w:val="1"/>
    </w:lvl>
    <w:lvl w:ilvl="1">
      <w:lvlJc w:val="left"/>
      <w:lvlText w:val="(%2)"/>
      <w:numFmt w:val="lowerRoman"/>
      <w:start w:val="1"/>
    </w:lvl>
  </w:abstractNum>
  <w:abstractNum w:abstractNumId="45">
    <w:nsid w:val="2C6E4AFD"/>
    <w:multiLevelType w:val="hybridMultilevel"/>
    <w:lvl w:ilvl="0">
      <w:lvlJc w:val="left"/>
      <w:lvlText w:val="(%1)"/>
      <w:numFmt w:val="lowerRoman"/>
      <w:start w:val="4"/>
    </w:lvl>
  </w:abstractNum>
  <w:abstractNum w:abstractNumId="46">
    <w:nsid w:val="17A1B582"/>
    <w:multiLevelType w:val="hybridMultilevel"/>
    <w:lvl w:ilvl="0">
      <w:lvlJc w:val="left"/>
      <w:lvlText w:val="%1"/>
      <w:numFmt w:val="upperLetter"/>
      <w:start w:val="1"/>
    </w:lvl>
    <w:lvl w:ilvl="1">
      <w:lvlJc w:val="left"/>
      <w:lvlText w:val="(%2)"/>
      <w:numFmt w:val="lowerRoman"/>
      <w:start w:val="7"/>
    </w:lvl>
  </w:abstractNum>
  <w:abstractNum w:abstractNumId="47">
    <w:nsid w:val="4DF72E4E"/>
    <w:multiLevelType w:val="hybridMultilevel"/>
    <w:lvl w:ilvl="0">
      <w:lvlJc w:val="left"/>
      <w:lvlText w:val="(%1)"/>
      <w:numFmt w:val="upperLetter"/>
      <w:start w:val="2"/>
    </w:lvl>
    <w:lvl w:ilvl="1">
      <w:lvlJc w:val="left"/>
      <w:lvlText w:val="(%2)"/>
      <w:numFmt w:val="lowerRoman"/>
      <w:start w:val="11"/>
    </w:lvl>
  </w:abstractNum>
  <w:abstractNum w:abstractNumId="48">
    <w:nsid w:val="5046B5A9"/>
    <w:multiLevelType w:val="hybridMultilevel"/>
    <w:lvl w:ilvl="0">
      <w:lvlJc w:val="left"/>
      <w:lvlText w:val="%1"/>
      <w:numFmt w:val="lowerLetter"/>
      <w:start w:val="1"/>
    </w:lvl>
    <w:lvl w:ilvl="1">
      <w:lvlJc w:val="left"/>
      <w:lvlText w:val="(%2)"/>
      <w:numFmt w:val="lowerRoman"/>
      <w:start w:val="19"/>
    </w:lvl>
  </w:abstractNum>
  <w:abstractNum w:abstractNumId="49">
    <w:nsid w:val="5D888A08"/>
    <w:multiLevelType w:val="hybridMultilevel"/>
    <w:lvl w:ilvl="0">
      <w:lvlJc w:val="left"/>
      <w:lvlText w:val="(%1)"/>
      <w:numFmt w:val="lowerLetter"/>
      <w:start w:val="2"/>
    </w:lvl>
    <w:lvl w:ilvl="1">
      <w:lvlJc w:val="left"/>
      <w:lvlText w:val="%2"/>
      <w:numFmt w:val="lowerRoman"/>
      <w:start w:val="1"/>
    </w:lvl>
  </w:abstractNum>
  <w:abstractNum w:abstractNumId="50">
    <w:nsid w:val="2A082C70"/>
    <w:multiLevelType w:val="hybridMultilevel"/>
    <w:lvl w:ilvl="0">
      <w:lvlJc w:val="left"/>
      <w:lvlText w:val="(%1)"/>
      <w:numFmt w:val="lowerLetter"/>
      <w:start w:val="1"/>
    </w:lvl>
  </w:abstractNum>
  <w:abstractNum w:abstractNumId="51">
    <w:nsid w:val="5EC6AFD4"/>
    <w:multiLevelType w:val="hybridMultilevel"/>
    <w:lvl w:ilvl="0">
      <w:lvlJc w:val="left"/>
      <w:lvlText w:val="(%1)"/>
      <w:numFmt w:val="lowerLetter"/>
      <w:start w:val="2"/>
    </w:lvl>
  </w:abstractNum>
  <w:abstractNum w:abstractNumId="52">
    <w:nsid w:val="19E21BB2"/>
    <w:multiLevelType w:val="hybridMultilevel"/>
    <w:lvl w:ilvl="0">
      <w:lvlJc w:val="left"/>
      <w:lvlText w:val="%1"/>
      <w:numFmt w:val="lowerRoman"/>
      <w:start w:val="1"/>
    </w:lvl>
    <w:lvl w:ilvl="1">
      <w:lvlJc w:val="left"/>
      <w:lvlText w:val="(%2)"/>
      <w:numFmt w:val="lowerLetter"/>
      <w:start w:val="6"/>
    </w:lvl>
  </w:abstractNum>
  <w:abstractNum w:abstractNumId="53">
    <w:nsid w:val="75E0858A"/>
    <w:multiLevelType w:val="hybridMultilevel"/>
    <w:lvl w:ilvl="0">
      <w:lvlJc w:val="left"/>
      <w:lvlText w:val="(%1)"/>
      <w:numFmt w:val="lowerRoman"/>
      <w:start w:val="4"/>
    </w:lvl>
    <w:lvl w:ilvl="1">
      <w:lvlJc w:val="left"/>
      <w:lvlText w:val="%2"/>
      <w:numFmt w:val="lowerLetter"/>
      <w:start w:val="1"/>
    </w:lvl>
  </w:abstractNum>
  <w:abstractNum w:abstractNumId="54">
    <w:nsid w:val="57A61A29"/>
    <w:multiLevelType w:val="hybridMultilevel"/>
    <w:lvl w:ilvl="0">
      <w:lvlJc w:val="left"/>
      <w:lvlText w:val="(%1)"/>
      <w:numFmt w:val="lowerRoman"/>
      <w:start w:val="6"/>
    </w:lvl>
    <w:lvl w:ilvl="1">
      <w:lvlJc w:val="left"/>
      <w:lvlText w:val="(%2)"/>
      <w:numFmt w:val="lowerLetter"/>
      <w:start w:val="7"/>
    </w:lvl>
  </w:abstractNum>
  <w:abstractNum w:abstractNumId="55">
    <w:nsid w:val="5399C654"/>
    <w:multiLevelType w:val="hybridMultilevel"/>
    <w:lvl w:ilvl="0">
      <w:lvlJc w:val="left"/>
      <w:lvlText w:val="(%1)"/>
      <w:numFmt w:val="lowerLetter"/>
      <w:start w:val="1"/>
    </w:lvl>
  </w:abstractNum>
  <w:abstractNum w:abstractNumId="56">
    <w:nsid w:val="20EE1348"/>
    <w:multiLevelType w:val="hybridMultilevel"/>
    <w:lvl w:ilvl="0">
      <w:lvlJc w:val="left"/>
      <w:lvlText w:val="(%1)"/>
      <w:numFmt w:val="lowerLetter"/>
      <w:start w:val="1"/>
    </w:lvl>
  </w:abstractNum>
  <w:abstractNum w:abstractNumId="57">
    <w:nsid w:val="4427069A"/>
    <w:multiLevelType w:val="hybridMultilevel"/>
    <w:lvl w:ilvl="0">
      <w:lvlJc w:val="left"/>
      <w:lvlText w:val="%1"/>
      <w:numFmt w:val="lowerLetter"/>
      <w:start w:val="1"/>
    </w:lvl>
    <w:lvl w:ilvl="1">
      <w:lvlJc w:val="left"/>
      <w:lvlText w:val="(%2)"/>
      <w:numFmt w:val="lowerLetter"/>
      <w:start w:val="2"/>
    </w:lvl>
  </w:abstractNum>
  <w:abstractNum w:abstractNumId="58">
    <w:nsid w:val="B37E80A"/>
    <w:multiLevelType w:val="hybridMultilevel"/>
    <w:lvl w:ilvl="0">
      <w:lvlJc w:val="left"/>
      <w:lvlText w:val="(%1)"/>
      <w:numFmt w:val="lowerLetter"/>
      <w:start w:val="9"/>
    </w:lvl>
    <w:lvl w:ilvl="1">
      <w:lvlJc w:val="left"/>
      <w:lvlText w:val="(%2)"/>
      <w:numFmt w:val="lowerLetter"/>
      <w:start w:val="4"/>
    </w:lvl>
  </w:abstractNum>
  <w:abstractNum w:abstractNumId="59">
    <w:nsid w:val="2157F6BC"/>
    <w:multiLevelType w:val="hybridMultilevel"/>
    <w:lvl w:ilvl="0">
      <w:lvlJc w:val="left"/>
      <w:lvlText w:val="(%1)"/>
      <w:numFmt w:val="lowerLetter"/>
      <w:start w:val="9"/>
    </w:lvl>
  </w:abstractNum>
  <w:abstractNum w:abstractNumId="60">
    <w:nsid w:val="704E1DD5"/>
    <w:multiLevelType w:val="hybridMultilevel"/>
    <w:lvl w:ilvl="0">
      <w:lvlJc w:val="left"/>
      <w:lvlText w:val="(%1)"/>
      <w:numFmt w:val="lowerLetter"/>
      <w:start w:val="1"/>
    </w:lvl>
  </w:abstractNum>
  <w:abstractNum w:abstractNumId="61">
    <w:nsid w:val="57D2F10E"/>
    <w:multiLevelType w:val="hybridMultilevel"/>
    <w:lvl w:ilvl="0">
      <w:lvlJc w:val="left"/>
      <w:lvlText w:val="%1"/>
      <w:numFmt w:val="lowerRoman"/>
      <w:start w:val="1"/>
    </w:lvl>
    <w:lvl w:ilvl="1">
      <w:lvlJc w:val="left"/>
      <w:lvlText w:val="(%2)"/>
      <w:numFmt w:val="lowerLetter"/>
      <w:start w:val="3"/>
    </w:lvl>
  </w:abstractNum>
  <w:abstractNum w:abstractNumId="62">
    <w:nsid w:val="BFFAE18"/>
    <w:multiLevelType w:val="hybridMultilevel"/>
    <w:lvl w:ilvl="0">
      <w:lvlJc w:val="left"/>
      <w:lvlText w:val="(%1)"/>
      <w:numFmt w:val="lowerRoman"/>
      <w:start w:val="4"/>
    </w:lvl>
    <w:lvl w:ilvl="1">
      <w:lvlJc w:val="left"/>
      <w:lvlText w:val="(%2)"/>
      <w:numFmt w:val="lowerLetter"/>
      <w:start w:val="6"/>
    </w:lvl>
  </w:abstractNum>
  <w:abstractNum w:abstractNumId="63">
    <w:nsid w:val="E3E47A8"/>
    <w:multiLevelType w:val="hybridMultilevel"/>
    <w:lvl w:ilvl="0">
      <w:lvlJc w:val="left"/>
      <w:lvlText w:val="(%1)"/>
      <w:numFmt w:val="lowerLetter"/>
      <w:start w:val="9"/>
    </w:lvl>
  </w:abstractNum>
  <w:abstractNum w:abstractNumId="64">
    <w:nsid w:val="2E48F044"/>
    <w:multiLevelType w:val="hybridMultilevel"/>
    <w:lvl w:ilvl="0">
      <w:lvlJc w:val="left"/>
      <w:lvlText w:val="(%1)"/>
      <w:numFmt w:val="lowerLetter"/>
      <w:start w:val="1"/>
    </w:lvl>
  </w:abstractNum>
  <w:abstractNum w:abstractNumId="65">
    <w:nsid w:val="49D0FEAC"/>
    <w:multiLevelType w:val="hybridMultilevel"/>
    <w:lvl w:ilvl="0">
      <w:lvlJc w:val="left"/>
      <w:lvlText w:val="(%1)"/>
      <w:numFmt w:val="lowerLetter"/>
      <w:start w:val="1"/>
    </w:lvl>
  </w:abstractNum>
  <w:abstractNum w:abstractNumId="66">
    <w:nsid w:val="4BEE5A5B"/>
    <w:multiLevelType w:val="hybridMultilevel"/>
    <w:lvl w:ilvl="0">
      <w:lvlJc w:val="left"/>
      <w:lvlText w:val="(%1)"/>
      <w:numFmt w:val="lowerLetter"/>
      <w:start w:val="1"/>
    </w:lvl>
    <w:lvl w:ilvl="1">
      <w:lvlJc w:val="left"/>
      <w:lvlText w:val="(%2)"/>
      <w:numFmt w:val="lowerRoman"/>
      <w:start w:val="1"/>
    </w:lvl>
  </w:abstractNum>
  <w:abstractNum w:abstractNumId="67">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68">
    <w:nsid w:val="24F6AB8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9">
    <w:nsid w:val="634C574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0">
    <w:nsid w:val="24E99DD7"/>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71">
    <w:nsid w:val="2A31B62D"/>
    <w:multiLevelType w:val="hybridMultilevel"/>
    <w:lvl w:ilvl="0">
      <w:lvlJc w:val="left"/>
      <w:lvlText w:val="(%1)"/>
      <w:numFmt w:val="lowerLetter"/>
      <w:start w:val="1"/>
    </w:lvl>
  </w:abstractNum>
  <w:abstractNum w:abstractNumId="72">
    <w:nsid w:val="1849C29B"/>
    <w:multiLevelType w:val="hybridMultilevel"/>
    <w:lvl w:ilvl="0">
      <w:lvlJc w:val="left"/>
      <w:lvlText w:val="%1"/>
      <w:numFmt w:val="lowerRoman"/>
      <w:start w:val="1"/>
    </w:lvl>
    <w:lvl w:ilvl="1">
      <w:lvlJc w:val="left"/>
      <w:lvlText w:val="(%2)"/>
      <w:numFmt w:val="lowerLetter"/>
      <w:start w:val="3"/>
    </w:lvl>
  </w:abstractNum>
  <w:abstractNum w:abstractNumId="73">
    <w:nsid w:val="7DFF9D09"/>
    <w:multiLevelType w:val="hybridMultilevel"/>
    <w:lvl w:ilvl="0">
      <w:lvlJc w:val="left"/>
      <w:lvlText w:val="(%1)"/>
      <w:numFmt w:val="lowerRoman"/>
      <w:start w:val="3"/>
    </w:lvl>
    <w:lvl w:ilvl="1">
      <w:lvlJc w:val="left"/>
      <w:lvlText w:val="(%2)"/>
      <w:numFmt w:val="lowerLetter"/>
      <w:start w:val="4"/>
    </w:lvl>
  </w:abstractNum>
  <w:abstractNum w:abstractNumId="74">
    <w:nsid w:val="754342"/>
    <w:multiLevelType w:val="hybridMultilevel"/>
    <w:lvl w:ilvl="0">
      <w:lvlJc w:val="left"/>
      <w:lvlText w:val="(%1)"/>
      <w:numFmt w:val="lowerLetter"/>
      <w:start w:val="5"/>
    </w:lvl>
  </w:abstractNum>
  <w:abstractNum w:abstractNumId="75">
    <w:nsid w:val="69E7F3E5"/>
    <w:multiLevelType w:val="hybridMultilevel"/>
    <w:lvl w:ilvl="0">
      <w:lvlJc w:val="left"/>
      <w:lvlText w:val="(%1)"/>
      <w:numFmt w:val="lowerLetter"/>
      <w:start w:val="1"/>
    </w:lvl>
  </w:abstractNum>
  <w:abstractNum w:abstractNumId="76">
    <w:nsid w:val="2A6DE806"/>
    <w:multiLevelType w:val="hybridMultilevel"/>
    <w:lvl w:ilvl="0">
      <w:lvlJc w:val="left"/>
      <w:lvlText w:val="%1"/>
      <w:numFmt w:val="lowerLetter"/>
      <w:start w:val="1"/>
    </w:lvl>
    <w:lvl w:ilvl="1">
      <w:lvlJc w:val="left"/>
      <w:lvlText w:val="(%2)"/>
      <w:numFmt w:val="lowerLetter"/>
      <w:start w:val="3"/>
    </w:lvl>
  </w:abstractNum>
  <w:abstractNum w:abstractNumId="77">
    <w:nsid w:val="1816F8C4"/>
    <w:multiLevelType w:val="hybridMultilevel"/>
    <w:lvl w:ilvl="0">
      <w:lvlJc w:val="left"/>
      <w:lvlText w:val="(%1)"/>
      <w:numFmt w:val="lowerLetter"/>
      <w:start w:val="9"/>
    </w:lvl>
    <w:lvl w:ilvl="1">
      <w:lvlJc w:val="left"/>
      <w:lvlText w:val="%2"/>
      <w:numFmt w:val="lowerLetter"/>
      <w:start w:val="1"/>
    </w:lvl>
  </w:abstractNum>
  <w:abstractNum w:abstractNumId="78">
    <w:nsid w:val="37DF2233"/>
    <w:multiLevelType w:val="hybridMultilevel"/>
    <w:lvl w:ilvl="0">
      <w:lvlJc w:val="left"/>
      <w:lvlText w:val="(%1)"/>
      <w:numFmt w:val="lowerLetter"/>
      <w:start w:val="61"/>
    </w:lvl>
    <w:lvl w:ilvl="1">
      <w:lvlJc w:val="left"/>
      <w:lvlText w:val="%2"/>
      <w:numFmt w:val="lowerLetter"/>
      <w:start w:val="1"/>
    </w:lvl>
  </w:abstractNum>
  <w:abstractNum w:abstractNumId="79">
    <w:nsid w:val="7AB49DAF"/>
    <w:multiLevelType w:val="hybridMultilevel"/>
    <w:lvl w:ilvl="0">
      <w:lvlJc w:val="left"/>
      <w:lvlText w:val="(%1)"/>
      <w:numFmt w:val="lowerLetter"/>
      <w:start w:val="8"/>
    </w:lvl>
  </w:abstractNum>
  <w:abstractNum w:abstractNumId="80">
    <w:nsid w:val="759F82CD"/>
    <w:multiLevelType w:val="hybridMultilevel"/>
    <w:lvl w:ilvl="0">
      <w:lvlJc w:val="left"/>
      <w:lvlText w:val="%1"/>
      <w:numFmt w:val="lowerLetter"/>
      <w:start w:val="1"/>
    </w:lvl>
    <w:lvl w:ilvl="1">
      <w:lvlJc w:val="left"/>
      <w:lvlText w:val="(%2)"/>
      <w:numFmt w:val="lowerLetter"/>
      <w:start w:val="1"/>
    </w:lvl>
  </w:abstractNum>
  <w:abstractNum w:abstractNumId="81">
    <w:nsid w:val="61E74EA3"/>
    <w:multiLevelType w:val="hybridMultilevel"/>
    <w:lvl w:ilvl="0">
      <w:lvlJc w:val="left"/>
      <w:lvlText w:val="(%1)"/>
      <w:numFmt w:val="lowerLetter"/>
      <w:start w:val="61"/>
    </w:lvl>
    <w:lvl w:ilvl="1">
      <w:lvlJc w:val="left"/>
      <w:lvlText w:val="(%2)"/>
      <w:numFmt w:val="lowerLetter"/>
      <w:start w:val="2"/>
    </w:lvl>
  </w:abstractNum>
  <w:abstractNum w:abstractNumId="82">
    <w:nsid w:val="597B4D84"/>
    <w:multiLevelType w:val="hybridMultilevel"/>
    <w:lvl w:ilvl="0">
      <w:lvlJc w:val="left"/>
      <w:lvlText w:val="(%1)"/>
      <w:numFmt w:val="lowerLetter"/>
      <w:start w:val="5"/>
    </w:lvl>
  </w:abstractNum>
  <w:abstractNum w:abstractNumId="83">
    <w:nsid w:val="F819E7F"/>
    <w:multiLevelType w:val="hybridMultilevel"/>
    <w:lvl w:ilvl="0">
      <w:lvlJc w:val="left"/>
      <w:lvlText w:val="(%1)"/>
      <w:numFmt w:val="lowerLetter"/>
      <w:start w:val="11"/>
    </w:lvl>
  </w:abstractNum>
  <w:abstractNum w:abstractNumId="84">
    <w:nsid w:val="57C7D42D"/>
    <w:multiLevelType w:val="hybridMultilevel"/>
    <w:lvl w:ilvl="0">
      <w:lvlJc w:val="left"/>
      <w:lvlText w:val="(%1)"/>
      <w:numFmt w:val="lowerLetter"/>
      <w:start w:val="1"/>
    </w:lvl>
    <w:lvl w:ilvl="1">
      <w:lvlJc w:val="left"/>
      <w:lvlText w:val="(%2)"/>
      <w:numFmt w:val="lowerRoman"/>
      <w:start w:val="1"/>
    </w:lvl>
  </w:abstractNum>
  <w:abstractNum w:abstractNumId="85">
    <w:nsid w:val="312167AD"/>
    <w:multiLevelType w:val="hybridMultilevel"/>
    <w:lvl w:ilvl="0">
      <w:lvlJc w:val="left"/>
      <w:lvlText w:val="(%1)"/>
      <w:numFmt w:val="lowerRoman"/>
      <w:start w:val="6"/>
    </w:lvl>
  </w:abstractNum>
  <w:abstractNum w:abstractNumId="86">
    <w:nsid w:val="631B64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7"/>
    </w:lvl>
  </w:abstractNum>
  <w:abstractNum w:abstractNumId="87">
    <w:nsid w:val="78B5E77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8"/>
    </w:lvl>
  </w:abstractNum>
  <w:abstractNum w:abstractNumId="88">
    <w:nsid w:val="75486E47"/>
    <w:multiLevelType w:val="hybridMultilevel"/>
    <w:lvl w:ilvl="0">
      <w:lvlJc w:val="left"/>
      <w:lvlText w:val="(%1)"/>
      <w:numFmt w:val="lowerLetter"/>
      <w:start w:val="1"/>
    </w:lvl>
  </w:abstractNum>
  <w:abstractNum w:abstractNumId="89">
    <w:nsid w:val="6E534CDE"/>
    <w:multiLevelType w:val="hybridMultilevel"/>
    <w:lvl w:ilvl="0">
      <w:lvlJc w:val="left"/>
      <w:lvlText w:val="(%1)"/>
      <w:numFmt w:val="lowerLetter"/>
      <w:start w:val="9"/>
    </w:lvl>
    <w:lvl w:ilvl="1">
      <w:lvlJc w:val="left"/>
      <w:lvlText w:val="(%2)"/>
      <w:numFmt w:val="lowerLetter"/>
      <w:start w:val="3"/>
    </w:lvl>
  </w:abstractNum>
  <w:abstractNum w:abstractNumId="90">
    <w:nsid w:val="1A0DDE32"/>
    <w:multiLevelType w:val="hybridMultilevel"/>
    <w:lvl w:ilvl="0">
      <w:lvlJc w:val="left"/>
      <w:lvlText w:val="(%1)"/>
      <w:numFmt w:val="lowerLetter"/>
      <w:start w:val="9"/>
    </w:lvl>
    <w:lvl w:ilvl="1">
      <w:lvlJc w:val="left"/>
      <w:lvlText w:val="(%2)"/>
      <w:numFmt w:val="lowerLetter"/>
      <w:start w:val="4"/>
    </w:lvl>
  </w:abstractNum>
  <w:abstractNum w:abstractNumId="91">
    <w:nsid w:val="65968C1C"/>
    <w:multiLevelType w:val="hybridMultilevel"/>
    <w:lvl w:ilvl="0">
      <w:lvlJc w:val="left"/>
      <w:lvlText w:val="(%1)"/>
      <w:numFmt w:val="lowerLetter"/>
      <w:start w:val="7"/>
    </w:lvl>
  </w:abstractNum>
  <w:abstractNum w:abstractNumId="92">
    <w:nsid w:val="46263DEC"/>
    <w:multiLevelType w:val="hybridMultilevel"/>
    <w:lvl w:ilvl="0">
      <w:lvlJc w:val="left"/>
      <w:lvlText w:val="(%1)"/>
      <w:numFmt w:val="lowerLetter"/>
      <w:start w:val="1"/>
    </w:lvl>
  </w:abstractNum>
  <w:abstractNum w:abstractNumId="93">
    <w:nsid w:val="260D8C4A"/>
    <w:multiLevelType w:val="hybridMultilevel"/>
    <w:lvl w:ilvl="0">
      <w:lvlJc w:val="left"/>
      <w:lvlText w:val="(%1)"/>
      <w:numFmt w:val="lowerLetter"/>
      <w:start w:val="1"/>
    </w:lvl>
  </w:abstractNum>
  <w:abstractNum w:abstractNumId="94">
    <w:nsid w:val="73D4D3C4"/>
    <w:multiLevelType w:val="hybridMultilevel"/>
    <w:lvl w:ilvl="0">
      <w:lvlJc w:val="left"/>
      <w:lvlText w:val="(%1)"/>
      <w:numFmt w:val="lowerLetter"/>
      <w:start w:val="8"/>
    </w:lvl>
  </w:abstractNum>
  <w:abstractNum w:abstractNumId="95">
    <w:nsid w:val="746F2E30"/>
    <w:multiLevelType w:val="hybridMultilevel"/>
    <w:lvl w:ilvl="0">
      <w:lvlJc w:val="left"/>
      <w:lvlText w:val="(%1)"/>
      <w:numFmt w:val="lowerLetter"/>
      <w:start w:val="35"/>
    </w:lvl>
    <w:lvl w:ilvl="1">
      <w:lvlJc w:val="left"/>
      <w:lvlText w:val="(%2)"/>
      <w:numFmt w:val="lowerLetter"/>
      <w:start w:val="10"/>
    </w:lvl>
  </w:abstractNum>
  <w:abstractNum w:abstractNumId="96">
    <w:nsid w:val="6FDE8AF6"/>
    <w:multiLevelType w:val="hybridMultilevel"/>
    <w:lvl w:ilvl="0">
      <w:lvlJc w:val="left"/>
      <w:lvlText w:val="(%1)"/>
      <w:numFmt w:val="lowerLetter"/>
      <w:start w:val="1"/>
    </w:lvl>
  </w:abstractNum>
  <w:abstractNum w:abstractNumId="97">
    <w:nsid w:val="3FC32E20"/>
    <w:multiLevelType w:val="hybridMultilevel"/>
    <w:lvl w:ilvl="0">
      <w:lvlJc w:val="left"/>
      <w:lvlText w:val="(%1)"/>
      <w:numFmt w:val="lowerLetter"/>
      <w:start w:val="3"/>
    </w:lvl>
  </w:abstractNum>
  <w:abstractNum w:abstractNumId="98">
    <w:nsid w:val="49C0E823"/>
    <w:multiLevelType w:val="hybridMultilevel"/>
    <w:lvl w:ilvl="0">
      <w:lvlJc w:val="left"/>
      <w:lvlText w:val="%1"/>
      <w:numFmt w:val="decimal"/>
      <w:start w:val="1"/>
    </w:lvl>
    <w:lvl w:ilvl="1">
      <w:lvlJc w:val="left"/>
      <w:lvlText w:val="(%2)"/>
      <w:numFmt w:val="lowerLetter"/>
      <w:start w:val="9"/>
    </w:lvl>
  </w:abstractNum>
  <w:abstractNum w:abstractNumId="99">
    <w:nsid w:val="14D53685"/>
    <w:multiLevelType w:val="hybridMultilevel"/>
    <w:lvl w:ilvl="0">
      <w:lvlJc w:val="left"/>
      <w:lvlText w:val="(%1)"/>
      <w:numFmt w:val="decimal"/>
      <w:start w:val="1"/>
    </w:lvl>
    <w:lvl w:ilvl="1">
      <w:lvlJc w:val="left"/>
      <w:lvlText w:val="%2"/>
      <w:numFmt w:val="lowerLetter"/>
      <w:start w:val="1"/>
    </w:lvl>
  </w:abstractNum>
  <w:abstractNum w:abstractNumId="100">
    <w:nsid w:val="230F856C"/>
    <w:multiLevelType w:val="hybridMultilevel"/>
    <w:lvl w:ilvl="0">
      <w:lvlJc w:val="left"/>
      <w:lvlText w:val="%1"/>
      <w:numFmt w:val="lowerLetter"/>
      <w:start w:val="1"/>
    </w:lvl>
    <w:lvl w:ilvl="1">
      <w:lvlJc w:val="left"/>
      <w:lvlText w:val="(%2)"/>
      <w:numFmt w:val="lowerLetter"/>
      <w:start w:val="1"/>
    </w:lvl>
  </w:abstractNum>
  <w:abstractNum w:abstractNumId="101">
    <w:nsid w:val="6EAA85FB"/>
    <w:multiLevelType w:val="hybridMultilevel"/>
    <w:lvl w:ilvl="0">
      <w:lvlJc w:val="left"/>
      <w:lvlText w:val="(%1)"/>
      <w:numFmt w:val="lowerLetter"/>
      <w:start w:val="61"/>
    </w:lvl>
    <w:lvl w:ilvl="1">
      <w:lvlJc w:val="left"/>
      <w:lvlText w:val="(%2)"/>
      <w:numFmt w:val="lowerLetter"/>
      <w:start w:val="2"/>
    </w:lvl>
  </w:abstractNum>
  <w:abstractNum w:abstractNumId="102">
    <w:nsid w:val="3F06ECB2"/>
    <w:multiLevelType w:val="hybridMultilevel"/>
    <w:lvl w:ilvl="0">
      <w:lvlJc w:val="left"/>
      <w:lvlText w:val="(%1)"/>
      <w:numFmt w:val="lowerLetter"/>
      <w:start w:val="1"/>
    </w:lvl>
    <w:lvl w:ilvl="1">
      <w:lvlJc w:val="left"/>
      <w:lvlText w:val="(%2)"/>
      <w:numFmt w:val="lowerRoman"/>
      <w:start w:val="1"/>
    </w:lvl>
  </w:abstractNum>
  <w:abstractNum w:abstractNumId="103">
    <w:nsid w:val="3B594807"/>
    <w:multiLevelType w:val="hybridMultilevel"/>
    <w:lvl w:ilvl="0">
      <w:lvlJc w:val="left"/>
      <w:lvlText w:val="%1"/>
      <w:numFmt w:val="upperLetter"/>
      <w:start w:val="1"/>
    </w:lvl>
    <w:lvl w:ilvl="1">
      <w:lvlJc w:val="left"/>
      <w:lvlText w:val="(%2)"/>
      <w:numFmt w:val="lowerRoman"/>
      <w:start w:val="5"/>
    </w:lvl>
  </w:abstractNum>
  <w:abstractNum w:abstractNumId="104">
    <w:nsid w:val="6CAA2304"/>
    <w:multiLevelType w:val="hybridMultilevel"/>
    <w:lvl w:ilvl="0">
      <w:lvlJc w:val="left"/>
      <w:lvlText w:val="(%1)"/>
      <w:numFmt w:val="upperLetter"/>
      <w:start w:val="2"/>
    </w:lvl>
    <w:lvl w:ilvl="1">
      <w:lvlJc w:val="left"/>
      <w:lvlText w:val="%2"/>
      <w:numFmt w:val="lowerRoman"/>
      <w:start w:val="1"/>
    </w:lvl>
  </w:abstractNum>
  <w:abstractNum w:abstractNumId="105">
    <w:nsid w:val="3F7C2FF4"/>
    <w:multiLevelType w:val="hybridMultilevel"/>
    <w:lvl w:ilvl="0">
      <w:lvlJc w:val="left"/>
      <w:lvlText w:val="(%1)"/>
      <w:numFmt w:val="upperLetter"/>
      <w:start w:val="4"/>
    </w:lvl>
    <w:lvl w:ilvl="1">
      <w:lvlJc w:val="left"/>
      <w:lvlText w:val="(%2)"/>
      <w:numFmt w:val="lowerRoman"/>
      <w:start w:val="7"/>
    </w:lvl>
  </w:abstractNum>
  <w:abstractNum w:abstractNumId="106">
    <w:nsid w:val="25413BEC"/>
    <w:multiLevelType w:val="hybridMultilevel"/>
    <w:lvl w:ilvl="0">
      <w:lvlJc w:val="left"/>
      <w:lvlText w:val="(%1)"/>
      <w:numFmt w:val="upperLetter"/>
      <w:start w:val="3"/>
    </w:lvl>
    <w:lvl w:ilvl="1">
      <w:lvlJc w:val="left"/>
      <w:lvlText w:val="(%2)"/>
      <w:numFmt w:val="lowerRoman"/>
      <w:start w:val="10"/>
    </w:lvl>
  </w:abstractNum>
  <w:abstractNum w:abstractNumId="107">
    <w:nsid w:val="17180B0B"/>
    <w:multiLevelType w:val="hybridMultilevel"/>
    <w:lvl w:ilvl="0">
      <w:lvlJc w:val="left"/>
      <w:lvlText w:val="(%1)"/>
      <w:numFmt w:val="lowerRoman"/>
      <w:start w:val="14"/>
    </w:lvl>
  </w:abstractNum>
  <w:abstractNum w:abstractNumId="108">
    <w:nsid w:val="579328B9"/>
    <w:multiLevelType w:val="hybridMultilevel"/>
    <w:lvl w:ilvl="0">
      <w:lvlJc w:val="left"/>
      <w:lvlText w:val="(%1)"/>
      <w:numFmt w:val="lowerLetter"/>
      <w:start w:val="3"/>
    </w:lvl>
  </w:abstractNum>
  <w:abstractNum w:abstractNumId="109">
    <w:nsid w:val="5D205E20"/>
    <w:multiLevelType w:val="hybridMultilevel"/>
    <w:lvl w:ilvl="0">
      <w:lvlJc w:val="left"/>
      <w:lvlText w:val="(%1)"/>
      <w:numFmt w:val="lowerLetter"/>
      <w:start w:val="1"/>
    </w:lvl>
    <w:lvl w:ilvl="1">
      <w:lvlJc w:val="left"/>
      <w:lvlText w:val="(%2)"/>
      <w:numFmt w:val="lowerRoman"/>
      <w:start w:val="1"/>
    </w:lvl>
  </w:abstractNum>
  <w:abstractNum w:abstractNumId="110">
    <w:nsid w:val="11CCA8BA"/>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111">
    <w:nsid w:val="4D32AB86"/>
    <w:multiLevelType w:val="hybridMultilevel"/>
    <w:lvl w:ilvl="0">
      <w:lvlJc w:val="left"/>
      <w:lvlText w:val="(%1)"/>
      <w:numFmt w:val="upperLetter"/>
      <w:start w:val="5"/>
    </w:lvl>
    <w:lvl w:ilvl="1">
      <w:lvlJc w:val="left"/>
      <w:lvlText w:val="(%2)"/>
      <w:numFmt w:val="lowerRoman"/>
      <w:start w:val="10"/>
    </w:lvl>
    <w:lvl w:ilvl="2">
      <w:lvlJc w:val="left"/>
      <w:lvlText w:val="(%3)"/>
      <w:numFmt w:val="lowerRoman"/>
      <w:start w:val="7"/>
    </w:lvl>
  </w:abstractNum>
  <w:abstractNum w:abstractNumId="112">
    <w:nsid w:val="3F07ACC3"/>
    <w:multiLevelType w:val="hybridMultilevel"/>
    <w:lvl w:ilvl="0">
      <w:lvlJc w:val="left"/>
      <w:lvlText w:val="(%1)"/>
      <w:numFmt w:val="lowerRoman"/>
      <w:start w:val="12"/>
    </w:lvl>
  </w:abstractNum>
  <w:abstractNum w:abstractNumId="113">
    <w:nsid w:val="6B47F63E"/>
    <w:multiLevelType w:val="hybridMultilevel"/>
    <w:lvl w:ilvl="0">
      <w:lvlJc w:val="left"/>
      <w:lvlText w:val="(%1)"/>
      <w:numFmt w:val="lowerLetter"/>
      <w:start w:val="1"/>
    </w:lvl>
  </w:abstractNum>
  <w:abstractNum w:abstractNumId="114">
    <w:nsid w:val="5CB44A05"/>
    <w:multiLevelType w:val="hybridMultilevel"/>
    <w:lvl w:ilvl="0">
      <w:lvlJc w:val="left"/>
      <w:lvlText w:val="(%1)"/>
      <w:numFmt w:val="lowerLetter"/>
      <w:start w:val="4"/>
    </w:lvl>
    <w:lvl w:ilvl="1">
      <w:lvlJc w:val="left"/>
      <w:lvlText w:val="(%2)"/>
      <w:numFmt w:val="lowerLetter"/>
      <w:start w:val="2"/>
    </w:lvl>
  </w:abstractNum>
  <w:abstractNum w:abstractNumId="115">
    <w:nsid w:val="16CF80F1"/>
    <w:multiLevelType w:val="hybridMultilevel"/>
    <w:lvl w:ilvl="0">
      <w:lvlJc w:val="left"/>
      <w:lvlText w:val="%1"/>
      <w:numFmt w:val="upperLetter"/>
      <w:start w:val="1"/>
    </w:lvl>
    <w:lvl w:ilvl="1">
      <w:lvlJc w:val="left"/>
      <w:lvlText w:val="(%2)"/>
      <w:numFmt w:val="lowerLetter"/>
      <w:start w:val="1"/>
    </w:lvl>
  </w:abstractNum>
  <w:abstractNum w:abstractNumId="116">
    <w:nsid w:val="1C695DEC"/>
    <w:multiLevelType w:val="hybridMultilevel"/>
    <w:lvl w:ilvl="0">
      <w:lvlJc w:val="left"/>
      <w:lvlText w:val="(%1)"/>
      <w:numFmt w:val="upperLetter"/>
      <w:start w:val="4"/>
    </w:lvl>
    <w:lvl w:ilvl="1">
      <w:lvlJc w:val="left"/>
      <w:lvlText w:val="%2"/>
      <w:numFmt w:val="lowerLetter"/>
      <w:start w:val="1"/>
    </w:lvl>
  </w:abstractNum>
  <w:abstractNum w:abstractNumId="117">
    <w:nsid w:val="3FCFAED9"/>
    <w:multiLevelType w:val="hybridMultilevel"/>
    <w:lvl w:ilvl="0">
      <w:lvlJc w:val="left"/>
      <w:lvlText w:val="(%1)"/>
      <w:numFmt w:val="lowerLetter"/>
      <w:start w:val="1"/>
    </w:lvl>
    <w:lvl w:ilvl="1">
      <w:lvlJc w:val="left"/>
      <w:lvlText w:val="(%2)"/>
      <w:numFmt w:val="lowerLetter"/>
      <w:start w:val="2"/>
    </w:lvl>
  </w:abstractNum>
  <w:abstractNum w:abstractNumId="118">
    <w:nsid w:val="F856867"/>
    <w:multiLevelType w:val="hybridMultilevel"/>
    <w:lvl w:ilvl="0">
      <w:lvlJc w:val="left"/>
      <w:lvlText w:val="(%1)"/>
      <w:numFmt w:val="lowerLetter"/>
      <w:start w:val="1"/>
    </w:lvl>
  </w:abstractNum>
  <w:abstractNum w:abstractNumId="119">
    <w:nsid w:val="11B1CC33"/>
    <w:multiLevelType w:val="hybridMultilevel"/>
    <w:lvl w:ilvl="0">
      <w:lvlJc w:val="left"/>
      <w:lvlText w:val="(%1)"/>
      <w:numFmt w:val="lowerLetter"/>
      <w:start w:val="4"/>
    </w:lvl>
  </w:abstractNum>
  <w:abstractNum w:abstractNumId="120">
    <w:nsid w:val="2E22FBB7"/>
    <w:multiLevelType w:val="hybridMultilevel"/>
    <w:lvl w:ilvl="0">
      <w:lvlJc w:val="left"/>
      <w:lvlText w:val="%1"/>
      <w:numFmt w:val="decimal"/>
      <w:start w:val="1"/>
    </w:lvl>
    <w:lvl w:ilvl="1">
      <w:lvlJc w:val="left"/>
      <w:lvlText w:val="(%2)"/>
      <w:numFmt w:val="lowerLetter"/>
      <w:start w:val="1"/>
    </w:lvl>
  </w:abstractNum>
  <w:abstractNum w:abstractNumId="121">
    <w:nsid w:val="29934699"/>
    <w:multiLevelType w:val="hybridMultilevel"/>
    <w:lvl w:ilvl="0">
      <w:lvlJc w:val="left"/>
      <w:lvlText w:val="(%1)"/>
      <w:numFmt w:val="decimal"/>
      <w:start w:val="4"/>
    </w:lvl>
    <w:lvl w:ilvl="1">
      <w:lvlJc w:val="left"/>
      <w:lvlText w:val="%2"/>
      <w:numFmt w:val="lowerLetter"/>
      <w:start w:val="1"/>
    </w:lvl>
  </w:abstractNum>
  <w:abstractNum w:abstractNumId="122">
    <w:nsid w:val="77485850"/>
    <w:multiLevelType w:val="hybridMultilevel"/>
    <w:lvl w:ilvl="0">
      <w:lvlJc w:val="left"/>
      <w:lvlText w:val="(%1)"/>
      <w:numFmt w:val="lowerLetter"/>
      <w:start w:val="2"/>
    </w:lvl>
  </w:abstractNum>
  <w:abstractNum w:abstractNumId="123">
    <w:nsid w:val="744939A3"/>
    <w:multiLevelType w:val="hybridMultilevel"/>
    <w:lvl w:ilvl="0">
      <w:lvlJc w:val="left"/>
      <w:lvlText w:val="(%1)"/>
      <w:numFmt w:val="lowerLetter"/>
      <w:start w:val="5"/>
    </w:lvl>
  </w:abstractNum>
  <w:abstractNum w:abstractNumId="124">
    <w:nsid w:val="4FA0D2E3"/>
    <w:multiLevelType w:val="hybridMultilevel"/>
    <w:lvl w:ilvl="0">
      <w:lvlJc w:val="left"/>
      <w:lvlText w:val="(%1)"/>
      <w:numFmt w:val="lowerLetter"/>
      <w:start w:val="1"/>
    </w:lvl>
  </w:abstractNum>
  <w:abstractNum w:abstractNumId="125">
    <w:nsid w:val="6B1D2C14"/>
    <w:multiLevelType w:val="hybridMultilevel"/>
    <w:lvl w:ilvl="0">
      <w:lvlJc w:val="left"/>
      <w:lvlText w:val="(%1)"/>
      <w:numFmt w:val="lowerLetter"/>
      <w:start w:val="3"/>
    </w:lvl>
  </w:abstractNum>
  <w:abstractNum w:abstractNumId="126">
    <w:nsid w:val="68B867D3"/>
    <w:multiLevelType w:val="hybridMultilevel"/>
    <w:lvl w:ilvl="0">
      <w:lvlJc w:val="left"/>
      <w:lvlText w:val="(%1)"/>
      <w:numFmt w:val="lowerLetter"/>
      <w:start w:val="1"/>
    </w:lvl>
  </w:abstractNum>
  <w:abstractNum w:abstractNumId="127">
    <w:nsid w:val="3F7F5DD9"/>
    <w:multiLevelType w:val="hybridMultilevel"/>
    <w:lvl w:ilvl="0">
      <w:lvlJc w:val="left"/>
      <w:lvlText w:val="(%1)"/>
      <w:numFmt w:val="lowerLetter"/>
      <w:start w:val="1"/>
    </w:lvl>
  </w:abstractNum>
  <w:abstractNum w:abstractNumId="128">
    <w:nsid w:val="2AE05A34"/>
    <w:multiLevelType w:val="hybridMultilevel"/>
    <w:lvl w:ilvl="0">
      <w:lvlJc w:val="left"/>
      <w:lvlText w:val="(%1)"/>
      <w:numFmt w:val="lowerLetter"/>
      <w:start w:val="2"/>
    </w:lvl>
  </w:abstractNum>
  <w:abstractNum w:abstractNumId="129">
    <w:nsid w:val="32794FF7"/>
    <w:multiLevelType w:val="hybridMultilevel"/>
    <w:lvl w:ilvl="0">
      <w:lvlJc w:val="left"/>
      <w:lvlText w:val="(%1)"/>
      <w:numFmt w:val="lowerLetter"/>
      <w:start w:val="1"/>
    </w:lvl>
  </w:abstractNum>
  <w:abstractNum w:abstractNumId="130">
    <w:nsid w:val="5454945E"/>
    <w:multiLevelType w:val="hybridMultilevel"/>
    <w:lvl w:ilvl="0">
      <w:lvlJc w:val="left"/>
      <w:lvlText w:val="(%1)"/>
      <w:numFmt w:val="lowerLetter"/>
      <w:start w:val="3"/>
    </w:lvl>
  </w:abstractNum>
  <w:abstractNum w:abstractNumId="131">
    <w:nsid w:val="4DEFDFA0"/>
    <w:multiLevelType w:val="hybridMultilevel"/>
    <w:lvl w:ilvl="0">
      <w:lvlJc w:val="left"/>
      <w:lvlText w:val="(%1)"/>
      <w:numFmt w:val="lowerLetter"/>
      <w:start w:val="1"/>
    </w:lvl>
  </w:abstractNum>
  <w:abstractNum w:abstractNumId="132">
    <w:nsid w:val="2123D5F2"/>
    <w:multiLevelType w:val="hybridMultilevel"/>
    <w:lvl w:ilvl="0">
      <w:lvlJc w:val="left"/>
      <w:lvlText w:val="(%1)"/>
      <w:numFmt w:val="lowerLetter"/>
      <w:start w:val="1"/>
    </w:lvl>
  </w:abstractNum>
  <w:abstractNum w:abstractNumId="133">
    <w:nsid w:val="135B8110"/>
    <w:multiLevelType w:val="hybridMultilevel"/>
    <w:lvl w:ilvl="0">
      <w:lvlJc w:val="left"/>
      <w:lvlText w:val="(%1)"/>
      <w:numFmt w:val="lowerLetter"/>
      <w:start w:val="4"/>
    </w:lvl>
  </w:abstractNum>
  <w:abstractNum w:abstractNumId="134">
    <w:nsid w:val="94927A8"/>
    <w:multiLevelType w:val="hybridMultilevel"/>
    <w:lvl w:ilvl="0">
      <w:lvlJc w:val="left"/>
      <w:lvlText w:val="(%1)"/>
      <w:numFmt w:val="lowerLetter"/>
      <w:start w:val="2"/>
    </w:lvl>
  </w:abstractNum>
  <w:abstractNum w:abstractNumId="135">
    <w:nsid w:val="DCDF8F6"/>
    <w:multiLevelType w:val="hybridMultilevel"/>
    <w:lvl w:ilvl="0">
      <w:lvlJc w:val="left"/>
      <w:lvlText w:val="(%1)"/>
      <w:numFmt w:val="lowerLetter"/>
      <w:start w:val="1"/>
    </w:lvl>
  </w:abstractNum>
  <w:abstractNum w:abstractNumId="136">
    <w:nsid w:val="52D7B105"/>
    <w:multiLevelType w:val="hybridMultilevel"/>
    <w:lvl w:ilvl="0">
      <w:lvlJc w:val="left"/>
      <w:lvlText w:val="(%1)"/>
      <w:numFmt w:val="lowerLetter"/>
      <w:start w:val="4"/>
    </w:lvl>
  </w:abstractNum>
  <w:abstractNum w:abstractNumId="137">
    <w:nsid w:val="2E8A6394"/>
    <w:multiLevelType w:val="hybridMultilevel"/>
    <w:lvl w:ilvl="0">
      <w:lvlJc w:val="left"/>
      <w:lvlText w:val="(%1)"/>
      <w:numFmt w:val="lowerLetter"/>
      <w:start w:val="1"/>
    </w:lvl>
  </w:abstractNum>
  <w:abstractNum w:abstractNumId="138">
    <w:nsid w:val="24E60401"/>
    <w:multiLevelType w:val="hybridMultilevel"/>
    <w:lvl w:ilvl="0">
      <w:lvlJc w:val="left"/>
      <w:lvlText w:val="(%1)"/>
      <w:numFmt w:val="lowerLetter"/>
      <w:start w:val="2"/>
    </w:lvl>
  </w:abstractNum>
  <w:abstractNum w:abstractNumId="139">
    <w:nsid w:val="2A6AD9BE"/>
    <w:multiLevelType w:val="hybridMultilevel"/>
    <w:lvl w:ilvl="0">
      <w:lvlJc w:val="left"/>
      <w:lvlText w:val="(%1)"/>
      <w:numFmt w:val="lowerLetter"/>
      <w:start w:val="1"/>
    </w:lvl>
  </w:abstractNum>
  <w:abstractNum w:abstractNumId="140">
    <w:nsid w:val="BAAC1B4"/>
    <w:multiLevelType w:val="hybridMultilevel"/>
    <w:lvl w:ilvl="0">
      <w:lvlJc w:val="left"/>
      <w:lvlText w:val="(%1)"/>
      <w:numFmt w:val="lowerLetter"/>
      <w:start w:val="2"/>
    </w:lvl>
  </w:abstractNum>
  <w:abstractNum w:abstractNumId="141">
    <w:nsid w:val="36B2ACBC"/>
    <w:multiLevelType w:val="hybridMultilevel"/>
    <w:lvl w:ilvl="0">
      <w:lvlJc w:val="left"/>
      <w:lvlText w:val="(%1)"/>
      <w:numFmt w:val="lowerLetter"/>
      <w:start w:val="1"/>
    </w:lvl>
  </w:abstractNum>
  <w:abstractNum w:abstractNumId="142">
    <w:nsid w:val="779D8544"/>
    <w:multiLevelType w:val="hybridMultilevel"/>
    <w:lvl w:ilvl="0">
      <w:lvlJc w:val="left"/>
      <w:lvlText w:val="(%1)"/>
      <w:numFmt w:val="lowerLetter"/>
      <w:start w:val="2"/>
    </w:lvl>
  </w:abstractNum>
  <w:abstractNum w:abstractNumId="143">
    <w:nsid w:val="4AB26E78"/>
    <w:multiLevelType w:val="hybridMultilevel"/>
    <w:lvl w:ilvl="0">
      <w:lvlJc w:val="left"/>
      <w:lvlText w:val="(%1)"/>
      <w:numFmt w:val="lowerLetter"/>
      <w:start w:val="35"/>
    </w:lvl>
    <w:lvl w:ilvl="1">
      <w:lvlJc w:val="left"/>
      <w:lvlText w:val="(%2)"/>
      <w:numFmt w:val="lowerLetter"/>
      <w:start w:val="9"/>
    </w:lvl>
  </w:abstractNum>
  <w:abstractNum w:abstractNumId="144">
    <w:nsid w:val="21FAA2FA"/>
    <w:multiLevelType w:val="hybridMultilevel"/>
    <w:lvl w:ilvl="0">
      <w:lvlJc w:val="left"/>
      <w:lvlText w:val="%1"/>
      <w:numFmt w:val="lowerLetter"/>
      <w:start w:val="1"/>
    </w:lvl>
    <w:lvl w:ilvl="1">
      <w:lvlJc w:val="left"/>
      <w:lvlText w:val="(%2)"/>
      <w:numFmt w:val="lowerLetter"/>
      <w:start w:val="1"/>
    </w:lvl>
  </w:abstractNum>
  <w:abstractNum w:abstractNumId="145">
    <w:nsid w:val="5451CF49"/>
    <w:multiLevelType w:val="hybridMultilevel"/>
    <w:lvl w:ilvl="0">
      <w:lvlJc w:val="left"/>
      <w:lvlText w:val="(%1)"/>
      <w:numFmt w:val="lowerLetter"/>
      <w:start w:val="35"/>
    </w:lvl>
    <w:lvl w:ilvl="1">
      <w:lvlJc w:val="left"/>
      <w:lvlText w:val="%2"/>
      <w:numFmt w:val="lowerLetter"/>
      <w:start w:val="1"/>
    </w:lvl>
  </w:abstractNum>
  <w:abstractNum w:abstractNumId="146">
    <w:nsid w:val="6181EF69"/>
    <w:multiLevelType w:val="hybridMultilevel"/>
    <w:lvl w:ilvl="0">
      <w:lvlJc w:val="left"/>
      <w:lvlText w:val="(%1)"/>
      <w:numFmt w:val="lowerLetter"/>
      <w:start w:val="3"/>
    </w:lvl>
  </w:abstractNum>
  <w:abstractNum w:abstractNumId="147">
    <w:nsid w:val="3E6400E6"/>
    <w:multiLevelType w:val="hybridMultilevel"/>
    <w:lvl w:ilvl="0">
      <w:lvlJc w:val="left"/>
      <w:lvlText w:val="(%1)"/>
      <w:numFmt w:val="lowerLetter"/>
      <w:start w:val="8"/>
    </w:lvl>
  </w:abstractNum>
  <w:abstractNum w:abstractNumId="148">
    <w:nsid w:val="14217E23"/>
    <w:multiLevelType w:val="hybridMultilevel"/>
    <w:lvl w:ilvl="0">
      <w:lvlJc w:val="left"/>
      <w:lvlText w:val="(%1)"/>
      <w:numFmt w:val="lowerLetter"/>
      <w:start w:val="1"/>
    </w:lvl>
  </w:abstractNum>
  <w:abstractNum w:abstractNumId="149">
    <w:nsid w:val="710757D0"/>
    <w:multiLevelType w:val="hybridMultilevel"/>
    <w:lvl w:ilvl="0">
      <w:lvlJc w:val="left"/>
      <w:lvlText w:val="(%1)"/>
      <w:numFmt w:val="lowerLetter"/>
      <w:start w:val="2"/>
    </w:lvl>
  </w:abstractNum>
  <w:abstractNum w:abstractNumId="150">
    <w:nsid w:val="5015CD1A"/>
    <w:multiLevelType w:val="hybridMultilevel"/>
    <w:lvl w:ilvl="0">
      <w:lvlJc w:val="left"/>
      <w:lvlText w:val="%1."/>
      <w:numFmt w:val="decimal"/>
      <w:start w:val="1"/>
    </w:lvl>
    <w:lvl w:ilvl="1">
      <w:lvlJc w:val="left"/>
      <w:lvlText w:val="(%2)"/>
      <w:numFmt w:val="lowerLetter"/>
      <w:start w:val="1"/>
    </w:lvl>
  </w:abstractNum>
  <w:abstractNum w:abstractNumId="151">
    <w:nsid w:val="424479DA"/>
    <w:multiLevelType w:val="hybridMultilevel"/>
    <w:lvl w:ilvl="0">
      <w:lvlJc w:val="left"/>
      <w:lvlText w:val="%1."/>
      <w:numFmt w:val="decimal"/>
      <w:start w:val="2"/>
    </w:lvl>
    <w:lvl w:ilvl="1">
      <w:lvlJc w:val="left"/>
      <w:lvlText w:val="(%2)"/>
      <w:numFmt w:val="lowerLetter"/>
      <w:start w:val="1"/>
    </w:lvl>
  </w:abstractNum>
  <w:abstractNum w:abstractNumId="152">
    <w:nsid w:val="1A9A9E69"/>
    <w:multiLevelType w:val="hybridMultilevel"/>
    <w:lvl w:ilvl="0">
      <w:lvlJc w:val="left"/>
      <w:lvlText w:val="%1."/>
      <w:numFmt w:val="decimal"/>
      <w:start w:val="3"/>
    </w:lvl>
    <w:lvl w:ilvl="1">
      <w:lvlJc w:val="left"/>
      <w:lvlText w:val="(%2)"/>
      <w:numFmt w:val="lowerLetter"/>
      <w:start w:val="1"/>
    </w:lvl>
  </w:abstractNum>
  <w:abstractNum w:abstractNumId="153">
    <w:nsid w:val="475E256A"/>
    <w:multiLevelType w:val="hybridMultilevel"/>
    <w:lvl w:ilvl="0">
      <w:lvlJc w:val="left"/>
      <w:lvlText w:val="%1."/>
      <w:numFmt w:val="decimal"/>
      <w:start w:val="5"/>
    </w:lvl>
  </w:abstractNum>
  <w:abstractNum w:abstractNumId="154">
    <w:nsid w:val="368DB37E"/>
    <w:multiLevelType w:val="hybridMultilevel"/>
    <w:lvl w:ilvl="0">
      <w:lvlJc w:val="left"/>
      <w:lvlText w:val="%1."/>
      <w:numFmt w:val="decimal"/>
      <w:start w:val="9"/>
    </w:lvl>
    <w:lvl w:ilvl="1">
      <w:lvlJc w:val="left"/>
      <w:lvlText w:val="(%2)"/>
      <w:numFmt w:val="lowerLetter"/>
      <w:start w:val="1"/>
    </w:lvl>
  </w:abstractNum>
  <w:abstractNum w:abstractNumId="155">
    <w:nsid w:val="6A3B714C"/>
    <w:multiLevelType w:val="hybridMultilevel"/>
    <w:lvl w:ilvl="0">
      <w:lvlJc w:val="left"/>
      <w:lvlText w:val="%1"/>
      <w:numFmt w:val="decimal"/>
      <w:start w:val="1"/>
    </w:lvl>
    <w:lvl w:ilvl="1">
      <w:lvlJc w:val="left"/>
      <w:lvlText w:val="(%2)"/>
      <w:numFmt w:val="lowerLetter"/>
      <w:start w:val="5"/>
    </w:lvl>
  </w:abstractNum>
  <w:abstractNum w:abstractNumId="156">
    <w:nsid w:val="327B517E"/>
    <w:multiLevelType w:val="hybridMultilevel"/>
    <w:lvl w:ilvl="0">
      <w:lvlJc w:val="left"/>
      <w:lvlText w:val="%1."/>
      <w:numFmt w:val="decimal"/>
      <w:start w:val="10"/>
    </w:lvl>
    <w:lvl w:ilvl="1">
      <w:lvlJc w:val="left"/>
      <w:lvlText w:val="%2"/>
      <w:numFmt w:val="lowerLetter"/>
      <w:start w:val="1"/>
    </w:lvl>
  </w:abstractNum>
  <w:abstractNum w:abstractNumId="157">
    <w:nsid w:val="1F461B51"/>
    <w:multiLevelType w:val="hybridMultilevel"/>
    <w:lvl w:ilvl="0">
      <w:lvlJc w:val="left"/>
      <w:lvlText w:val="%1."/>
      <w:numFmt w:val="decimal"/>
      <w:start w:val="11"/>
    </w:lvl>
    <w:lvl w:ilvl="1">
      <w:lvlJc w:val="left"/>
      <w:lvlText w:val="(%2)"/>
      <w:numFmt w:val="lowerLetter"/>
      <w:start w:val="1"/>
    </w:lvl>
  </w:abstractNum>
  <w:abstractNum w:abstractNumId="158">
    <w:nsid w:val="29BACF25"/>
    <w:multiLevelType w:val="hybridMultilevel"/>
    <w:lvl w:ilvl="0">
      <w:lvlJc w:val="left"/>
      <w:lvlText w:val="(%1)"/>
      <w:numFmt w:val="lowerLetter"/>
      <w:start w:val="4"/>
    </w:lvl>
  </w:abstractNum>
  <w:abstractNum w:abstractNumId="159">
    <w:nsid w:val="5D5BABB3"/>
    <w:multiLevelType w:val="hybridMultilevel"/>
    <w:lvl w:ilvl="0">
      <w:lvlJc w:val="left"/>
      <w:lvlText w:val="%1"/>
      <w:numFmt w:val="lowerLetter"/>
      <w:start w:val="1"/>
    </w:lvl>
    <w:lvl w:ilvl="1">
      <w:lvlJc w:val="left"/>
      <w:lvlText w:val="(%2)"/>
      <w:numFmt w:val="lowerLetter"/>
      <w:start w:val="8"/>
    </w:lvl>
  </w:abstractNum>
  <w:abstractNum w:abstractNumId="160">
    <w:nsid w:val="51BF6B48"/>
    <w:multiLevelType w:val="hybridMultilevel"/>
    <w:lvl w:ilvl="0">
      <w:lvlJc w:val="left"/>
      <w:lvlText w:val="(%1)"/>
      <w:numFmt w:val="lowerLetter"/>
      <w:start w:val="12"/>
    </w:lvl>
    <w:lvl w:ilvl="1">
      <w:lvlJc w:val="left"/>
      <w:lvlText w:val="%2"/>
      <w:numFmt w:val="lowerLetter"/>
      <w:start w:val="1"/>
    </w:lvl>
  </w:abstractNum>
  <w:abstractNum w:abstractNumId="161">
    <w:nsid w:val="7E0F6384"/>
    <w:multiLevelType w:val="hybridMultilevel"/>
    <w:lvl w:ilvl="0">
      <w:lvlJc w:val="left"/>
      <w:lvlText w:val="%1."/>
      <w:numFmt w:val="decimal"/>
      <w:start w:val="1"/>
    </w:lvl>
  </w:abstractNum>
  <w:abstractNum w:abstractNumId="162">
    <w:nsid w:val="2B4B8B5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3">
    <w:nsid w:val="72E3413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64">
    <w:nsid w:val="116AE494"/>
    <w:multiLevelType w:val="hybridMultilevel"/>
    <w:lvl w:ilvl="0">
      <w:lvlJc w:val="left"/>
      <w:lvlText w:val="%1"/>
      <w:numFmt w:val="decimal"/>
      <w:start w:val="1"/>
    </w:lvl>
    <w:lvl w:ilvl="1">
      <w:lvlJc w:val="left"/>
      <w:lvlText w:val="(%2)"/>
      <w:numFmt w:val="lowerLetter"/>
      <w:start w:val="4"/>
    </w:lvl>
  </w:abstractNum>
  <w:abstractNum w:abstractNumId="165">
    <w:nsid w:val="3494B2FB"/>
    <w:multiLevelType w:val="hybridMultilevel"/>
    <w:lvl w:ilvl="0">
      <w:lvlJc w:val="left"/>
      <w:lvlText w:val="%1."/>
      <w:numFmt w:val="decimal"/>
      <w:start w:val="2"/>
    </w:lvl>
    <w:lvl w:ilvl="1">
      <w:lvlJc w:val="left"/>
      <w:lvlText w:val="(%2)"/>
      <w:numFmt w:val="lowerLetter"/>
      <w:start w:val="1"/>
    </w:lvl>
  </w:abstractNum>
  <w:abstractNum w:abstractNumId="166">
    <w:nsid w:val="B13A31"/>
    <w:multiLevelType w:val="hybridMultilevel"/>
    <w:lvl w:ilvl="0">
      <w:lvlJc w:val="left"/>
      <w:lvlText w:val="%1."/>
      <w:numFmt w:val="decimal"/>
      <w:start w:val="3"/>
    </w:lvl>
    <w:lvl w:ilvl="1">
      <w:lvlJc w:val="left"/>
      <w:lvlText w:val="(%2)"/>
      <w:numFmt w:val="lowerLetter"/>
      <w:start w:val="1"/>
    </w:lvl>
  </w:abstractNum>
  <w:abstractNum w:abstractNumId="167">
    <w:nsid w:val="64429599"/>
    <w:multiLevelType w:val="hybridMultilevel"/>
    <w:lvl w:ilvl="0">
      <w:lvlJc w:val="left"/>
      <w:lvlText w:val="%1."/>
      <w:numFmt w:val="decimal"/>
      <w:start w:val="5"/>
    </w:lvl>
  </w:abstractNum>
  <w:abstractNum w:abstractNumId="168">
    <w:nsid w:val="631F1690"/>
    <w:multiLevelType w:val="hybridMultilevel"/>
    <w:lvl w:ilvl="0">
      <w:lvlJc w:val="left"/>
      <w:lvlText w:val="%1."/>
      <w:numFmt w:val="decimal"/>
      <w:start w:val="9"/>
    </w:lvl>
    <w:lvl w:ilvl="1">
      <w:lvlJc w:val="left"/>
      <w:lvlText w:val="(%2)"/>
      <w:numFmt w:val="lowerLetter"/>
      <w:start w:val="1"/>
    </w:lvl>
  </w:abstractNum>
  <w:abstractNum w:abstractNumId="169">
    <w:nsid w:val="25973E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170">
    <w:nsid w:val="EAD6F57"/>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71">
    <w:nsid w:val="6EC9D844"/>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172">
    <w:nsid w:val="5C49EAEE"/>
    <w:multiLevelType w:val="hybridMultilevel"/>
    <w:lvl w:ilvl="0">
      <w:lvlJc w:val="left"/>
      <w:lvlText w:val="(%1)"/>
      <w:numFmt w:val="lowerLetter"/>
      <w:start w:val="3"/>
    </w:lvl>
  </w:abstractNum>
  <w:abstractNum w:abstractNumId="173">
    <w:nsid w:val="64AF49B"/>
    <w:multiLevelType w:val="hybridMultilevel"/>
    <w:lvl w:ilvl="0">
      <w:lvlJc w:val="left"/>
      <w:lvlText w:val="(%1)"/>
      <w:numFmt w:val="lowerLetter"/>
      <w:start w:val="7"/>
    </w:lvl>
  </w:abstractNum>
  <w:abstractNum w:abstractNumId="174">
    <w:nsid w:val="397C46BC"/>
    <w:multiLevelType w:val="hybridMultilevel"/>
    <w:lvl w:ilvl="0">
      <w:lvlJc w:val="left"/>
      <w:lvlText w:val="(%1)"/>
      <w:numFmt w:val="lowerLetter"/>
      <w:start w:val="10"/>
    </w:lvl>
  </w:abstractNum>
  <w:abstractNum w:abstractNumId="175">
    <w:nsid w:val="7E448DE9"/>
    <w:multiLevelType w:val="hybridMultilevel"/>
    <w:lvl w:ilvl="0">
      <w:lvlJc w:val="left"/>
      <w:lvlText w:val="(%1)"/>
      <w:numFmt w:val="decimal"/>
      <w:start w:val="1"/>
    </w:lvl>
  </w:abstractNum>
  <w:abstractNum w:abstractNumId="176">
    <w:nsid w:val="5A9CC3E5"/>
    <w:multiLevelType w:val="hybridMultilevel"/>
    <w:lvl w:ilvl="0">
      <w:lvlJc w:val="left"/>
      <w:lvlText w:val="(%1)"/>
      <w:numFmt w:val="lowerLetter"/>
      <w:start w:val="1"/>
    </w:lvl>
    <w:lvl w:ilvl="1">
      <w:lvlJc w:val="left"/>
      <w:lvlText w:val="(%2)"/>
      <w:numFmt w:val="decimal"/>
      <w:start w:val="1"/>
    </w:lvl>
  </w:abstractNum>
  <w:abstractNum w:abstractNumId="177">
    <w:nsid w:val="1AFE3625"/>
    <w:multiLevelType w:val="hybridMultilevel"/>
    <w:lvl w:ilvl="0">
      <w:lvlJc w:val="left"/>
      <w:lvlText w:val="(%1)"/>
      <w:numFmt w:val="decimal"/>
      <w:start w:val="2"/>
    </w:lvl>
  </w:abstractNum>
  <w:abstractNum w:abstractNumId="178">
    <w:nsid w:val="3CA88ECF"/>
    <w:multiLevelType w:val="hybridMultilevel"/>
    <w:lvl w:ilvl="0">
      <w:lvlJc w:val="left"/>
      <w:lvlText w:val="(%1)"/>
      <w:numFmt w:val="lowerLetter"/>
      <w:start w:val="2"/>
    </w:lvl>
  </w:abstractNum>
  <w:abstractNum w:abstractNumId="179">
    <w:nsid w:val="6EBE4208"/>
    <w:multiLevelType w:val="hybridMultilevel"/>
    <w:lvl w:ilvl="0">
      <w:lvlJc w:val="left"/>
      <w:lvlText w:val="(%1)"/>
      <w:numFmt w:val="lowerLetter"/>
      <w:start w:val="9"/>
    </w:lvl>
  </w:abstractNum>
  <w:abstractNum w:abstractNumId="180">
    <w:nsid w:val="C058DF5"/>
    <w:multiLevelType w:val="hybridMultilevel"/>
    <w:lvl w:ilvl="0">
      <w:lvlJc w:val="left"/>
      <w:lvlText w:val="(%1)"/>
      <w:numFmt w:val="lowerRoman"/>
      <w:start w:val="5"/>
    </w:lvl>
  </w:abstractNum>
  <w:abstractNum w:abstractNumId="181">
    <w:nsid w:val="CBE5BE9"/>
    <w:multiLevelType w:val="hybridMultilevel"/>
    <w:lvl w:ilvl="0">
      <w:lvlJc w:val="left"/>
      <w:lvlText w:val="(%1)"/>
      <w:numFmt w:val="upperLetter"/>
      <w:start w:val="2"/>
    </w:lvl>
  </w:abstractNum>
  <w:abstractNum w:abstractNumId="182">
    <w:nsid w:val="3102BBE2"/>
    <w:multiLevelType w:val="hybridMultilevel"/>
    <w:lvl w:ilvl="0">
      <w:lvlJc w:val="left"/>
      <w:lvlText w:val="%1"/>
      <w:numFmt w:val="lowerLetter"/>
      <w:start w:val="1"/>
    </w:lvl>
    <w:lvl w:ilvl="1">
      <w:lvlJc w:val="left"/>
      <w:lvlText w:val="(%2)"/>
      <w:numFmt w:val="lowerLetter"/>
      <w:start w:val="1"/>
    </w:lvl>
  </w:abstractNum>
  <w:abstractNum w:abstractNumId="183">
    <w:nsid w:val="26A02C5E"/>
    <w:multiLevelType w:val="hybridMultilevel"/>
    <w:lvl w:ilvl="0">
      <w:lvlJc w:val="left"/>
      <w:lvlText w:val="(%1)"/>
      <w:numFmt w:val="lowerLetter"/>
      <w:start w:val="9"/>
    </w:lvl>
    <w:lvl w:ilvl="1">
      <w:lvlJc w:val="left"/>
      <w:lvlText w:val="(%2)"/>
      <w:numFmt w:val="lowerLetter"/>
      <w:start w:val="2"/>
    </w:lvl>
  </w:abstractNum>
  <w:abstractNum w:abstractNumId="184">
    <w:nsid w:val="541C8153"/>
    <w:multiLevelType w:val="hybridMultilevel"/>
    <w:lvl w:ilvl="0">
      <w:lvlJc w:val="left"/>
      <w:lvlText w:val="%1"/>
      <w:numFmt w:val="decimal"/>
      <w:start w:val="1"/>
    </w:lvl>
    <w:lvl w:ilvl="1">
      <w:lvlJc w:val="left"/>
      <w:lvlText w:val="(%2)"/>
      <w:numFmt w:val="lowerLetter"/>
      <w:start w:val="4"/>
    </w:lvl>
  </w:abstractNum>
  <w:abstractNum w:abstractNumId="185">
    <w:nsid w:val="67906F60"/>
    <w:multiLevelType w:val="hybridMultilevel"/>
    <w:lvl w:ilvl="0">
      <w:lvlJc w:val="left"/>
      <w:lvlText w:val="(%1)"/>
      <w:numFmt w:val="decimal"/>
      <w:start w:val="3"/>
    </w:lvl>
    <w:lvl w:ilvl="1">
      <w:lvlJc w:val="left"/>
      <w:lvlText w:val="(%2)"/>
      <w:numFmt w:val="lowerLetter"/>
      <w:start w:val="5"/>
    </w:lvl>
  </w:abstractNum>
  <w:abstractNum w:abstractNumId="186">
    <w:nsid w:val="10DB9DAA"/>
    <w:multiLevelType w:val="hybridMultilevel"/>
    <w:lvl w:ilvl="0">
      <w:lvlJc w:val="left"/>
      <w:lvlText w:val="(%1)"/>
      <w:numFmt w:val="lowerLetter"/>
      <w:start w:val="1"/>
    </w:lvl>
  </w:abstractNum>
  <w:abstractNum w:abstractNumId="187">
    <w:nsid w:val="697D2D2"/>
    <w:multiLevelType w:val="hybridMultilevel"/>
    <w:lvl w:ilvl="0">
      <w:lvlJc w:val="left"/>
      <w:lvlText w:val="(%1)"/>
      <w:numFmt w:val="lowerLetter"/>
      <w:start w:val="2"/>
    </w:lvl>
  </w:abstractNum>
  <w:abstractNum w:abstractNumId="188">
    <w:nsid w:val="6D68AB2"/>
    <w:multiLevelType w:val="hybridMultilevel"/>
    <w:lvl w:ilvl="0">
      <w:lvlJc w:val="left"/>
      <w:lvlText w:val="(%1)"/>
      <w:numFmt w:val="lowerLetter"/>
      <w:start w:val="1"/>
    </w:lvl>
  </w:abstractNum>
  <w:abstractNum w:abstractNumId="189">
    <w:nsid w:val="3A966CD0"/>
    <w:multiLevelType w:val="hybridMultilevel"/>
    <w:lvl w:ilvl="0">
      <w:lvlJc w:val="left"/>
      <w:lvlText w:val="(%1)"/>
      <w:numFmt w:val="lowerLetter"/>
      <w:start w:val="1"/>
    </w:lvl>
  </w:abstractNum>
  <w:abstractNum w:abstractNumId="190">
    <w:nsid w:val="63F37E85"/>
    <w:multiLevelType w:val="hybridMultilevel"/>
    <w:lvl w:ilvl="0">
      <w:lvlJc w:val="left"/>
      <w:lvlText w:val="(%1)"/>
      <w:numFmt w:val="lowerLetter"/>
      <w:start w:val="1"/>
    </w:lvl>
  </w:abstractNum>
  <w:abstractNum w:abstractNumId="191">
    <w:nsid w:val="5895F5FA"/>
    <w:multiLevelType w:val="hybridMultilevel"/>
    <w:lvl w:ilvl="0">
      <w:lvlJc w:val="left"/>
      <w:lvlText w:val="(%1)"/>
      <w:numFmt w:val="lowerLetter"/>
      <w:start w:val="2"/>
    </w:lvl>
  </w:abstractNum>
  <w:abstractNum w:abstractNumId="192">
    <w:nsid w:val="38A5D054"/>
    <w:multiLevelType w:val="hybridMultilevel"/>
    <w:lvl w:ilvl="0">
      <w:lvlJc w:val="left"/>
      <w:lvlText w:val="(%1)"/>
      <w:numFmt w:val="lowerLetter"/>
      <w:start w:val="1"/>
    </w:lvl>
  </w:abstractNum>
  <w:abstractNum w:abstractNumId="193">
    <w:nsid w:val="F3F09D8"/>
    <w:multiLevelType w:val="hybridMultilevel"/>
    <w:lvl w:ilvl="0">
      <w:lvlJc w:val="left"/>
      <w:lvlText w:val="(%1)"/>
      <w:numFmt w:val="lowerLetter"/>
      <w:start w:val="8"/>
    </w:lvl>
  </w:abstractNum>
  <w:abstractNum w:abstractNumId="194">
    <w:nsid w:val="4B793735"/>
    <w:multiLevelType w:val="hybridMultilevel"/>
    <w:lvl w:ilvl="0">
      <w:lvlJc w:val="left"/>
      <w:lvlText w:val="(%1)"/>
      <w:numFmt w:val="lowerLetter"/>
      <w:start w:val="16"/>
    </w:lvl>
  </w:abstractNum>
  <w:abstractNum w:abstractNumId="195">
    <w:nsid w:val="4A10B4E8"/>
    <w:multiLevelType w:val="hybridMultilevel"/>
    <w:lvl w:ilvl="0">
      <w:lvlJc w:val="left"/>
      <w:lvlText w:val="(%1)"/>
      <w:numFmt w:val="lowerLetter"/>
      <w:start w:val="1"/>
    </w:lvl>
  </w:abstractNum>
  <w:abstractNum w:abstractNumId="196">
    <w:nsid w:val="43D3BCD4"/>
    <w:multiLevelType w:val="hybridMultilevel"/>
    <w:lvl w:ilvl="0">
      <w:lvlJc w:val="left"/>
      <w:lvlText w:val="(%1)"/>
      <w:numFmt w:val="lowerLetter"/>
      <w:start w:val="5"/>
    </w:lvl>
  </w:abstractNum>
  <w:abstractNum w:abstractNumId="197">
    <w:nsid w:val="4C2A7166"/>
    <w:multiLevelType w:val="hybridMultilevel"/>
    <w:lvl w:ilvl="0">
      <w:lvlJc w:val="left"/>
      <w:lvlText w:val="(%1)"/>
      <w:numFmt w:val="lowerLetter"/>
      <w:start w:val="1"/>
    </w:lvl>
  </w:abstractNum>
  <w:abstractNum w:abstractNumId="198">
    <w:nsid w:val="2E534A82"/>
    <w:multiLevelType w:val="hybridMultilevel"/>
    <w:lvl w:ilvl="0">
      <w:lvlJc w:val="left"/>
      <w:lvlText w:val="(%1)"/>
      <w:numFmt w:val="lowerLetter"/>
      <w:start w:val="1"/>
    </w:lvl>
  </w:abstractNum>
  <w:abstractNum w:abstractNumId="199">
    <w:nsid w:val="26F2D364"/>
    <w:multiLevelType w:val="hybridMultilevel"/>
    <w:lvl w:ilvl="0">
      <w:lvlJc w:val="left"/>
      <w:lvlText w:val="(%1)"/>
      <w:numFmt w:val="lowerLetter"/>
      <w:start w:val="1"/>
    </w:lvl>
    <w:lvl w:ilvl="1">
      <w:lvlJc w:val="left"/>
      <w:lvlText w:val="(%2)"/>
      <w:numFmt w:val="lowerRoman"/>
      <w:start w:val="1"/>
    </w:lvl>
  </w:abstractNum>
  <w:abstractNum w:abstractNumId="200">
    <w:nsid w:val="71C1AF98"/>
    <w:multiLevelType w:val="hybridMultilevel"/>
    <w:lvl w:ilvl="0">
      <w:lvlJc w:val="left"/>
      <w:lvlText w:val="%1"/>
      <w:numFmt w:val="lowerLetter"/>
      <w:start w:val="1"/>
    </w:lvl>
    <w:lvl w:ilvl="1">
      <w:lvlJc w:val="left"/>
      <w:lvlText w:val="(%2)"/>
      <w:numFmt w:val="lowerRoman"/>
      <w:start w:val="8"/>
    </w:lvl>
  </w:abstractNum>
  <w:abstractNum w:abstractNumId="201">
    <w:nsid w:val="3D00B9D9"/>
    <w:multiLevelType w:val="hybridMultilevel"/>
    <w:lvl w:ilvl="0">
      <w:lvlJc w:val="left"/>
      <w:lvlText w:val="(%1)"/>
      <w:numFmt w:val="lowerLetter"/>
      <w:start w:val="2"/>
    </w:lvl>
    <w:lvl w:ilvl="1">
      <w:lvlJc w:val="left"/>
      <w:lvlText w:val="%2"/>
      <w:numFmt w:val="lowerRoman"/>
      <w:start w:val="1"/>
    </w:lvl>
  </w:abstractNum>
  <w:abstractNum w:abstractNumId="202">
    <w:nsid w:val="15BCABA8"/>
    <w:multiLevelType w:val="hybridMultilevel"/>
    <w:lvl w:ilvl="0">
      <w:lvlJc w:val="left"/>
      <w:lvlText w:val="(%1)"/>
      <w:numFmt w:val="lowerLetter"/>
      <w:start w:val="2"/>
    </w:lvl>
  </w:abstractNum>
  <w:abstractNum w:abstractNumId="203">
    <w:nsid w:val="4E0B9A87"/>
    <w:multiLevelType w:val="hybridMultilevel"/>
    <w:lvl w:ilvl="0">
      <w:lvlJc w:val="left"/>
      <w:lvlText w:val="(%1)"/>
      <w:numFmt w:val="lowerLetter"/>
      <w:start w:val="1"/>
    </w:lvl>
  </w:abstractNum>
  <w:abstractNum w:abstractNumId="204">
    <w:nsid w:val="434BAE75"/>
    <w:multiLevelType w:val="hybridMultilevel"/>
    <w:lvl w:ilvl="0">
      <w:lvlJc w:val="left"/>
      <w:lvlText w:val="(%1)"/>
      <w:numFmt w:val="lowerLetter"/>
      <w:start w:val="1"/>
    </w:lvl>
  </w:abstractNum>
  <w:abstractNum w:abstractNumId="205">
    <w:nsid w:val="4F38F265"/>
    <w:multiLevelType w:val="hybridMultilevel"/>
    <w:lvl w:ilvl="0">
      <w:lvlJc w:val="left"/>
      <w:lvlText w:val="•"/>
      <w:numFmt w:val="bullet"/>
      <w:start w:val="1"/>
    </w:lvl>
    <w:lvl w:ilvl="1">
      <w:lvlJc w:val="left"/>
      <w:lvlText w:val="•"/>
      <w:numFmt w:val="bullet"/>
      <w:start w:val="1"/>
    </w:lvl>
  </w:abstractNum>
  <w:abstractNum w:abstractNumId="206">
    <w:nsid w:val="4C502870"/>
    <w:multiLevelType w:val="hybridMultilevel"/>
    <w:lvl w:ilvl="0">
      <w:lvlJc w:val="left"/>
      <w:lvlText w:val="(%1)"/>
      <w:numFmt w:val="decimal"/>
      <w:start w:val="33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2024-01-30T08:12:53Z</dcterms:created>
  <dcterms:modified xsi:type="dcterms:W3CDTF">2024-01-30T08:12:53Z</dcterms:modified>
</cp:coreProperties>
</file>