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25,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right"/>
              <w:ind w:right="196"/>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20" w:type="dxa"/>
            <w:vAlign w:val="bottom"/>
          </w:tcPr>
          <w:p>
            <w:pPr>
              <w:jc w:val="center"/>
              <w:ind w:left="3516"/>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20" w:type="dxa"/>
            <w:vAlign w:val="bottom"/>
          </w:tcPr>
          <w:p>
            <w:pPr>
              <w:jc w:val="center"/>
              <w:ind w:left="3516"/>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One Kendall Square</w:t>
            </w:r>
          </w:p>
        </w:tc>
        <w:tc>
          <w:tcPr>
            <w:tcW w:w="5020" w:type="dxa"/>
            <w:vAlign w:val="bottom"/>
          </w:tcPr>
          <w:p>
            <w:pPr>
              <w:spacing w:after="0"/>
              <w:rPr>
                <w:sz w:val="24"/>
                <w:szCs w:val="24"/>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Building 300, Suite 201</w:t>
            </w:r>
          </w:p>
        </w:tc>
        <w:tc>
          <w:tcPr>
            <w:tcW w:w="5020" w:type="dxa"/>
            <w:vAlign w:val="bottom"/>
          </w:tcPr>
          <w:p>
            <w:pPr>
              <w:spacing w:after="0"/>
              <w:rPr>
                <w:sz w:val="18"/>
                <w:szCs w:val="18"/>
                <w:color w:val="auto"/>
              </w:rPr>
            </w:pPr>
          </w:p>
        </w:tc>
      </w:tr>
      <w:tr>
        <w:trPr>
          <w:trHeight w:val="225"/>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Cambridge, Massachusetts</w:t>
            </w:r>
          </w:p>
        </w:tc>
        <w:tc>
          <w:tcPr>
            <w:tcW w:w="5020" w:type="dxa"/>
            <w:vAlign w:val="bottom"/>
          </w:tcPr>
          <w:p>
            <w:pPr>
              <w:jc w:val="right"/>
              <w:ind w:right="396"/>
              <w:spacing w:after="0"/>
              <w:rPr>
                <w:sz w:val="20"/>
                <w:szCs w:val="20"/>
                <w:color w:val="auto"/>
              </w:rPr>
            </w:pPr>
            <w:r>
              <w:rPr>
                <w:rFonts w:ascii="Arial" w:cs="Arial" w:eastAsia="Arial" w:hAnsi="Arial"/>
                <w:sz w:val="18"/>
                <w:szCs w:val="18"/>
                <w:b w:val="1"/>
                <w:bCs w:val="1"/>
                <w:color w:val="auto"/>
              </w:rPr>
              <w:t>02139</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20" w:type="dxa"/>
            <w:vAlign w:val="bottom"/>
          </w:tcPr>
          <w:p>
            <w:pPr>
              <w:jc w:val="center"/>
              <w:ind w:left="3516"/>
              <w:spacing w:after="0"/>
              <w:rPr>
                <w:sz w:val="20"/>
                <w:szCs w:val="20"/>
                <w:color w:val="auto"/>
              </w:rPr>
            </w:pPr>
            <w:r>
              <w:rPr>
                <w:rFonts w:ascii="Arial" w:cs="Arial" w:eastAsia="Arial" w:hAnsi="Arial"/>
                <w:sz w:val="14"/>
                <w:szCs w:val="14"/>
                <w:b w:val="1"/>
                <w:bCs w:val="1"/>
                <w:color w:val="auto"/>
                <w:w w:val="95"/>
              </w:rPr>
              <w:t>(Zip Code)</w:t>
            </w:r>
          </w:p>
        </w:tc>
      </w:tr>
      <w:tr>
        <w:trPr>
          <w:trHeight w:val="291"/>
        </w:trPr>
        <w:tc>
          <w:tcPr>
            <w:tcW w:w="2480" w:type="dxa"/>
            <w:vAlign w:val="bottom"/>
          </w:tcPr>
          <w:p>
            <w:pPr>
              <w:spacing w:after="0"/>
              <w:rPr>
                <w:sz w:val="24"/>
                <w:szCs w:val="24"/>
                <w:color w:val="auto"/>
              </w:rPr>
            </w:pPr>
          </w:p>
        </w:tc>
        <w:tc>
          <w:tcPr>
            <w:tcW w:w="5020" w:type="dxa"/>
            <w:vAlign w:val="bottom"/>
          </w:tcPr>
          <w:p>
            <w:pPr>
              <w:jc w:val="center"/>
              <w:ind w:right="1996"/>
              <w:spacing w:after="0"/>
              <w:rPr>
                <w:sz w:val="20"/>
                <w:szCs w:val="20"/>
                <w:color w:val="auto"/>
              </w:rPr>
            </w:pPr>
            <w:r>
              <w:rPr>
                <w:rFonts w:ascii="Arial" w:cs="Arial" w:eastAsia="Arial" w:hAnsi="Arial"/>
                <w:sz w:val="18"/>
                <w:szCs w:val="18"/>
                <w:b w:val="1"/>
                <w:bCs w:val="1"/>
                <w:color w:val="auto"/>
                <w:w w:val="90"/>
              </w:rPr>
              <w:t>2018 Stock Option and Incentive Plan</w:t>
            </w:r>
          </w:p>
        </w:tc>
      </w:tr>
      <w:tr>
        <w:trPr>
          <w:trHeight w:val="212"/>
        </w:trPr>
        <w:tc>
          <w:tcPr>
            <w:tcW w:w="2480" w:type="dxa"/>
            <w:vAlign w:val="bottom"/>
          </w:tcPr>
          <w:p>
            <w:pPr>
              <w:spacing w:after="0"/>
              <w:rPr>
                <w:sz w:val="18"/>
                <w:szCs w:val="18"/>
                <w:color w:val="auto"/>
              </w:rPr>
            </w:pPr>
          </w:p>
        </w:tc>
        <w:tc>
          <w:tcPr>
            <w:tcW w:w="5020" w:type="dxa"/>
            <w:vAlign w:val="bottom"/>
          </w:tcPr>
          <w:p>
            <w:pPr>
              <w:jc w:val="center"/>
              <w:ind w:right="1996"/>
              <w:spacing w:after="0"/>
              <w:rPr>
                <w:sz w:val="20"/>
                <w:szCs w:val="20"/>
                <w:color w:val="auto"/>
              </w:rPr>
            </w:pPr>
            <w:r>
              <w:rPr>
                <w:rFonts w:ascii="Arial" w:cs="Arial" w:eastAsia="Arial" w:hAnsi="Arial"/>
                <w:sz w:val="18"/>
                <w:szCs w:val="18"/>
                <w:b w:val="1"/>
                <w:bCs w:val="1"/>
                <w:color w:val="auto"/>
                <w:w w:val="88"/>
              </w:rPr>
              <w:t>2018 Employee Stock Purchase Plan</w:t>
            </w:r>
          </w:p>
        </w:tc>
      </w:tr>
      <w:tr>
        <w:trPr>
          <w:trHeight w:val="186"/>
        </w:trPr>
        <w:tc>
          <w:tcPr>
            <w:tcW w:w="2480" w:type="dxa"/>
            <w:vAlign w:val="bottom"/>
          </w:tcPr>
          <w:p>
            <w:pPr>
              <w:spacing w:after="0"/>
              <w:rPr>
                <w:sz w:val="16"/>
                <w:szCs w:val="16"/>
                <w:color w:val="auto"/>
              </w:rPr>
            </w:pPr>
          </w:p>
        </w:tc>
        <w:tc>
          <w:tcPr>
            <w:tcW w:w="5020" w:type="dxa"/>
            <w:vAlign w:val="bottom"/>
          </w:tcPr>
          <w:p>
            <w:pPr>
              <w:jc w:val="center"/>
              <w:ind w:right="1996"/>
              <w:spacing w:after="0"/>
              <w:rPr>
                <w:sz w:val="20"/>
                <w:szCs w:val="20"/>
                <w:color w:val="auto"/>
              </w:rPr>
            </w:pPr>
            <w:r>
              <w:rPr>
                <w:rFonts w:ascii="Arial" w:cs="Arial" w:eastAsia="Arial" w:hAnsi="Arial"/>
                <w:sz w:val="14"/>
                <w:szCs w:val="14"/>
                <w:b w:val="1"/>
                <w:bCs w:val="1"/>
                <w:color w:val="auto"/>
                <w:w w:val="94"/>
              </w:rPr>
              <w:t>(Full Title of the Plans)</w:t>
            </w:r>
          </w:p>
        </w:tc>
      </w:tr>
      <w:tr>
        <w:trPr>
          <w:trHeight w:val="291"/>
        </w:trPr>
        <w:tc>
          <w:tcPr>
            <w:tcW w:w="2480" w:type="dxa"/>
            <w:vAlign w:val="bottom"/>
          </w:tcPr>
          <w:p>
            <w:pPr>
              <w:spacing w:after="0"/>
              <w:rPr>
                <w:sz w:val="24"/>
                <w:szCs w:val="24"/>
                <w:color w:val="auto"/>
              </w:rPr>
            </w:pPr>
          </w:p>
        </w:tc>
        <w:tc>
          <w:tcPr>
            <w:tcW w:w="5020" w:type="dxa"/>
            <w:vAlign w:val="bottom"/>
          </w:tcPr>
          <w:p>
            <w:pPr>
              <w:jc w:val="center"/>
              <w:ind w:right="1996"/>
              <w:spacing w:after="0"/>
              <w:rPr>
                <w:sz w:val="20"/>
                <w:szCs w:val="20"/>
                <w:color w:val="auto"/>
              </w:rPr>
            </w:pPr>
            <w:r>
              <w:rPr>
                <w:rFonts w:ascii="Arial" w:cs="Arial" w:eastAsia="Arial" w:hAnsi="Arial"/>
                <w:sz w:val="18"/>
                <w:szCs w:val="18"/>
                <w:b w:val="1"/>
                <w:bCs w:val="1"/>
                <w:color w:val="auto"/>
                <w:w w:val="94"/>
              </w:rPr>
              <w:t>Geoff MacKay</w:t>
            </w:r>
          </w:p>
        </w:tc>
      </w:tr>
      <w:tr>
        <w:trPr>
          <w:trHeight w:val="216"/>
        </w:trPr>
        <w:tc>
          <w:tcPr>
            <w:tcW w:w="2480" w:type="dxa"/>
            <w:vAlign w:val="bottom"/>
          </w:tcPr>
          <w:p>
            <w:pPr>
              <w:spacing w:after="0"/>
              <w:rPr>
                <w:sz w:val="18"/>
                <w:szCs w:val="18"/>
                <w:color w:val="auto"/>
              </w:rPr>
            </w:pPr>
          </w:p>
        </w:tc>
        <w:tc>
          <w:tcPr>
            <w:tcW w:w="5020" w:type="dxa"/>
            <w:vAlign w:val="bottom"/>
          </w:tcPr>
          <w:p>
            <w:pPr>
              <w:jc w:val="center"/>
              <w:ind w:right="1976"/>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480" w:type="dxa"/>
            <w:vAlign w:val="bottom"/>
          </w:tcPr>
          <w:p>
            <w:pPr>
              <w:spacing w:after="0"/>
              <w:rPr>
                <w:sz w:val="18"/>
                <w:szCs w:val="18"/>
                <w:color w:val="auto"/>
              </w:rPr>
            </w:pPr>
          </w:p>
        </w:tc>
        <w:tc>
          <w:tcPr>
            <w:tcW w:w="5020" w:type="dxa"/>
            <w:vAlign w:val="bottom"/>
          </w:tcPr>
          <w:p>
            <w:pPr>
              <w:jc w:val="center"/>
              <w:ind w:right="1976"/>
              <w:spacing w:after="0"/>
              <w:rPr>
                <w:sz w:val="20"/>
                <w:szCs w:val="20"/>
                <w:color w:val="auto"/>
              </w:rPr>
            </w:pPr>
            <w:r>
              <w:rPr>
                <w:rFonts w:ascii="Arial" w:cs="Arial" w:eastAsia="Arial" w:hAnsi="Arial"/>
                <w:sz w:val="18"/>
                <w:szCs w:val="18"/>
                <w:b w:val="1"/>
                <w:bCs w:val="1"/>
                <w:color w:val="auto"/>
                <w:w w:val="91"/>
              </w:rPr>
              <w:t>One Kendall Square</w:t>
            </w:r>
          </w:p>
        </w:tc>
      </w:tr>
      <w:tr>
        <w:trPr>
          <w:trHeight w:val="216"/>
        </w:trPr>
        <w:tc>
          <w:tcPr>
            <w:tcW w:w="2480" w:type="dxa"/>
            <w:vAlign w:val="bottom"/>
          </w:tcPr>
          <w:p>
            <w:pPr>
              <w:spacing w:after="0"/>
              <w:rPr>
                <w:sz w:val="18"/>
                <w:szCs w:val="18"/>
                <w:color w:val="auto"/>
              </w:rPr>
            </w:pPr>
          </w:p>
        </w:tc>
        <w:tc>
          <w:tcPr>
            <w:tcW w:w="5020" w:type="dxa"/>
            <w:vAlign w:val="bottom"/>
          </w:tcPr>
          <w:p>
            <w:pPr>
              <w:jc w:val="center"/>
              <w:ind w:right="1996"/>
              <w:spacing w:after="0"/>
              <w:rPr>
                <w:sz w:val="20"/>
                <w:szCs w:val="20"/>
                <w:color w:val="auto"/>
              </w:rPr>
            </w:pPr>
            <w:r>
              <w:rPr>
                <w:rFonts w:ascii="Arial" w:cs="Arial" w:eastAsia="Arial" w:hAnsi="Arial"/>
                <w:sz w:val="18"/>
                <w:szCs w:val="18"/>
                <w:b w:val="1"/>
                <w:bCs w:val="1"/>
                <w:color w:val="auto"/>
                <w:w w:val="90"/>
              </w:rPr>
              <w:t>Building 300, Suite 201</w:t>
            </w:r>
          </w:p>
        </w:tc>
      </w:tr>
      <w:tr>
        <w:trPr>
          <w:trHeight w:val="212"/>
        </w:trPr>
        <w:tc>
          <w:tcPr>
            <w:tcW w:w="2480" w:type="dxa"/>
            <w:vAlign w:val="bottom"/>
          </w:tcPr>
          <w:p>
            <w:pPr>
              <w:spacing w:after="0"/>
              <w:rPr>
                <w:sz w:val="18"/>
                <w:szCs w:val="18"/>
                <w:color w:val="auto"/>
              </w:rPr>
            </w:pPr>
          </w:p>
        </w:tc>
        <w:tc>
          <w:tcPr>
            <w:tcW w:w="5020" w:type="dxa"/>
            <w:vAlign w:val="bottom"/>
          </w:tcPr>
          <w:p>
            <w:pPr>
              <w:jc w:val="center"/>
              <w:ind w:right="1976"/>
              <w:spacing w:after="0"/>
              <w:rPr>
                <w:sz w:val="20"/>
                <w:szCs w:val="20"/>
                <w:color w:val="auto"/>
              </w:rPr>
            </w:pPr>
            <w:r>
              <w:rPr>
                <w:rFonts w:ascii="Arial" w:cs="Arial" w:eastAsia="Arial" w:hAnsi="Arial"/>
                <w:sz w:val="18"/>
                <w:szCs w:val="18"/>
                <w:b w:val="1"/>
                <w:bCs w:val="1"/>
                <w:color w:val="auto"/>
                <w:w w:val="94"/>
              </w:rPr>
              <w:t>Cambridge, MA 02139</w:t>
            </w:r>
          </w:p>
        </w:tc>
      </w:tr>
      <w:tr>
        <w:trPr>
          <w:trHeight w:val="186"/>
        </w:trPr>
        <w:tc>
          <w:tcPr>
            <w:tcW w:w="2480" w:type="dxa"/>
            <w:vAlign w:val="bottom"/>
          </w:tcPr>
          <w:p>
            <w:pPr>
              <w:spacing w:after="0"/>
              <w:rPr>
                <w:sz w:val="16"/>
                <w:szCs w:val="16"/>
                <w:color w:val="auto"/>
              </w:rPr>
            </w:pPr>
          </w:p>
        </w:tc>
        <w:tc>
          <w:tcPr>
            <w:tcW w:w="5020" w:type="dxa"/>
            <w:vAlign w:val="bottom"/>
          </w:tcPr>
          <w:p>
            <w:pPr>
              <w:jc w:val="center"/>
              <w:ind w:right="1976"/>
              <w:spacing w:after="0"/>
              <w:rPr>
                <w:sz w:val="20"/>
                <w:szCs w:val="20"/>
                <w:color w:val="auto"/>
              </w:rPr>
            </w:pPr>
            <w:r>
              <w:rPr>
                <w:rFonts w:ascii="Arial" w:cs="Arial" w:eastAsia="Arial" w:hAnsi="Arial"/>
                <w:sz w:val="14"/>
                <w:szCs w:val="14"/>
                <w:b w:val="1"/>
                <w:bCs w:val="1"/>
                <w:color w:val="auto"/>
                <w:w w:val="91"/>
              </w:rPr>
              <w:t>(Name and address of agent for service)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McGivern,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160020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9"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133350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right"/>
              <w:ind w:right="1842"/>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right"/>
              <w:ind w:right="1902"/>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jc w:val="right"/>
              <w:ind w:right="1602"/>
              <w:spacing w:after="0"/>
              <w:rPr>
                <w:sz w:val="20"/>
                <w:szCs w:val="20"/>
                <w:color w:val="auto"/>
              </w:rPr>
            </w:pPr>
            <w:r>
              <w:rPr>
                <w:rFonts w:ascii="Arial" w:cs="Arial" w:eastAsia="Arial" w:hAnsi="Arial"/>
                <w:sz w:val="18"/>
                <w:szCs w:val="18"/>
                <w:color w:val="auto"/>
                <w:w w:val="88"/>
              </w:rPr>
              <w:t>Common Stock, $0.0001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952,265 shares(2)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$16.84(3)</w:t>
            </w:r>
          </w:p>
        </w:tc>
        <w:tc>
          <w:tcPr>
            <w:tcW w:w="154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8"/>
                <w:szCs w:val="18"/>
                <w:color w:val="auto"/>
              </w:rPr>
              <w:t>$16,036,142.60</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$1,943.59</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jc w:val="right"/>
              <w:ind w:right="1602"/>
              <w:spacing w:after="0"/>
              <w:rPr>
                <w:sz w:val="20"/>
                <w:szCs w:val="20"/>
                <w:color w:val="auto"/>
              </w:rPr>
            </w:pPr>
            <w:r>
              <w:rPr>
                <w:rFonts w:ascii="Arial" w:cs="Arial" w:eastAsia="Arial" w:hAnsi="Arial"/>
                <w:sz w:val="18"/>
                <w:szCs w:val="18"/>
                <w:color w:val="auto"/>
                <w:w w:val="89"/>
              </w:rPr>
              <w:t>Common Stock, $0.0001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238,066 shares(4)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$14.31(5)</w:t>
            </w:r>
          </w:p>
        </w:tc>
        <w:tc>
          <w:tcPr>
            <w:tcW w:w="1540" w:type="dxa"/>
            <w:vAlign w:val="bottom"/>
            <w:tcBorders>
              <w:bottom w:val="single" w:sz="8" w:color="auto"/>
              <w:right w:val="single" w:sz="8" w:color="auto"/>
            </w:tcBorders>
          </w:tcPr>
          <w:p>
            <w:pPr>
              <w:jc w:val="right"/>
              <w:ind w:right="164"/>
              <w:spacing w:after="0"/>
              <w:rPr>
                <w:sz w:val="20"/>
                <w:szCs w:val="20"/>
                <w:color w:val="auto"/>
              </w:rPr>
            </w:pPr>
            <w:r>
              <w:rPr>
                <w:rFonts w:ascii="Arial" w:cs="Arial" w:eastAsia="Arial" w:hAnsi="Arial"/>
                <w:sz w:val="18"/>
                <w:szCs w:val="18"/>
                <w:color w:val="auto"/>
              </w:rPr>
              <w:t>$3,406,724.46</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80" w:hanging="436"/>
        <w:spacing w:after="0" w:line="286"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under the Registrant’s 2018 Stock Option and Incentive Plan (the “Plan”) and 2018 Employee Stock Purchase Plan (the “ESPP”) by reason of any stock dividend, stock split, recapitalization or any other similar transaction effected without the receipt of consideration which results in an increase in the number of the Registrant’s outstanding shares of common stock.</w:t>
      </w:r>
    </w:p>
    <w:p>
      <w:pPr>
        <w:jc w:val="both"/>
        <w:ind w:left="440" w:right="34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of 952,265 shares of Common Stock to the number of shares available for issuance under the Plan, effective January 1, 2019. Shares available for issuance under the Plan were previously registered on a registration statement on Form S-8 filed with the Securities and Exchange Commission on June 21, 2018 (Registration No. 333-225788).</w:t>
      </w:r>
    </w:p>
    <w:p>
      <w:pPr>
        <w:spacing w:after="0" w:line="1" w:lineRule="exact"/>
        <w:rPr>
          <w:rFonts w:ascii="Arial" w:cs="Arial" w:eastAsia="Arial" w:hAnsi="Arial"/>
          <w:sz w:val="18"/>
          <w:szCs w:val="18"/>
          <w:color w:val="auto"/>
        </w:rPr>
      </w:pPr>
    </w:p>
    <w:p>
      <w:pPr>
        <w:ind w:left="440" w:right="22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457(h) of the Securities Act, and based on the average of the high and low sale prices of the Registrant’s common stock, as quoted on the Nasdaq Global Market, on March 18, 2019.</w:t>
      </w:r>
    </w:p>
    <w:p>
      <w:pPr>
        <w:ind w:left="440" w:right="24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of 238,066 shares of Common Stock to the number of shares available for issuance under the ESPP, effective January 8, 2019. Shares available for issuance under the ESPP were previously registered on a registration statement on Form S-8 filed with the Securities and Exchange Commission on June 21, 2018 (Registration No. 333-225788).</w:t>
      </w:r>
    </w:p>
    <w:p>
      <w:pPr>
        <w:spacing w:after="0" w:line="1" w:lineRule="exact"/>
        <w:rPr>
          <w:rFonts w:ascii="Arial" w:cs="Arial" w:eastAsia="Arial" w:hAnsi="Arial"/>
          <w:sz w:val="18"/>
          <w:szCs w:val="18"/>
          <w:color w:val="auto"/>
        </w:rPr>
      </w:pPr>
    </w:p>
    <w:p>
      <w:pPr>
        <w:ind w:left="440" w:right="140" w:hanging="436"/>
        <w:spacing w:after="0" w:line="295"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 of the Securities Act, and based on 85% of $16.84 per share, which represents the average of the high and low prices of the Registrant’s common stock reported on the Nasdaq Global Select Market on March 18, 2019. Pursuant to the ESPP, the purchase price of the shares of common stock reserved for issuance thereunder will be 85% of the fair market value of a share of common stock on the first trading day of the offering period or on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on Form S-8 registers additional shares of Common Stock under the Registrant’s Plan and ESPP.</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number of shares of common stock reserved and available for issuance under the Plan is subject to an automatic annual increase on each January 1, beginning in 2019, by an amount equal to the lesser of (i) 4.0% of the number of shares of common stock issued and outstanding on the immediately preceding December 31 and (ii) such amount as determined by the Administrator (as defined in the Plan), currently the Compensation Committee of the Registrant’s Board of Directors. Accordingly, on January 1, 2019, the number of shares of common stock reserved and available for issuance under the Plan increased by 952,265 shares.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shares of common stock reserved and available for issuance under the ESPP is subject to an automatic annual increase on each January 1, beginning in 2019, by an amount equal to the lesser of (i) 1.0% of the number of shares of common stock issued and outstanding on the immediately preceding December 31, (ii) 1,115,700 shares or (iii) such amount as determined by the Administrator (as defined in the ESPP), currently the Compensation Committee of the Registrant’s Board of Directors. Accordingly, on January 1, 2019, the number of shares of common stock reserved and available for issuance under the ESPP increased by 238,066 shares.</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additional shares described above are of the same class as other securities relating to the Plan for which the Registrant’s registration statement filed on Form S-8 (Registration No. 333-225788) on June 21, 2018, is effective. The information contained in the Registrant’s registration statement on Form S-8 (Registration No. 333-225788) is hereby incorporated by reference pursuant to General Instruction E.</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8"/>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No.</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78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980" w:type="dxa"/>
            <w:vAlign w:val="bottom"/>
          </w:tcPr>
          <w:p>
            <w:pPr>
              <w:jc w:val="right"/>
              <w:ind w:right="573"/>
              <w:spacing w:after="0"/>
              <w:rPr>
                <w:sz w:val="20"/>
                <w:szCs w:val="20"/>
                <w:color w:val="auto"/>
              </w:rPr>
            </w:pPr>
            <w:r>
              <w:rPr>
                <w:rFonts w:ascii="Arial" w:cs="Arial" w:eastAsia="Arial" w:hAnsi="Arial"/>
                <w:sz w:val="18"/>
                <w:szCs w:val="18"/>
                <w:color w:val="auto"/>
              </w:rPr>
              <w:t>4.1</w:t>
            </w:r>
          </w:p>
        </w:tc>
        <w:tc>
          <w:tcPr>
            <w:tcW w:w="9940" w:type="dxa"/>
            <w:vAlign w:val="bottom"/>
            <w:tcBorders>
              <w:bottom w:val="single" w:sz="8" w:color="0000EE"/>
            </w:tcBorders>
            <w:gridSpan w:val="11"/>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Fourth Amended and Restated Certificate of Incorporation (Incorporated by reference to Exhibit 3.1 to the Registrant’s Current Report on</w:t>
              </w:r>
            </w:hyperlink>
          </w:p>
        </w:tc>
        <w:tc>
          <w:tcPr>
            <w:tcW w:w="1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Form 8-K filed on June 25, 2018 (File No. 001-38537)).</w:t>
              </w:r>
            </w:hyperlink>
          </w:p>
        </w:tc>
        <w:tc>
          <w:tcPr>
            <w:tcW w:w="59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ind w:right="573"/>
              <w:spacing w:after="0"/>
              <w:rPr>
                <w:sz w:val="20"/>
                <w:szCs w:val="20"/>
                <w:color w:val="auto"/>
              </w:rPr>
            </w:pPr>
            <w:r>
              <w:rPr>
                <w:rFonts w:ascii="Arial" w:cs="Arial" w:eastAsia="Arial" w:hAnsi="Arial"/>
                <w:sz w:val="18"/>
                <w:szCs w:val="18"/>
                <w:color w:val="auto"/>
              </w:rPr>
              <w:t>4.2</w:t>
            </w:r>
          </w:p>
        </w:tc>
        <w:tc>
          <w:tcPr>
            <w:tcW w:w="10040" w:type="dxa"/>
            <w:vAlign w:val="bottom"/>
            <w:tcBorders>
              <w:bottom w:val="single" w:sz="8" w:color="0000EE"/>
            </w:tcBorders>
            <w:gridSpan w:val="14"/>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Amended and Restated By-laws (Incorporated by reference to Exhibit 3.2 to the Registrant’s Current Report on Form 8-K filed on June 25,</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2018 (File No. 001-38537)).</w:t>
              </w:r>
            </w:hyperlink>
          </w:p>
        </w:tc>
        <w:tc>
          <w:tcPr>
            <w:tcW w:w="79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ind w:right="573"/>
              <w:spacing w:after="0"/>
              <w:rPr>
                <w:sz w:val="20"/>
                <w:szCs w:val="20"/>
                <w:color w:val="auto"/>
              </w:rPr>
            </w:pPr>
            <w:r>
              <w:rPr>
                <w:rFonts w:ascii="Arial" w:cs="Arial" w:eastAsia="Arial" w:hAnsi="Arial"/>
                <w:sz w:val="18"/>
                <w:szCs w:val="18"/>
                <w:color w:val="auto"/>
              </w:rPr>
              <w:t>4.3</w:t>
            </w:r>
          </w:p>
        </w:tc>
        <w:tc>
          <w:tcPr>
            <w:tcW w:w="10040" w:type="dxa"/>
            <w:vAlign w:val="bottom"/>
            <w:gridSpan w:val="14"/>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Second Amended and Restated Investors’ Rights Agreement by and among the Registrant and certain of its stockholders, dated January 9,</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2018 (Incorporated by reference to Exhibit 4.2 to the Registrant’s Registration Statement on Form S-1, as amended (File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333-225213)).</w:t>
              </w:r>
            </w:hyperlink>
          </w:p>
        </w:tc>
        <w:tc>
          <w:tcPr>
            <w:tcW w:w="7320" w:type="dxa"/>
            <w:vAlign w:val="bottom"/>
            <w:tcBorders>
              <w:top w:val="single" w:sz="8" w:color="0000EE"/>
            </w:tcBorders>
            <w:gridSpan w:val="8"/>
          </w:tcPr>
          <w:p>
            <w:pPr>
              <w:spacing w:after="0"/>
              <w:rPr>
                <w:sz w:val="17"/>
                <w:szCs w:val="17"/>
                <w:color w:val="auto"/>
              </w:rPr>
            </w:pPr>
          </w:p>
        </w:tc>
        <w:tc>
          <w:tcPr>
            <w:tcW w:w="1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ind w:right="493"/>
              <w:spacing w:after="0"/>
              <w:rPr>
                <w:sz w:val="20"/>
                <w:szCs w:val="20"/>
                <w:color w:val="auto"/>
              </w:rPr>
            </w:pPr>
            <w:r>
              <w:rPr>
                <w:rFonts w:ascii="Arial" w:cs="Arial" w:eastAsia="Arial" w:hAnsi="Arial"/>
                <w:sz w:val="18"/>
                <w:szCs w:val="18"/>
                <w:color w:val="auto"/>
              </w:rPr>
              <w:t>5.1*</w:t>
            </w:r>
          </w:p>
        </w:tc>
        <w:tc>
          <w:tcPr>
            <w:tcW w:w="24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Opinion of Goodwin Procter LLP</w:t>
            </w:r>
          </w:p>
        </w:tc>
        <w:tc>
          <w:tcPr>
            <w:tcW w:w="7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ind w:right="493"/>
              <w:spacing w:after="0"/>
              <w:rPr>
                <w:sz w:val="20"/>
                <w:szCs w:val="20"/>
                <w:color w:val="auto"/>
              </w:rPr>
            </w:pPr>
            <w:r>
              <w:rPr>
                <w:rFonts w:ascii="Arial" w:cs="Arial" w:eastAsia="Arial" w:hAnsi="Arial"/>
                <w:sz w:val="18"/>
                <w:szCs w:val="18"/>
                <w:color w:val="auto"/>
                <w:w w:val="90"/>
              </w:rPr>
              <w:t>23.1*</w:t>
            </w:r>
          </w:p>
        </w:tc>
        <w:tc>
          <w:tcPr>
            <w:tcW w:w="5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4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ind w:right="573"/>
              <w:spacing w:after="0"/>
              <w:rPr>
                <w:sz w:val="20"/>
                <w:szCs w:val="20"/>
                <w:color w:val="auto"/>
              </w:rPr>
            </w:pPr>
            <w:r>
              <w:rPr>
                <w:rFonts w:ascii="Arial" w:cs="Arial" w:eastAsia="Arial" w:hAnsi="Arial"/>
                <w:sz w:val="18"/>
                <w:szCs w:val="18"/>
                <w:color w:val="auto"/>
                <w:w w:val="85"/>
              </w:rPr>
              <w:t>23.2</w:t>
            </w:r>
          </w:p>
        </w:tc>
        <w:tc>
          <w:tcPr>
            <w:tcW w:w="42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Consent of Goodwin Procter LLP (included in Exhibit 5.1)</w:t>
            </w:r>
          </w:p>
        </w:tc>
        <w:tc>
          <w:tcPr>
            <w:tcW w:w="57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ind w:right="573"/>
              <w:spacing w:after="0"/>
              <w:rPr>
                <w:sz w:val="20"/>
                <w:szCs w:val="20"/>
                <w:color w:val="auto"/>
              </w:rPr>
            </w:pPr>
            <w:r>
              <w:rPr>
                <w:rFonts w:ascii="Arial" w:cs="Arial" w:eastAsia="Arial" w:hAnsi="Arial"/>
                <w:sz w:val="18"/>
                <w:szCs w:val="18"/>
                <w:color w:val="auto"/>
                <w:w w:val="85"/>
              </w:rPr>
              <w:t>24.1</w:t>
            </w:r>
          </w:p>
        </w:tc>
        <w:tc>
          <w:tcPr>
            <w:tcW w:w="100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right"/>
              <w:ind w:right="573"/>
              <w:spacing w:after="0"/>
              <w:rPr>
                <w:sz w:val="20"/>
                <w:szCs w:val="20"/>
                <w:color w:val="auto"/>
              </w:rPr>
            </w:pPr>
            <w:r>
              <w:rPr>
                <w:rFonts w:ascii="Arial" w:cs="Arial" w:eastAsia="Arial" w:hAnsi="Arial"/>
                <w:sz w:val="18"/>
                <w:szCs w:val="18"/>
                <w:color w:val="auto"/>
                <w:w w:val="85"/>
              </w:rPr>
              <w:t>99.1</w:t>
            </w:r>
          </w:p>
        </w:tc>
        <w:tc>
          <w:tcPr>
            <w:tcW w:w="9420" w:type="dxa"/>
            <w:vAlign w:val="bottom"/>
            <w:tcBorders>
              <w:bottom w:val="single" w:sz="8" w:color="0000EE"/>
            </w:tcBorders>
            <w:gridSpan w:val="10"/>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2018 Stock Option and Incentive Plan and forms of award agreements thereunder (Incorporated by reference to Exhibit 10.2 to the</w:t>
              </w:r>
            </w:hyperlink>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registrant’s Registration Statement on Form S-1, as amended (File No. 333-225213)).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right"/>
              <w:ind w:right="573"/>
              <w:spacing w:after="0"/>
              <w:rPr>
                <w:sz w:val="20"/>
                <w:szCs w:val="20"/>
                <w:color w:val="auto"/>
              </w:rPr>
            </w:pPr>
            <w:r>
              <w:rPr>
                <w:rFonts w:ascii="Arial" w:cs="Arial" w:eastAsia="Arial" w:hAnsi="Arial"/>
                <w:sz w:val="18"/>
                <w:szCs w:val="18"/>
                <w:color w:val="auto"/>
                <w:w w:val="85"/>
              </w:rPr>
              <w:t>99.2</w:t>
            </w:r>
          </w:p>
        </w:tc>
        <w:tc>
          <w:tcPr>
            <w:tcW w:w="10020" w:type="dxa"/>
            <w:vAlign w:val="bottom"/>
            <w:tcBorders>
              <w:bottom w:val="single" w:sz="8" w:color="0000EE"/>
            </w:tcBorders>
            <w:gridSpan w:val="13"/>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2018 Employee Stock Purchase Plan (Incorporated by reference to Exhibit 10.14 to the registrant’s Registration Statement on Form S-1,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amended (File No. 333-225213)).</w:t>
              </w:r>
            </w:hyperlink>
          </w:p>
        </w:tc>
        <w:tc>
          <w:tcPr>
            <w:tcW w:w="7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25th day of March, 2019.</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 in the capacities and on the date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60" w:type="dxa"/>
            <w:vAlign w:val="bottom"/>
          </w:tcPr>
          <w:p>
            <w:pPr>
              <w:jc w:val="center"/>
              <w:ind w:left="2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2"/>
              </w:rPr>
              <w:t>Director, President, Chief Executive Officer and Principal</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5180" w:type="dxa"/>
            <w:vAlign w:val="bottom"/>
          </w:tcPr>
          <w:p>
            <w:pPr>
              <w:jc w:val="center"/>
              <w:ind w:left="32"/>
              <w:spacing w:after="0"/>
              <w:rPr>
                <w:sz w:val="20"/>
                <w:szCs w:val="20"/>
                <w:color w:val="auto"/>
              </w:rPr>
            </w:pPr>
            <w:r>
              <w:rPr>
                <w:rFonts w:ascii="Arial" w:cs="Arial" w:eastAsia="Arial" w:hAnsi="Arial"/>
                <w:sz w:val="18"/>
                <w:szCs w:val="18"/>
                <w:i w:val="1"/>
                <w:iCs w:val="1"/>
                <w:color w:val="auto"/>
                <w:w w:val="92"/>
              </w:rPr>
              <w:t>Executive Officer</w:t>
            </w: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Erik Ostrowski</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 and Principal Financial and Accounting</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5180" w:type="dxa"/>
            <w:vAlign w:val="bottom"/>
          </w:tcPr>
          <w:p>
            <w:pPr>
              <w:jc w:val="center"/>
              <w:ind w:left="32"/>
              <w:spacing w:after="0"/>
              <w:rPr>
                <w:sz w:val="20"/>
                <w:szCs w:val="20"/>
                <w:color w:val="auto"/>
              </w:rPr>
            </w:pPr>
            <w:r>
              <w:rPr>
                <w:rFonts w:ascii="Arial" w:cs="Arial" w:eastAsia="Arial" w:hAnsi="Arial"/>
                <w:sz w:val="18"/>
                <w:szCs w:val="18"/>
                <w:i w:val="1"/>
                <w:iCs w:val="1"/>
                <w:color w:val="auto"/>
                <w:w w:val="94"/>
              </w:rPr>
              <w:t>Officer</w:t>
            </w: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Phillip B. Donenberg</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Paige</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60" w:type="dxa"/>
            <w:vAlign w:val="bottom"/>
          </w:tcPr>
          <w:p>
            <w:pPr>
              <w:jc w:val="center"/>
              <w:ind w:left="232"/>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3"/>
              </w:rPr>
              <w:t>Philip Vickers, Ph.D.</w:t>
            </w:r>
          </w:p>
        </w:tc>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ectPr>
          <w:pgSz w:w="11900" w:h="16838" w:orient="portrait"/>
          <w:cols w:equalWidth="0" w:num="1">
            <w:col w:w="10900"/>
          </w:cols>
          <w:pgMar w:left="440" w:top="270"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March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1,190,331 shares (the “Shares”) of Common Stock, $0.0001 par value per share (“Common Stock”), of AVROBIO, Inc., a Delaware corporation (the “Company”), that may be issued pursuant to the Company’s 2018 Stock Option and Incentive Plan and 2018 Employee Stock Purchase Plan (collectively, the “Plans”).</w:t>
      </w:r>
    </w:p>
    <w:p>
      <w:pPr>
        <w:spacing w:after="0" w:line="154"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5"/>
          <w:szCs w:val="15"/>
          <w:color w:val="auto"/>
        </w:rPr>
        <w:t>LLP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2018 Stock Option and Incentive Plan and the 2018 Employee Stock Purchase Plan of AVROBIO, Inc. of our report dated March 25, 2019, with respect to the consolidated financial statements of AVROBIO, Inc. included in its Annual Report (Form 10-K) for the year ended December 31, 2018,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0" Type="http://schemas.openxmlformats.org/officeDocument/2006/relationships/hyperlink" Target="http://www.sec.gov/Archives/edgar/data/1681087/000119312518202460/d153924dex31.htm" TargetMode="External"/><Relationship Id="rId21" Type="http://schemas.openxmlformats.org/officeDocument/2006/relationships/hyperlink" Target="http://www.sec.gov/Archives/edgar/data/1681087/000119312518202460/d153924dex32.htm" TargetMode="External"/><Relationship Id="rId22" Type="http://schemas.openxmlformats.org/officeDocument/2006/relationships/hyperlink" Target="http://www.sec.gov/Archives/edgar/data/1681087/000119312518175024/d562006dex42.htm" TargetMode="External"/><Relationship Id="rId23" Type="http://schemas.openxmlformats.org/officeDocument/2006/relationships/hyperlink" Target="http://www.sec.gov/Archives/edgar/data/1681087/000119312518188630/d562006dex102.htm" TargetMode="External"/><Relationship Id="rId24" Type="http://schemas.openxmlformats.org/officeDocument/2006/relationships/hyperlink" Target="http://www.sec.gov/Archives/edgar/data/1681087/000119312518188630/d562006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2019-12-03T20:49:35Z</dcterms:created>
  <dcterms:modified xsi:type="dcterms:W3CDTF">2019-12-03T20:49:35Z</dcterms:modified>
</cp:coreProperties>
</file>