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June 18,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Dorrie Yale</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AVROBIO,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Acceleration Request for 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333-225213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Yale:</w:t>
      </w:r>
    </w:p>
    <w:p>
      <w:pPr>
        <w:spacing w:after="0" w:line="113" w:lineRule="exact"/>
        <w:rPr>
          <w:sz w:val="24"/>
          <w:szCs w:val="24"/>
          <w:color w:val="auto"/>
        </w:rPr>
      </w:pPr>
    </w:p>
    <w:p>
      <w:pPr>
        <w:ind w:firstLine="456"/>
        <w:spacing w:after="0" w:line="303" w:lineRule="auto"/>
        <w:rPr>
          <w:sz w:val="20"/>
          <w:szCs w:val="20"/>
          <w:color w:val="auto"/>
        </w:rPr>
      </w:pPr>
      <w:r>
        <w:rPr>
          <w:rFonts w:ascii="Arial" w:cs="Arial" w:eastAsia="Arial" w:hAnsi="Arial"/>
          <w:sz w:val="16"/>
          <w:szCs w:val="16"/>
          <w:color w:val="auto"/>
        </w:rPr>
        <w:t>Pursuant to Rule 461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AVROBIO, Inc.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effective date of the above-referenced registration statement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accelerated to June 20, 2018, at 4:00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55" w:lineRule="exact"/>
        <w:rPr>
          <w:sz w:val="24"/>
          <w:szCs w:val="24"/>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Once the Registration Statement is effective, please orally confirm the event with our counsel, Goodwin Procter LLP by calling James Xu at (617) 570-1483. We also respectfully request that a copy of the written order from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verifying the effective time and date of the Registration Statement be sent to our counsel, Goodwin Procter LLP, Attention: James Xu, by facsimile to (617) 523-1231.</w:t>
      </w:r>
    </w:p>
    <w:p>
      <w:pPr>
        <w:sectPr>
          <w:pgSz w:w="11900" w:h="16838" w:orient="portrait"/>
          <w:cols w:equalWidth="0" w:num="1">
            <w:col w:w="11340"/>
          </w:cols>
          <w:pgMar w:left="240" w:top="229" w:right="319" w:bottom="1440" w:gutter="0" w:footer="0" w:header="0"/>
        </w:sectPr>
      </w:pPr>
    </w:p>
    <w:bookmarkStart w:id="1" w:name="page2"/>
    <w:bookmarkEnd w:id="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any questions regarding this request, please contact James Xu of Goodwin Procter LLP at (617) 570-1483.</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AVROBIO, INC.</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President and Chief Executive Officer</w:t>
      </w:r>
    </w:p>
    <w:p>
      <w:pPr>
        <w:spacing w:after="0" w:line="116" w:lineRule="exact"/>
        <w:rPr>
          <w:sz w:val="20"/>
          <w:szCs w:val="20"/>
          <w:color w:val="auto"/>
        </w:rPr>
      </w:pPr>
    </w:p>
    <w:p>
      <w:pPr>
        <w:ind w:left="460" w:right="5759" w:hanging="452"/>
        <w:spacing w:after="0" w:line="264" w:lineRule="auto"/>
        <w:tabs>
          <w:tab w:leader="none" w:pos="44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Katina Dorton, Chief Financial Officer, </w:t>
      </w:r>
      <w:r>
        <w:rPr>
          <w:rFonts w:ascii="Arial" w:cs="Arial" w:eastAsia="Arial" w:hAnsi="Arial"/>
          <w:sz w:val="18"/>
          <w:szCs w:val="18"/>
          <w:i w:val="1"/>
          <w:iCs w:val="1"/>
          <w:color w:val="auto"/>
        </w:rPr>
        <w:t>AVROBIO, Inc.</w:t>
      </w:r>
      <w:r>
        <w:rPr>
          <w:rFonts w:ascii="Arial" w:cs="Arial" w:eastAsia="Arial" w:hAnsi="Arial"/>
          <w:sz w:val="18"/>
          <w:szCs w:val="18"/>
          <w:color w:val="auto"/>
        </w:rPr>
        <w:t xml:space="preserve"> Arthur McGivern, Esq., </w:t>
      </w:r>
      <w:r>
        <w:rPr>
          <w:rFonts w:ascii="Arial" w:cs="Arial" w:eastAsia="Arial" w:hAnsi="Arial"/>
          <w:sz w:val="18"/>
          <w:szCs w:val="18"/>
          <w:i w:val="1"/>
          <w:iCs w:val="1"/>
          <w:color w:val="auto"/>
        </w:rPr>
        <w:t>Goodwin Procter LLP</w:t>
      </w:r>
      <w:r>
        <w:rPr>
          <w:rFonts w:ascii="Arial" w:cs="Arial" w:eastAsia="Arial" w:hAnsi="Arial"/>
          <w:sz w:val="18"/>
          <w:szCs w:val="18"/>
          <w:color w:val="auto"/>
        </w:rPr>
        <w:t xml:space="preserve"> James Xu, Esq., </w:t>
      </w:r>
      <w:r>
        <w:rPr>
          <w:rFonts w:ascii="Arial" w:cs="Arial" w:eastAsia="Arial" w:hAnsi="Arial"/>
          <w:sz w:val="18"/>
          <w:szCs w:val="18"/>
          <w:i w:val="1"/>
          <w:iCs w:val="1"/>
          <w:color w:val="auto"/>
        </w:rPr>
        <w:t>Goodwin Procter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2019-12-08T15:22:56Z</dcterms:created>
  <dcterms:modified xsi:type="dcterms:W3CDTF">2019-12-08T15:22:56Z</dcterms:modified>
</cp:coreProperties>
</file>