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39190dposam.htm"/>
        <w:bookmarkStart w:id="1" w:name="ksd939190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7, 2025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333-286133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POST-EFFECTIVE AMENDMENT NO. 1 </w:t>
      </w:r>
    </w:p>
    <w:p>
      <w:pPr>
        <w:pStyle w:val="TextBody"/>
        <w:bidi w:val="0"/>
        <w:spacing w:before="0" w:after="0"/>
        <w:jc w:val="center"/>
        <w:rPr>
          <w:rFonts w:ascii="Times New Roman" w:hAnsi="Times New Roman"/>
          <w:b/>
          <w:sz w:val="28"/>
        </w:rPr>
      </w:pPr>
      <w:r>
        <w:rPr>
          <w:rFonts w:ascii="Times New Roman" w:hAnsi="Times New Roman"/>
          <w:b/>
          <w:sz w:val="28"/>
        </w:rPr>
        <w:t xml:space="preserve">TO FORM S-1 </w:t>
      </w:r>
    </w:p>
    <w:p>
      <w:pPr>
        <w:pStyle w:val="TextBody"/>
        <w:bidi w:val="0"/>
        <w:spacing w:before="0" w:after="0"/>
        <w:jc w:val="center"/>
        <w:rPr>
          <w:rFonts w:ascii="Times New Roman" w:hAnsi="Times New Roman"/>
          <w:b/>
          <w:sz w:val="28"/>
        </w:rPr>
      </w:pPr>
      <w:r>
        <w:rPr>
          <w:rFonts w:ascii="Times New Roman" w:hAnsi="Times New Roman"/>
          <w:b/>
          <w:sz w:val="28"/>
        </w:rPr>
        <w:t xml:space="preserve">ON </w:t>
      </w:r>
    </w:p>
    <w:p>
      <w:pPr>
        <w:pStyle w:val="TextBody"/>
        <w:bidi w:val="0"/>
        <w:spacing w:before="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0"/>
        </w:rPr>
      </w:pPr>
      <w:r>
        <w:rPr>
          <w:rFonts w:ascii="Times New Roman" w:hAnsi="Times New Roman"/>
          <w:b/>
          <w:sz w:val="40"/>
        </w:rPr>
        <w:t xml:space="preserve">Tectonic Therapeutic,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81-0710585</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80" w:after="0"/>
        <w:jc w:val="center"/>
        <w:rPr>
          <w:rFonts w:ascii="Times New Roman" w:hAnsi="Times New Roman"/>
          <w:b/>
          <w:sz w:val="17"/>
        </w:rPr>
      </w:pPr>
      <w:r>
        <w:rPr>
          <w:rFonts w:ascii="Times New Roman" w:hAnsi="Times New Roman"/>
          <w:b/>
          <w:sz w:val="17"/>
        </w:rPr>
        <w:t xml:space="preserve">490 Arsenal Way </w:t>
      </w:r>
    </w:p>
    <w:p>
      <w:pPr>
        <w:pStyle w:val="TextBody"/>
        <w:bidi w:val="0"/>
        <w:spacing w:before="0" w:after="0"/>
        <w:jc w:val="center"/>
        <w:rPr>
          <w:rFonts w:ascii="Times New Roman" w:hAnsi="Times New Roman"/>
          <w:b/>
          <w:sz w:val="17"/>
        </w:rPr>
      </w:pPr>
      <w:r>
        <w:rPr>
          <w:rFonts w:ascii="Times New Roman" w:hAnsi="Times New Roman"/>
          <w:b/>
          <w:sz w:val="17"/>
        </w:rPr>
        <w:t xml:space="preserve">Suite 210 </w:t>
      </w:r>
    </w:p>
    <w:p>
      <w:pPr>
        <w:pStyle w:val="TextBody"/>
        <w:bidi w:val="0"/>
        <w:spacing w:before="0" w:after="0"/>
        <w:jc w:val="center"/>
        <w:rPr>
          <w:rFonts w:ascii="Times New Roman" w:hAnsi="Times New Roman"/>
          <w:b/>
          <w:sz w:val="17"/>
        </w:rPr>
      </w:pPr>
      <w:r>
        <w:rPr>
          <w:rFonts w:ascii="Times New Roman" w:hAnsi="Times New Roman"/>
          <w:b/>
          <w:sz w:val="17"/>
        </w:rPr>
        <w:t xml:space="preserve">Watertown, MA 02472 (339) 666-3320 </w:t>
      </w:r>
    </w:p>
    <w:p>
      <w:pPr>
        <w:pStyle w:val="TextBody"/>
        <w:bidi w:val="0"/>
        <w:spacing w:before="0" w:after="0"/>
        <w:jc w:val="center"/>
        <w:rPr>
          <w:rFonts w:ascii="Times New Roman" w:hAnsi="Times New Roman"/>
          <w:b/>
          <w:sz w:val="17"/>
        </w:rPr>
      </w:pPr>
      <w:r>
        <w:rPr>
          <w:rFonts w:ascii="Times New Roman" w:hAnsi="Times New Roman"/>
          <w:b/>
          <w:sz w:val="17"/>
        </w:rPr>
        <w:t xml:space="preserve">(I.R.S. Employer </w:t>
      </w:r>
    </w:p>
    <w:p>
      <w:pPr>
        <w:pStyle w:val="TextBody"/>
        <w:bidi w:val="0"/>
        <w:spacing w:before="0" w:after="0"/>
        <w:jc w:val="center"/>
        <w:rPr>
          <w:rFonts w:ascii="Times New Roman" w:hAnsi="Times New Roman"/>
          <w:b/>
          <w:sz w:val="17"/>
        </w:rPr>
      </w:pPr>
      <w:r>
        <w:rPr>
          <w:rFonts w:ascii="Times New Roman" w:hAnsi="Times New Roman"/>
          <w:b/>
          <w:sz w:val="17"/>
        </w:rPr>
        <w:t xml:space="preserve">Identification Number) </w:t>
      </w:r>
    </w:p>
    <w:p>
      <w:pPr>
        <w:pStyle w:val="TextBody"/>
        <w:bidi w:val="0"/>
        <w:spacing w:before="0" w:after="0"/>
        <w:jc w:val="center"/>
        <w:rPr>
          <w:rFonts w:ascii="Times New Roman" w:hAnsi="Times New Roman"/>
          <w:b/>
          <w:sz w:val="17"/>
        </w:rPr>
      </w:pPr>
      <w:r>
        <w:rPr>
          <w:rFonts w:ascii="Times New Roman" w:hAnsi="Times New Roman"/>
          <w:b/>
          <w:sz w:val="17"/>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7"/>
        </w:rPr>
      </w:pPr>
      <w:r>
        <w:rPr>
          <w:rFonts w:ascii="Times New Roman" w:hAnsi="Times New Roman"/>
          <w:b/>
          <w:sz w:val="17"/>
        </w:rPr>
        <w:t xml:space="preserve">Daniel Lochner </w:t>
      </w:r>
    </w:p>
    <w:p>
      <w:pPr>
        <w:pStyle w:val="TextBody"/>
        <w:bidi w:val="0"/>
        <w:spacing w:before="0" w:after="0"/>
        <w:jc w:val="center"/>
        <w:rPr>
          <w:rFonts w:ascii="Times New Roman" w:hAnsi="Times New Roman"/>
          <w:b/>
          <w:sz w:val="17"/>
        </w:rPr>
      </w:pPr>
      <w:r>
        <w:rPr>
          <w:rFonts w:ascii="Times New Roman" w:hAnsi="Times New Roman"/>
          <w:b/>
          <w:sz w:val="17"/>
        </w:rPr>
        <w:t xml:space="preserve">Chief Financial Officer </w:t>
      </w:r>
    </w:p>
    <w:p>
      <w:pPr>
        <w:pStyle w:val="TextBody"/>
        <w:bidi w:val="0"/>
        <w:spacing w:before="0" w:after="0"/>
        <w:jc w:val="center"/>
        <w:rPr>
          <w:rFonts w:ascii="Times New Roman" w:hAnsi="Times New Roman"/>
          <w:b/>
          <w:sz w:val="17"/>
        </w:rPr>
      </w:pPr>
      <w:r>
        <w:rPr>
          <w:rFonts w:ascii="Times New Roman" w:hAnsi="Times New Roman"/>
          <w:b/>
          <w:sz w:val="17"/>
        </w:rPr>
        <w:t xml:space="preserve">490 Arsenal Way </w:t>
      </w:r>
    </w:p>
    <w:p>
      <w:pPr>
        <w:pStyle w:val="TextBody"/>
        <w:bidi w:val="0"/>
        <w:spacing w:before="0" w:after="0"/>
        <w:jc w:val="center"/>
        <w:rPr>
          <w:rFonts w:ascii="Times New Roman" w:hAnsi="Times New Roman"/>
          <w:b/>
          <w:sz w:val="17"/>
        </w:rPr>
      </w:pPr>
      <w:r>
        <w:rPr>
          <w:rFonts w:ascii="Times New Roman" w:hAnsi="Times New Roman"/>
          <w:b/>
          <w:sz w:val="17"/>
        </w:rPr>
        <w:t xml:space="preserve">Suite 210 </w:t>
      </w:r>
    </w:p>
    <w:p>
      <w:pPr>
        <w:pStyle w:val="TextBody"/>
        <w:bidi w:val="0"/>
        <w:spacing w:before="0" w:after="0"/>
        <w:jc w:val="center"/>
        <w:rPr>
          <w:rFonts w:ascii="Times New Roman" w:hAnsi="Times New Roman"/>
          <w:b/>
          <w:sz w:val="17"/>
        </w:rPr>
      </w:pPr>
      <w:r>
        <w:rPr>
          <w:rFonts w:ascii="Times New Roman" w:hAnsi="Times New Roman"/>
          <w:b/>
          <w:sz w:val="17"/>
        </w:rPr>
        <w:t xml:space="preserve">Watertown, MA 02472 (339) 666-3320 </w:t>
      </w:r>
    </w:p>
    <w:p>
      <w:pPr>
        <w:pStyle w:val="TextBody"/>
        <w:bidi w:val="0"/>
        <w:spacing w:before="0" w:after="0"/>
        <w:jc w:val="center"/>
        <w:rPr>
          <w:rFonts w:ascii="Times New Roman" w:hAnsi="Times New Roman"/>
          <w:b/>
          <w:sz w:val="17"/>
        </w:rPr>
      </w:pPr>
      <w:r>
        <w:rPr>
          <w:rFonts w:ascii="Times New Roman" w:hAnsi="Times New Roman"/>
          <w:b/>
          <w:sz w:val="17"/>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40" w:after="0"/>
        <w:jc w:val="center"/>
        <w:rPr>
          <w:rFonts w:ascii="Times New Roman" w:hAnsi="Times New Roman"/>
          <w:b/>
          <w:sz w:val="17"/>
        </w:rPr>
      </w:pPr>
      <w:r>
        <w:rPr>
          <w:rFonts w:ascii="Times New Roman" w:hAnsi="Times New Roman"/>
          <w:b/>
          <w:sz w:val="17"/>
        </w:rPr>
        <w:t xml:space="preserve">Divakar S. Gupta </w:t>
      </w:r>
    </w:p>
    <w:p>
      <w:pPr>
        <w:pStyle w:val="TextBody"/>
        <w:bidi w:val="0"/>
        <w:spacing w:before="0" w:after="0"/>
        <w:jc w:val="center"/>
        <w:rPr>
          <w:rFonts w:ascii="Times New Roman" w:hAnsi="Times New Roman"/>
          <w:b/>
          <w:sz w:val="17"/>
        </w:rPr>
      </w:pPr>
      <w:r>
        <w:rPr>
          <w:rFonts w:ascii="Times New Roman" w:hAnsi="Times New Roman"/>
          <w:b/>
          <w:sz w:val="17"/>
        </w:rPr>
        <w:t xml:space="preserve">Brandon Fenn </w:t>
      </w:r>
    </w:p>
    <w:p>
      <w:pPr>
        <w:pStyle w:val="TextBody"/>
        <w:bidi w:val="0"/>
        <w:spacing w:before="0" w:after="0"/>
        <w:jc w:val="center"/>
        <w:rPr>
          <w:rFonts w:ascii="Times New Roman" w:hAnsi="Times New Roman"/>
          <w:b/>
          <w:sz w:val="17"/>
        </w:rPr>
      </w:pPr>
      <w:r>
        <w:rPr>
          <w:rFonts w:ascii="Times New Roman" w:hAnsi="Times New Roman"/>
          <w:b/>
          <w:sz w:val="17"/>
        </w:rPr>
        <w:t xml:space="preserve">Minkyu Park </w:t>
      </w:r>
    </w:p>
    <w:p>
      <w:pPr>
        <w:pStyle w:val="TextBody"/>
        <w:bidi w:val="0"/>
        <w:spacing w:before="0" w:after="0"/>
        <w:jc w:val="center"/>
        <w:rPr>
          <w:rFonts w:ascii="Times New Roman" w:hAnsi="Times New Roman"/>
          <w:b/>
          <w:sz w:val="17"/>
        </w:rPr>
      </w:pPr>
      <w:r>
        <w:rPr>
          <w:rFonts w:ascii="Times New Roman" w:hAnsi="Times New Roman"/>
          <w:b/>
          <w:sz w:val="17"/>
        </w:rPr>
        <w:t xml:space="preserve">Cooley LLP </w:t>
      </w:r>
    </w:p>
    <w:p>
      <w:pPr>
        <w:pStyle w:val="TextBody"/>
        <w:bidi w:val="0"/>
        <w:spacing w:before="0" w:after="0"/>
        <w:jc w:val="center"/>
        <w:rPr>
          <w:rFonts w:ascii="Times New Roman" w:hAnsi="Times New Roman"/>
          <w:b/>
          <w:sz w:val="17"/>
        </w:rPr>
      </w:pPr>
      <w:r>
        <w:rPr>
          <w:rFonts w:ascii="Times New Roman" w:hAnsi="Times New Roman"/>
          <w:b/>
          <w:sz w:val="17"/>
        </w:rPr>
        <w:t xml:space="preserve">55 Hudson Yards </w:t>
      </w:r>
    </w:p>
    <w:p>
      <w:pPr>
        <w:pStyle w:val="TextBody"/>
        <w:bidi w:val="0"/>
        <w:spacing w:before="0" w:after="0"/>
        <w:jc w:val="center"/>
        <w:rPr>
          <w:rFonts w:ascii="Times New Roman" w:hAnsi="Times New Roman"/>
          <w:b/>
          <w:sz w:val="17"/>
        </w:rPr>
      </w:pPr>
      <w:r>
        <w:rPr>
          <w:rFonts w:ascii="Times New Roman" w:hAnsi="Times New Roman"/>
          <w:b/>
          <w:sz w:val="17"/>
        </w:rPr>
        <w:t xml:space="preserve">New York, New York 10001 </w:t>
      </w:r>
    </w:p>
    <w:p>
      <w:pPr>
        <w:pStyle w:val="TextBody"/>
        <w:bidi w:val="0"/>
        <w:spacing w:before="0" w:after="0"/>
        <w:jc w:val="center"/>
        <w:rPr>
          <w:rFonts w:ascii="Times New Roman" w:hAnsi="Times New Roman"/>
          <w:b/>
          <w:sz w:val="17"/>
        </w:rPr>
      </w:pPr>
      <w:r>
        <w:rPr>
          <w:rFonts w:ascii="Times New Roman" w:hAnsi="Times New Roman"/>
          <w:b/>
          <w:sz w:val="17"/>
        </w:rPr>
        <w:t xml:space="preserve">(212) 479-6000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7"/>
        </w:rPr>
      </w:pPr>
      <w:r>
        <w:rPr>
          <w:rFonts w:ascii="Times New Roman" w:hAnsi="Times New Roman"/>
          <w:b/>
          <w:sz w:val="17"/>
        </w:rPr>
        <w:t xml:space="preserve">Approximate Date of Commencement of Proposed Sale to the Public: </w:t>
      </w:r>
      <w:r>
        <w:rPr>
          <w:rFonts w:ascii="Times New Roman" w:hAnsi="Times New Roman"/>
          <w:sz w:val="17"/>
        </w:rPr>
        <w:t xml:space="preserve">From time to time after the effective date of this registration statement. </w:t>
      </w:r>
    </w:p>
    <w:p>
      <w:pPr>
        <w:pStyle w:val="TextBody"/>
        <w:bidi w:val="0"/>
        <w:spacing w:before="8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2025, Tectonic Therapeutic, Inc., a Delaware corporation (the Company), filed a Registration Statement on Form S-1, which was subsequently declared effective by the Securities and Exchange Commission (the SEC) on April 2, 2025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to the Registration Statement is being filed by the Registrant to (i) convert the Registration Statement into a registration statement on Form S-3 (the Post-Effective Amendment) and (ii) update certain information regarding the securities being offered pursuant to the prospectus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filing amends the Registration Statement and the prospectus contained therein. No additional securities are being registered under this Post-Effective Amendment. All applicable registration fees were paid at the time of the original filing of the Registration Statement.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SUBJECT TO COMPLETION, DATED JULY 7,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716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810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3,689,465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3,689,465 shares of common stock, par value $0.0001 per share, of Tectonic Therapeutic,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the Securities Purchase Agreement among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(Nasdaq) under the symbol TECX. On July 3, 2025, the closing price for our common stock, as reported on Nasdaq, was $21.34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See the section entitled </w:t>
      </w:r>
      <w:hyperlink w:anchor="tx939190_5">
        <w:r>
          <w:rPr>
            <w:rStyle w:val="InternetLink"/>
            <w:rFonts w:ascii="Times New Roman" w:hAnsi="Times New Roman"/>
            <w:b/>
            <w:sz w:val="24"/>
          </w:rPr>
          <w:t>Risk Factors</w:t>
        </w:r>
      </w:hyperlink>
      <w:r>
        <w:rPr>
          <w:rFonts w:ascii="Times New Roman" w:hAnsi="Times New Roman"/>
          <w:b/>
          <w:sz w:val="24"/>
        </w:rPr>
        <w:t xml:space="preserve"> beginning on page 7 of this prospectus to read about factors you should consider before buying our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93919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9">
              <w:r>
                <w:rPr>
                  <w:rStyle w:val="InternetLink"/>
                  <w:rFonts w:ascii="Times New Roman" w:hAnsi="Times New Roman"/>
                  <w:sz w:val="20"/>
                </w:rPr>
                <w:t>MATERIAL UNITED STATES FEDERAL INCOME TAX CONSIDERATIONS TO NON-U.S. HOLDERS OF OUR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939190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93919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3,689,465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Tectonic Therapeutic, Inc., a Delaware corporation, and its consolidated subsidiaries (including Tectonic Operating Company, Inc., previously Tectonic Therapeutic, Inc., referred to as Legacy Tectonic).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939190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 may, might, plan, possible, potential, predict, project, should, will, would and similar expressions or negative of these terms may identify forward- 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 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any accompanying prospectus supplement if any,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939190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or incorporated by reference in this prospectus, and does not contain all of the information that you should consider in making your investment decision. Before investing in our securities, you should carefully read this entire prospectus, including the risks of investing in our securities under the section titled Risk Factors contained in this prospectus and any applicable prospectus supplement, and under similar headings in the other documents that are incorporated by reference in this prospectus. You should also carefully read the information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 which is assessing the acute hemodynamic effects of TX45 in subjects with Group 2 PH-HrpEF enrolled its first patient in the first half of 2025 with data expected to be announced in the second half of 2025. 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 enabling studies. demonstrated a favorable PK/PD relationship. Renal plasma flow was measured in each patient at several time points as a PD marker. This data was used to develop an exposure-response model which enabled the selection of doses for the APEX Phase 2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Heart Failure with reduced Ejection Fraction (PH-HFrEF). APEX is a 24-week, placebo-controlled trial designed to evaluate the safety and efficacy of TX45 administered subcutaneously (SC) in subjects with PH-HFpEF.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 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 which is assessing the acute hemodynamic effects of TX45 in subjects with Group 2 PH-HFrEF enrolled its first patient in the first half of 2025 with data expected to be announced in the second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Securities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3, 2025, we entered into a Securities Purchase Agreement (the Purchase Agreement) with certain accredited investors (the selling stockholders), pursuant to which we issued and sold 3,689,465 shares (the Shares) of our common stock, $0.0001 par value per share, at a price of $50.00 per Share to certain institutional accredited investors and $54.14 per Share to individual accredited investors that are either an officer or director of the Company (the Private Placement). Our total gross proceeds from the sale of the Shares in the Private Placement were approximately $185.0 million. The closing of the Private Placement occurred on February 5, 2025.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Registration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Private Placement, we entered into a registration rights agreement (the Registration Rights Agreement) with the selling stockholders, pursuant to which we agreed to register the Shares for resale. Under the Registration Rights Agreement, we agreed, among other things, to prepare and file with the SEC a registration statement on Form S-1 to register for resale the Shares within 54 calendar days of the closing of the Private Placement, and to use reasonable best efforts to have the registration statement declared effective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earliest possible date, but in any event no later than the earlier of (a) the 90th calendar day following the initial filing date or (b) the fifth business day after the date we are notified (orally or in writing, whichever is earlier) by the SEC that the registration statement will not be reviewed or will not be subject to further review. We also agreed to use reasonable best efforts to keep such registration statement effective until the earlier of the date the Shares covered by such registration statement have been sold or may be resold pursuant to Rule 144 without restriction. We agreed to be responsible for all fees and expenses incurred in connection with the registration of the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939190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Tectonic Therapeutic,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Stockholders </w:t>
            </w:r>
          </w:p>
        </w:tc>
        <w:tc>
          <w:tcPr>
            <w:tcW w:w="6329" w:type="dxa"/>
            <w:tcBorders/>
          </w:tcPr>
          <w:p>
            <w:pPr>
              <w:pStyle w:val="TableContents"/>
              <w:bidi w:val="0"/>
              <w:spacing w:before="0" w:after="283"/>
              <w:jc w:val="left"/>
              <w:rPr/>
            </w:pPr>
            <w:r>
              <w:rPr/>
              <w:t xml:space="preserve">Up to an aggregate of 3,689,465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w:t>
            </w:r>
          </w:p>
        </w:tc>
        <w:tc>
          <w:tcPr>
            <w:tcW w:w="6328" w:type="dxa"/>
            <w:tcBorders/>
          </w:tcPr>
          <w:p>
            <w:pPr>
              <w:pStyle w:val="TableContents"/>
              <w:bidi w:val="0"/>
              <w:spacing w:before="0" w:after="283"/>
              <w:jc w:val="left"/>
              <w:rPr/>
            </w:pPr>
            <w:r>
              <w:rPr/>
              <w:t xml:space="preserve">18,671,229 shares of common stock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7" w:type="dxa"/>
            <w:tcBorders/>
          </w:tcPr>
          <w:p>
            <w:pPr>
              <w:pStyle w:val="TableContents"/>
              <w:bidi w:val="0"/>
              <w:spacing w:before="0" w:after="283"/>
              <w:jc w:val="left"/>
              <w:rPr/>
            </w:pPr>
            <w:r>
              <w:rPr/>
              <w:t xml:space="preserve">TECX.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read the Risk Factors section of this prospectus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beginning on page 19.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issued and outstanding shares of common stock as of March 31, 2025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1,791,232 shares of common stock issuable upon the exercise of outstanding stock options at a weighted average exercise price of $19.32 under our 2019 and 2024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31,891 shares of common stock issuable upon the exercise of outstanding options at a weighted average exercise price of $40.80 under the AVROBIO, Inc. 2018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181,987 shares of common stock issuable upon the settlement of outstanding restricted stock units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1,227,159 shares of common stock reserved for future issuance under our 2024 Equity Incentive Plan as of March 31,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295,906 shares of common stock reserved for future issuance under our 2024 Employee Stock Purchase Plan as of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939190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risks. Before you make a decision to buy our securities, in addition to the risks and uncertainties discussed above under </w:t>
      </w:r>
      <w:r>
        <w:rPr>
          <w:rFonts w:ascii="Times New Roman" w:hAnsi="Times New Roman"/>
          <w:i/>
          <w:sz w:val="20"/>
        </w:rPr>
        <w:t>Cautionary Note Regarding Forward-Looking Statements</w:t>
      </w:r>
      <w:r>
        <w:rPr>
          <w:rFonts w:ascii="Times New Roman" w:hAnsi="Times New Roman"/>
          <w:sz w:val="20"/>
        </w:rPr>
        <w:t xml:space="preserve">,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Additional risks and uncertainties not presently known to us or that we currently believe to be immaterial may become material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93919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939190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The shares of common stock being offering by the selling stockholders consist of the Shares issued to the selling stockholders in the Private Placement. For additional information regarding the issuance of the Shares in connection with the Private Placement, see the section </w:t>
      </w:r>
      <w:r>
        <w:rPr>
          <w:rFonts w:ascii="Times New Roman" w:hAnsi="Times New Roman"/>
          <w:i/>
          <w:sz w:val="20"/>
        </w:rPr>
        <w:t>Prospectus SummaryPrivate Placement</w:t>
      </w:r>
      <w:r>
        <w:rPr>
          <w:rFonts w:ascii="Times New Roman" w:hAnsi="Times New Roman"/>
          <w:sz w:val="20"/>
        </w:rPr>
        <w:t xml:space="preserve"> above. We are registering the resale of the Shares issued to the selling stockholders in order to permit such selling stockholders to offer the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stockholders and other information regarding their ownership of the Shares offered hereby. The second column lists the number of shares of common stock beneficially owned by the selling stockholders as of February 28, 2025.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18,662,672 shares of common stock outstanding as of February 28,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5"/>
        <w:gridCol w:w="204"/>
        <w:gridCol w:w="126"/>
        <w:gridCol w:w="2084"/>
        <w:gridCol w:w="60"/>
        <w:gridCol w:w="204"/>
        <w:gridCol w:w="166"/>
        <w:gridCol w:w="2231"/>
        <w:gridCol w:w="60"/>
        <w:gridCol w:w="204"/>
        <w:gridCol w:w="71"/>
        <w:gridCol w:w="1169"/>
        <w:gridCol w:w="71"/>
        <w:gridCol w:w="226"/>
        <w:gridCol w:w="109"/>
        <w:gridCol w:w="1042"/>
        <w:gridCol w:w="283"/>
      </w:tblGrid>
      <w:tr>
        <w:trPr/>
        <w:tc>
          <w:tcPr>
            <w:tcW w:w="189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Before Offering</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 Number of</w:t>
              <w:br/>
              <w:t>Shares Offered</w:t>
              <w:br/>
              <w:t>Pursuant to Prospectus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bottom"/>
          </w:tcPr>
          <w:p>
            <w:pPr>
              <w:pStyle w:val="TableContents"/>
              <w:bidi w:val="0"/>
              <w:spacing w:before="0" w:after="283"/>
              <w:jc w:val="center"/>
              <w:rPr/>
            </w:pPr>
            <w:r>
              <w:rPr>
                <w:b/>
              </w:rPr>
              <w:t>Beneficial Ownership</w:t>
            </w:r>
            <w:r>
              <w:rPr/>
              <w:br/>
            </w:r>
            <w:r>
              <w:rPr>
                <w:b/>
              </w:rPr>
              <w:t>After Offering</w:t>
            </w:r>
          </w:p>
        </w:tc>
        <w:tc>
          <w:tcPr>
            <w:tcW w:w="283" w:type="dxa"/>
            <w:tcBorders/>
            <w:vAlign w:val="bottom"/>
          </w:tcPr>
          <w:p>
            <w:pPr>
              <w:pStyle w:val="TableContents"/>
              <w:bidi w:val="0"/>
              <w:spacing w:before="0" w:after="283"/>
              <w:jc w:val="left"/>
              <w:rPr/>
            </w:pPr>
            <w:r>
              <w:rPr/>
              <w:t> </w:t>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9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Ltd.(1)</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1,401,938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601,938</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3.23</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Fidelity Advisor Series VII: Fidelity Advisor Biotechnology Fund(2)</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245,985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30,544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215,441</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1.15</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Select Portfolios: Biotechnology Portfolio(2)</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442,889</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160,000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282,889</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1.52</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Series Growth Company Fund(2)</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175,705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42,727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132,978</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Growth Company Fund(2)</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651,163</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169,171</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481,922</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2.58</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Fidelity Growth Company Commingled Pool, By: Fidelity Management Trust Company, as Trustee(2)</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1,007,880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234,884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772,996</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4.14</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Growth Company K6 Fund(2)</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241,174</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53,218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187,956</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1.01</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TAS Partners, LLC(3)</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970,223</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660,000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310,223</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1.66</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A. Springer(4)</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5,382,415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129,294</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5,253,121</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28.15</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EcoR1 Capital LLC(5)</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1,024,143</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500,000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524,143</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2.81</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Point 72 Associates, LLC(6)</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Entities associated with Farallon Capital Management L.L.C.(7)</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853,050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140,000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713,050</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3.82</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Baker Bros. Advisors LP(8)</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Woodline Master Fund LP(9)</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330,878</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230,878</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1.24</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Adage Capital Partners, LP(10)</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285,715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185,715</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1.00</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Ally Bridge Medalpha Master Fund L.P.(11)</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117,222</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80,000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37,222</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Citadel CEMF Investments Ltd.(12)</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StemPoint Capital LP(13)</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96,764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60,000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36,764</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Soleus Capital Master Fund(14)</w:t>
            </w:r>
          </w:p>
        </w:tc>
        <w:tc>
          <w:tcPr>
            <w:tcW w:w="20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2084" w:type="dxa"/>
            <w:tcBorders/>
            <w:shd w:fill="CCEEFF" w:val="clear"/>
            <w:vAlign w:val="bottom"/>
          </w:tcPr>
          <w:p>
            <w:pPr>
              <w:pStyle w:val="TableContents"/>
              <w:bidi w:val="0"/>
              <w:spacing w:before="0" w:after="283"/>
              <w:jc w:val="right"/>
              <w:rPr/>
            </w:pPr>
            <w:r>
              <w:rPr/>
              <w:t>76,841</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16,841</w:t>
            </w:r>
          </w:p>
        </w:tc>
        <w:tc>
          <w:tcPr>
            <w:tcW w:w="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20"/>
              </w:rPr>
            </w:pPr>
            <w:r>
              <w:rPr>
                <w:rFonts w:ascii="Times New Roman" w:hAnsi="Times New Roman"/>
                <w:sz w:val="20"/>
              </w:rPr>
              <w:t>Daniel Lochner, M.B.A.(15)</w:t>
            </w:r>
          </w:p>
        </w:tc>
        <w:tc>
          <w:tcPr>
            <w:tcW w:w="20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84" w:type="dxa"/>
            <w:tcBorders/>
            <w:vAlign w:val="bottom"/>
          </w:tcPr>
          <w:p>
            <w:pPr>
              <w:pStyle w:val="TableContents"/>
              <w:bidi w:val="0"/>
              <w:spacing w:before="0" w:after="283"/>
              <w:jc w:val="right"/>
              <w:rPr/>
            </w:pPr>
            <w:r>
              <w:rPr/>
              <w:t>5,986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4,617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1,369</w:t>
            </w:r>
          </w:p>
        </w:tc>
        <w:tc>
          <w:tcPr>
            <w:tcW w:w="7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1,401,938 shares of common stock held by Deep Track Biotechnology Master Fund, Ltd. (Deep Track). David Kroin is the managing member of Deep Track Capital GP, LLC, the General Partner of Deep Track Capital, LP. Deep Track Capital, LP is the Investment Manager of Deep Track Biotechnology Master Fund. Ltd. The address of the above persons and entities is 200 Greenwich Avenue, 3rd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funds and accounts are managed by direct or indirect subsidiaries of FMR LLC. Abigail P. Johnson is a Director, the Chairman and the Chief Executive Officer of FMR LLC. Members of the Johnson family,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970,223 shares of common stock held by TAS. Dr. Springer is the sole managing member of TAS and exercises sole voting and dispositive power over the shares held by TAS. Dr. Springer disclaims beneficial ownership of the shares held by TAS. The principal business address of each of Dr. Springer and TAS is 36 Woodman Road, Newton, MA 02467.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4,226,058 shares of common stock held by Dr. Springer, (ii) 186,134 shares held by Dr. Chafen Lu and (iii) 970,223 shares of common stock held by TAS. Dr. Lu is the spouse of Dr. Springer.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Dr. Lu and TAS is 36 Woodman Road, Newton, MA 02467.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470,000 shares of common stock purchased in the Private Placement by EcoR1 Capital Fund Qualified, L.P. (Qualified Fund); and (ii) 30,000 shares of common stock purchased in the Private Placement by EcoR1 Capital Fund, L.P. (Capital Fund, and together with Qualified Fund, the EcoR1 Capital Funds). EcoR1 Capital LLC (EcoR1) is the general partner of the EcoR1 Capital Funds. Oleg Nodelman is the control person of EcoR1 and may be deemed to share dispositive voting power over the shares held by the EcoR1 Capital Funds. Mr. Nodelman and EcoR1 both disclaim beneficial ownership of all shares except to the extent of their pecuniary interest. The address for EcoR1 Capital LLC, the EcoR1 Capital Funds and Oleg Nodelman is 357 Tehama Street #3, San Francisco, CA 94103.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Management, L.P. and Point72 Capital Advisors, Inc. By reason of the provisions of Rule 13d-3 of the Exchange Act, each of Point72 Asset Management, L.P., Point72 Capital Advisors, Inc., and Mr. Cohen may be deemed to beneficially own the securities directly held by Point72 Associates, LLC that are disclosed in this questionnaire. Each of Point72 Asset Management, L.P., Point72 Capital Advisors, Inc., and Mr. Cohen disclaims beneficial ownership of any such securities. The address of the above person and entities is 72 Cummings Point Road, Stamford, CT 06902.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that are the subject of this resale registration statement are held directly by the Farallon Funds (as defined below), as follows: (i) Farallon Capital Partners, L.P. (FCP) holds 25,592 shares of common stock; (ii) Farallon Capital Institutional Partners, L.P. (FCIP) holds 38,780 shares; (iii) Farallon Capital Institutional Partners II, L.P. (FCIP II) holds 1,036 shares; (iv) Farallon Capital Institutional Partners III, L.P. (FCIP III) holds 3,360 shares; (v) Four Crossings Institutional Partners V, L.P. (FCIP V) holds 4,046 shares; (vi) Farallon Capital Offshore Investors II, L.P. (FCOI II) holds 57,862 shares; (vii) Farallon Capital (AM) Investors, L.P. (FCAMI) holds 3,360 shares; and (viii) Farallon Capital F5 Master I, L.P. (F5MI and, together with FCP, FCIP, FCIP II, FCIP III, FCIP V, FCOI II and FCAMI, the Farallon Funds) holds 5,964 shares. Farallon Partners, L.L.C. (the Farallon General Partner), as the general partner of each of FCP, FCIP, FCIP II, FCIP III, FCOI II and FCAMI and the sole member of the FCIP V General Partner (as defined below), may be deemed a beneficial owner of the Shares held by the Farallon Funds other than F5MI. Farallon Institutional (GP) V, L.L.C. (the FCIP V General Partner), as the general partner of FCIP V, may be deemed a beneficial owner of the Shares held by FCIP V. Farallon F5 (GP), L.L.C. (the F5MI General Partner), as the general partner of F5MI, may be deemed a beneficial owner of the Shares held by F5MI. Each of Joshua J. Dapice, Philip D. Dreyfuss, Hannah E. Dunn, Richard B. Fried, Varun N. Gehani, Nicolas Giauque, David T. Kim, Michael G. Linn, Patrick (Cheng) Luo, Rajiv A. Patel,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any such Shares. The address of each of the entities and individuals referenced in this note is c/o Farallon Capital Management, L.L.C., One Maritime Plaza, Suite 2100, San Francisco, CA 94111.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91,596 shares of common stock held by Baker Brothers Life Sciences, L.P. (Life Sciences) and 8,404 shares of common stock held by 667, L.P (667). Life Sciences and 667 are direct holders under the advisement of Baker Bros. Advisors LP. Baker Bros. Advisors (GP) LLC is the sole general partner of Baker Bros. Advisors LP. Julian C. Baker and Felix. J. Baker are managing members of Baker Bros. Advisors (GP) LLC. The address of the above person and entities is 860 Washington Street,3rd Floor, New York, NY 10014.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330,878 shares of common stock held by Woodline Master Fund LP. Woodline Partners LP (Woodline Partners) serves as the investment manager of Woodline Master Fund LP and may be deemed to be the beneficial owner of the shares. Woodline Partners disclaims any beneficial ownership of these shares. The address of the foregoing entities is 4 Embarcadero Center, Suite 3450, San Francisco, CA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100,000 shares of common stock held by Adage Capital Partners, LP (Adage). 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and may be deemed the beneficial owner of such shares, and each such person or entity, as the case may be, disclaims beneficial ownership of such securities except to the extent of their respective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80,000 shares of common stock held by Ally Bridge Medalpha Master Fund L.P. (MedAlpha). Mr. Fan Yu is the sole shareholder of ABG Management Ltd., which is the sole member of Ally Bridge Group (NY) LLC, which manages investments of MedAlpha. As such, each of the foregoing entities and Mr. Fan Yu may be deemed to share beneficial ownership of the shares held by MedAlpha. Each of them disclaims any such beneficial ownership. The address of the above person and entities is 430 Park Avenue, 12th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65,000 shares of common stock held by Citadel CEMF Investments Ltd. (Citadel CEMF). Citadel Advisors LLC (Citadel Advisors) is the portfolio manager of Citadel CEMF. Citadel Advisors Holdings LP (CAH) is the sole member of Citadel Advisors and Citadel GP LLC (CGP) is the general partner of CAH. Kenneth Griffin owns a controlling interest in CGP. Mr. Griffin, as the owner of a controlling interest in CGP, may be deemed to have shared power to vote, or to direct the vote of, and/or shared power to dispose of, or to direct the disposition over, the 65,000 shares held by Citadel CEMF. This disclosure is not and shall not be construed as an admission that Mr. Griffin or any of the Citadel-related entities listed above is the beneficial owner of any securities of the Company other than the securities actually owned by such person (if any). The address of Citadel CEMF is c/o Citadel Enterprise Americas LLC, Southeast Financial Center, 200 S. Biscayne Blvd., Suite 3300, Miami, FL 33131.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60,000 shares of common stock held by StemPoint Capital LP (StemPoint). Michelle Ross is the sole managing member of StemPoint and exercises sole voting and dispositive power over the securities beneficially owned by StemPoint. Ms. Ross disclaims beneficial ownership of the shares held by StemPoint. The address of the above person and entity is 520 Madison Avenue, 19th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60,000 shares of common stock held by Soleus Capital Master Fund (Soleus Master Fund). Soleus Capital, LLC is the sole general partner of Soleus Master Fund, Soleus Capital Group, LLC (SCG) is the sole managing member of Soleus Capital, LLC, Soleus Capital Management, L.P. (SCM) is the investment manager of Soleus Master Fund, Soleus GP, LLC is the general partner of SCM, and Guy Levy is the sole managing member of each of SCG and of Soleus GP, LLC. Each of Soleus Capital, LLC, SCG, SCM, Soleus GP, LLC and Mr. Levy disclaims beneficial ownership of the shares held by Soleus Master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Fund except to the extent of their pecuniary interest therein. The address of the above persons is 104 Field Point Road, 2nd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5,986 shares of common stock held by Mr. Lochner. Mr. Lochner exercises sole voting and dispositive power over the shares held by him. The principal address of Mr. Lochner is 55 Iris Avenue, Boulder, CO 80304.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939190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receive dividends ratably, if any, as may be declared by our Board out of legally available funds, subject to any preferential dividend rights of any our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of our common stock held of record for the election of directors of the Company and on all matters submitted to a vote of the stockholders. The holders of our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not entitled to preemptive, subscription, redemption or conversion rights, and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Provisions of the Companys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the Companys charter and bylaws could have the effect of delaying, deferring or discouraging another party from acquiring control of the Company. These provisions,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the Board.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 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tx939190_9"/>
      <w:bookmarkEnd w:id="11"/>
      <w:r>
        <w:rPr>
          <w:rFonts w:ascii="Times New Roman" w:hAnsi="Times New Roman"/>
          <w:b/>
          <w:sz w:val="20"/>
        </w:rPr>
        <w:t xml:space="preserve">MATERIAL UNITED STATES FEDERAL INCOME TAX CONSIDERATIONS TO NON-U.S. </w:t>
      </w:r>
    </w:p>
    <w:p>
      <w:pPr>
        <w:pStyle w:val="TextBody"/>
        <w:bidi w:val="0"/>
        <w:spacing w:before="0" w:after="0"/>
        <w:jc w:val="center"/>
        <w:rPr>
          <w:rFonts w:ascii="Times New Roman" w:hAnsi="Times New Roman"/>
          <w:b/>
          <w:sz w:val="20"/>
        </w:rPr>
      </w:pPr>
      <w:r>
        <w:rPr>
          <w:rFonts w:ascii="Times New Roman" w:hAnsi="Times New Roman"/>
          <w:b/>
          <w:sz w:val="20"/>
        </w:rPr>
        <w:t xml:space="preserve">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and certain electing traders in securities who mark their securities positions to market for U.S.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long-term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corporations organized outside of the United States, any state thereof or the District of Columbia that are nonetheless treated as U.S. income taxpayers for U.S.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conversion transaction, synthetic security,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the federal Medicare contribution tax on net investment income or the special tax accounting rules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our common stock through the exercise of an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pass-through entities or arrangements, and investors in such pass-through entities or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Non-U.S. Holders are urged to consult their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i/>
          <w:sz w:val="20"/>
        </w:rPr>
        <w:t>Distributions</w:t>
      </w:r>
      <w:r>
        <w:rPr>
          <w:rFonts w:ascii="Times New Roman" w:hAnsi="Times New Roman"/>
          <w:sz w:val="20"/>
        </w:rPr>
        <w:t xml:space="preserve">. Distributions, if any, made on our common stock to a Non-U.S. Holder to the extent made out of our current or accumulated 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We and other applicable withholding agents are not required to withhold tax on dividends paid to a Non-U.S. Holder that are effectively connected with the Non-U.S. Holders conduct of a trade or business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United States (and, if required by an applicable income tax treaty, are attributable to a permanent establishment or fixed base that it maintains in the United States) if a properly executed IRS Form W-8ECI, stating that the dividends are 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 </w:t>
      </w:r>
    </w:p>
    <w:p>
      <w:pPr>
        <w:pStyle w:val="TextBody"/>
        <w:bidi w:val="0"/>
        <w:spacing w:before="240" w:after="0"/>
        <w:jc w:val="left"/>
        <w:rPr>
          <w:rFonts w:ascii="Times New Roman" w:hAnsi="Times New Roman"/>
          <w:sz w:val="20"/>
        </w:rPr>
      </w:pPr>
      <w:r>
        <w:rPr>
          <w:rFonts w:ascii="Times New Roman" w:hAnsi="Times New Roman"/>
          <w:i/>
          <w:sz w:val="20"/>
        </w:rPr>
        <w:t>Gain on Disposition of Our Common Stock</w:t>
      </w:r>
      <w:r>
        <w:rPr>
          <w:rFonts w:ascii="Times New Roman" w:hAnsi="Times New Roman"/>
          <w:sz w:val="20"/>
        </w:rPr>
        <w:t xml:space="preserve">. Subject to the discussions below regarding backup withholding and foreign accounts, a Non-U.S. Holder generally will not be subject to U.S. federal income tax with respect to gain realized on a sale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permanent establishment or fixed base that such Non-U.S. Holder maintains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and is present in the United States for 183 or more days in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or USRPHC, within the meaning of Code Section 897(c)(2) at any time within the shorter of the five-year period preceding such disposition and such Non-U.S. Holders holding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 </w:t>
      </w:r>
    </w:p>
    <w:p>
      <w:pPr>
        <w:pStyle w:val="TextBody"/>
        <w:bidi w:val="0"/>
        <w:spacing w:before="240" w:after="0"/>
        <w:jc w:val="left"/>
        <w:rPr>
          <w:rFonts w:ascii="Times New Roman" w:hAnsi="Times New Roman"/>
          <w:sz w:val="20"/>
        </w:rPr>
      </w:pPr>
      <w:r>
        <w:rPr>
          <w:rFonts w:ascii="Times New Roman" w:hAnsi="Times New Roman"/>
          <w:sz w:val="20"/>
        </w:rPr>
        <w:t xml:space="preserve">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i/>
          <w:sz w:val="20"/>
        </w:rPr>
        <w:t xml:space="preserve">Information Reporting Requirements and Backup Withholding. </w:t>
      </w:r>
      <w:r>
        <w:rPr>
          <w:rFonts w:ascii="Times New Roman" w:hAnsi="Times New Roman"/>
          <w:sz w:val="20"/>
        </w:rPr>
        <w:t xml:space="preserve">Generally, we or an applicable withholding agent will be required to report information to the IRS with respect to any distributions we pay on our common stock (even if the payments are exempt from withholding), including the amount of any such distributions,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name and address of the recipient, and the amount, if any, of tax withheld. A similar report is sent to the Non-U.S.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to a Non-U.S. Holder that are classified as dividends paid by us may also be subject to U.S. backup withholding currently at a rate of 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Foreign Accounts</w:t>
      </w:r>
      <w:r>
        <w:rPr>
          <w:rFonts w:ascii="Times New Roman" w:hAnsi="Times New Roman"/>
          <w:sz w:val="20"/>
        </w:rPr>
        <w:t xml:space="preserve">. Sections 1471 through 1474 of the Code and the related Treasury regulations, together with other U.S. Treasury and IRS guidance issued thereunder and intergovernmental agreements, legislation, 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EACH PROSPECTIVE INVESTOR SHOULD CONSULT ITS OWN TAX ADVISOR REGARDING THE TAX CONSEQUENCES OF PURCHASING, HOLDING AND DISPOSING OF OUR COMMON STOCK, INCLUDING THE CONSEQUENCES OF ANY CHANGES IN APPLICABLE LAW SUBSEQUENT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939190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therein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shares of common stock owned by them and, if they default in the performance of their secured obligations, the pledgees or secured parties may offer and sell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covered by this prospectus pursuant to Rule 144 or pursuant to the registration statement of which this prospectus constitutes a part, and (ii) the date on which the securities covered by the registration statement of which this prospectus constitutes a part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939190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by this prospectus has been passed upon for us by Cooley LLP, New York, New York. </w:t>
      </w:r>
    </w:p>
    <w:p>
      <w:pPr>
        <w:pStyle w:val="TextBody"/>
        <w:bidi w:val="0"/>
        <w:spacing w:before="480" w:after="0"/>
        <w:jc w:val="center"/>
        <w:rPr>
          <w:rFonts w:ascii="Times New Roman" w:hAnsi="Times New Roman"/>
          <w:b/>
          <w:sz w:val="20"/>
        </w:rPr>
      </w:pPr>
      <w:bookmarkStart w:id="14" w:name="tx939190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Therapeutic, Inc. as of December 31, 2024 and 2023, and for the years then ended, incorporated by reference in this prospectus, have been audited by Deloitte &amp; Touche LLP, an independent registered public accounting firm, as stated in their report. Such financial statements are incorporated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5" w:name="tx939190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39190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20, 2025 and the information specifically incorporated by reference into our Annual Report on Form 10-K for the year ended December  31, 2024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quarterly period ended March 31, 2025, filed with the SEC on May 8,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6">
              <w:r>
                <w:rPr>
                  <w:rStyle w:val="InternetLink"/>
                  <w:rFonts w:ascii="Times New Roman" w:hAnsi="Times New Roman"/>
                  <w:sz w:val="20"/>
                </w:rPr>
                <w:t>January  30, 2025</w:t>
              </w:r>
            </w:hyperlink>
            <w:r>
              <w:rPr>
                <w:rFonts w:ascii="Times New Roman" w:hAnsi="Times New Roman"/>
                <w:sz w:val="20"/>
              </w:rPr>
              <w:t xml:space="preserve">, </w:t>
            </w:r>
            <w:hyperlink r:id="rId7">
              <w:r>
                <w:rPr>
                  <w:rStyle w:val="InternetLink"/>
                  <w:rFonts w:ascii="Times New Roman" w:hAnsi="Times New Roman"/>
                  <w:sz w:val="20"/>
                </w:rPr>
                <w:t>February  3, 2025</w:t>
              </w:r>
            </w:hyperlink>
            <w:r>
              <w:rPr>
                <w:rFonts w:ascii="Times New Roman" w:hAnsi="Times New Roman"/>
                <w:sz w:val="20"/>
              </w:rPr>
              <w:t xml:space="preserve">, </w:t>
            </w:r>
            <w:hyperlink r:id="rId8">
              <w:r>
                <w:rPr>
                  <w:rStyle w:val="InternetLink"/>
                  <w:rFonts w:ascii="Times New Roman" w:hAnsi="Times New Roman"/>
                  <w:sz w:val="20"/>
                </w:rPr>
                <w:t>May  19, 2025</w:t>
              </w:r>
            </w:hyperlink>
            <w:r>
              <w:rPr>
                <w:rFonts w:ascii="Times New Roman" w:hAnsi="Times New Roman"/>
                <w:sz w:val="20"/>
              </w:rPr>
              <w:t xml:space="preserve"> and </w:t>
            </w:r>
            <w:hyperlink r:id="rId9">
              <w:r>
                <w:rPr>
                  <w:rStyle w:val="InternetLink"/>
                  <w:rFonts w:ascii="Times New Roman" w:hAnsi="Times New Roman"/>
                  <w:sz w:val="20"/>
                </w:rPr>
                <w:t>June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filed with the SEC on March 20,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or by telephoning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center"/>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center"/>
        <w:rPr>
          <w:rFonts w:ascii="Times New Roman" w:hAnsi="Times New Roman"/>
          <w:sz w:val="20"/>
        </w:rPr>
      </w:pPr>
      <w:r>
        <w:rPr>
          <w:rFonts w:ascii="Times New Roman" w:hAnsi="Times New Roman"/>
          <w:sz w:val="20"/>
        </w:rPr>
        <w:t xml:space="preserve">Watertown, Massachusetts 02472 </w:t>
      </w:r>
    </w:p>
    <w:p>
      <w:pPr>
        <w:pStyle w:val="TextBody"/>
        <w:bidi w:val="0"/>
        <w:spacing w:before="0" w:after="0"/>
        <w:jc w:val="center"/>
        <w:rPr>
          <w:rFonts w:ascii="Times New Roman" w:hAnsi="Times New Roman"/>
          <w:sz w:val="20"/>
        </w:rPr>
      </w:pPr>
      <w:r>
        <w:rPr>
          <w:rFonts w:ascii="Times New Roman" w:hAnsi="Times New Roman"/>
          <w:sz w:val="20"/>
        </w:rPr>
        <w:t xml:space="preserve">(339) 666-3320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9700" cy="39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409700" cy="393700"/>
                    </a:xfrm>
                    <a:prstGeom prst="rect">
                      <a:avLst/>
                    </a:prstGeom>
                  </pic:spPr>
                </pic:pic>
              </a:graphicData>
            </a:graphic>
          </wp:inline>
        </w:drawing>
      </w:r>
      <w:r>
        <w:rPr/>
        <w:t xml:space="preserve"> </w:t>
      </w:r>
    </w:p>
    <w:p>
      <w:pPr>
        <w:pStyle w:val="TextBody"/>
        <w:bidi w:val="0"/>
        <w:spacing w:before="2000" w:after="0"/>
        <w:jc w:val="center"/>
        <w:rPr>
          <w:rFonts w:ascii="Times New Roman" w:hAnsi="Times New Roman"/>
          <w:b/>
          <w:sz w:val="28"/>
        </w:rPr>
      </w:pPr>
      <w:r>
        <w:rPr>
          <w:rFonts w:ascii="Times New Roman" w:hAnsi="Times New Roman"/>
          <w:b/>
          <w:sz w:val="28"/>
        </w:rPr>
        <w:t xml:space="preserve">Up to 3,689,465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pPr>
      <w:r>
        <w:rPr/>
        <w:t>    </w:t>
      </w:r>
      <w:r>
        <w:rPr>
          <w:rFonts w:ascii="Times New Roman" w:hAnsi="Times New Roman"/>
          <w:b/>
          <w:sz w:val="20"/>
        </w:rPr>
        <w:t>, 2025</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7"/>
        <w:gridCol w:w="443"/>
        <w:gridCol w:w="155"/>
        <w:gridCol w:w="1140"/>
        <w:gridCol w:w="204"/>
      </w:tblGrid>
      <w:tr>
        <w:trPr/>
        <w:tc>
          <w:tcPr>
            <w:tcW w:w="4997"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997"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12,037.11</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5,000.00</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5,000.00</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10,000.00</w:t>
            </w:r>
          </w:p>
        </w:tc>
        <w:tc>
          <w:tcPr>
            <w:tcW w:w="204" w:type="dxa"/>
            <w:tcBorders/>
            <w:vAlign w:val="bottom"/>
          </w:tcPr>
          <w:p>
            <w:pPr>
              <w:pStyle w:val="TableContents"/>
              <w:bidi w:val="0"/>
              <w:spacing w:before="0" w:after="283"/>
              <w:jc w:val="left"/>
              <w:rPr/>
            </w:pPr>
            <w:r>
              <w:rPr/>
              <w:t> </w:t>
            </w:r>
          </w:p>
        </w:tc>
      </w:tr>
      <w:tr>
        <w:trPr/>
        <w:tc>
          <w:tcPr>
            <w:tcW w:w="499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32,037.11</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paid.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that covers certain liabilities of our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we agreed not to amend, modify or repeal provisions in the Fourth Amended and Restated Certificate of Incorporation and the Amended and Restated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9"/>
        <w:gridCol w:w="253"/>
        <w:gridCol w:w="4076"/>
        <w:gridCol w:w="145"/>
        <w:gridCol w:w="594"/>
        <w:gridCol w:w="145"/>
        <w:gridCol w:w="1159"/>
        <w:gridCol w:w="145"/>
        <w:gridCol w:w="739"/>
        <w:gridCol w:w="145"/>
        <w:gridCol w:w="868"/>
        <w:gridCol w:w="145"/>
        <w:gridCol w:w="912"/>
      </w:tblGrid>
      <w:tr>
        <w:trPr/>
        <w:tc>
          <w:tcPr>
            <w:tcW w:w="879"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87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0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852" w:type="dxa"/>
            <w:gridSpan w:val="9"/>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Incorporation by Reference</w:t>
            </w:r>
          </w:p>
        </w:tc>
      </w:tr>
      <w:tr>
        <w:trPr/>
        <w:tc>
          <w:tcPr>
            <w:tcW w:w="87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3" w:type="dxa"/>
            <w:tcBorders/>
            <w:vAlign w:val="bottom"/>
          </w:tcPr>
          <w:p>
            <w:pPr>
              <w:pStyle w:val="TableContents"/>
              <w:bidi w:val="0"/>
              <w:spacing w:before="0" w:after="283"/>
              <w:jc w:val="left"/>
              <w:rPr/>
            </w:pPr>
            <w:r>
              <w:rPr/>
              <w:t>  </w:t>
            </w:r>
          </w:p>
        </w:tc>
        <w:tc>
          <w:tcPr>
            <w:tcW w:w="40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5"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Form</w:t>
            </w:r>
          </w:p>
        </w:tc>
        <w:tc>
          <w:tcPr>
            <w:tcW w:w="145" w:type="dxa"/>
            <w:tcBorders/>
            <w:vAlign w:val="bottom"/>
          </w:tcPr>
          <w:p>
            <w:pPr>
              <w:pStyle w:val="TableContents"/>
              <w:bidi w:val="0"/>
              <w:spacing w:before="0" w:after="283"/>
              <w:jc w:val="left"/>
              <w:rPr/>
            </w:pPr>
            <w:r>
              <w:rPr/>
              <w:t>  </w:t>
            </w:r>
          </w:p>
        </w:tc>
        <w:tc>
          <w:tcPr>
            <w:tcW w:w="11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145" w:type="dxa"/>
            <w:tcBorders/>
            <w:vAlign w:val="bottom"/>
          </w:tcPr>
          <w:p>
            <w:pPr>
              <w:pStyle w:val="TableContents"/>
              <w:bidi w:val="0"/>
              <w:spacing w:before="0" w:after="283"/>
              <w:jc w:val="left"/>
              <w:rPr/>
            </w:pPr>
            <w:r>
              <w:rPr/>
              <w:t>  </w:t>
            </w:r>
          </w:p>
        </w:tc>
        <w:tc>
          <w:tcPr>
            <w:tcW w:w="7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w:t>
            </w:r>
          </w:p>
        </w:tc>
        <w:tc>
          <w:tcPr>
            <w:tcW w:w="145" w:type="dxa"/>
            <w:tcBorders/>
            <w:vAlign w:val="bottom"/>
          </w:tcPr>
          <w:p>
            <w:pPr>
              <w:pStyle w:val="TableContents"/>
              <w:bidi w:val="0"/>
              <w:spacing w:before="0" w:after="283"/>
              <w:jc w:val="left"/>
              <w:rPr/>
            </w:pPr>
            <w:r>
              <w:rPr/>
              <w:t>  </w:t>
            </w:r>
          </w:p>
        </w:tc>
        <w:tc>
          <w:tcPr>
            <w:tcW w:w="8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Filing Date</w:t>
            </w:r>
          </w:p>
        </w:tc>
        <w:tc>
          <w:tcPr>
            <w:tcW w:w="145" w:type="dxa"/>
            <w:tcBorders/>
            <w:vAlign w:val="bottom"/>
          </w:tcPr>
          <w:p>
            <w:pPr>
              <w:pStyle w:val="TableContents"/>
              <w:bidi w:val="0"/>
              <w:spacing w:before="0" w:after="283"/>
              <w:jc w:val="left"/>
              <w:rPr/>
            </w:pPr>
            <w:r>
              <w:rPr/>
              <w:t>  </w:t>
            </w:r>
          </w:p>
        </w:tc>
        <w:tc>
          <w:tcPr>
            <w:tcW w:w="9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Filed</w:t>
              <w:br/>
              <w:t>Herewith</w:t>
            </w:r>
          </w:p>
        </w:tc>
      </w:tr>
      <w:tr>
        <w:trPr/>
        <w:tc>
          <w:tcPr>
            <w:tcW w:w="879" w:type="dxa"/>
            <w:tcBorders/>
          </w:tcPr>
          <w:p>
            <w:pPr>
              <w:pStyle w:val="TableContents"/>
              <w:bidi w:val="0"/>
              <w:spacing w:before="0" w:after="283"/>
              <w:jc w:val="left"/>
              <w:rPr/>
            </w:pPr>
            <w:r>
              <w:rPr/>
              <w:t> </w:t>
            </w:r>
            <w:r>
              <w:rPr/>
              <w:t>2.1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2">
              <w:r>
                <w:rPr>
                  <w:rStyle w:val="InternetLink"/>
                </w:rPr>
                <w:t xml:space="preserve">Agreement and Plan of Merger and Reorganization, dated as of January  30, 2024, by and among AVROBIO, Inc., Alpine Merger Subsidiary, Inc. and Tectonic Therapeutic, Inc.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2.1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1/30/2024</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3.2</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3">
              <w:r>
                <w:rPr>
                  <w:rStyle w:val="InternetLink"/>
                </w:rPr>
                <w:t xml:space="preserve">Fourth Amended and Restated Certificate of Incorporation of the Company, as amended through June 20, 2024.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10-Q</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3.1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8/14/2024</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3.3</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4">
              <w:r>
                <w:rPr>
                  <w:rStyle w:val="InternetLink"/>
                </w:rPr>
                <w:t xml:space="preserve">Amended and Restated Bylaws, as currently in effect.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3.2</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6/25/2018</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5">
              <w:r>
                <w:rPr>
                  <w:rStyle w:val="InternetLink"/>
                </w:rPr>
                <w:t xml:space="preserve">Description of Capital Stock.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10-K</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4.1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3/20/2025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5.1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6">
              <w:r>
                <w:rPr>
                  <w:rStyle w:val="InternetLink"/>
                </w:rPr>
                <w:t xml:space="preserve">Opinion of Cooley LLP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S-1</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333-286133</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5.1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3/26/2025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10.1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7">
              <w:r>
                <w:rPr>
                  <w:rStyle w:val="InternetLink"/>
                </w:rPr>
                <w:t xml:space="preserve">Form of Securities Purchase Agreement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10.1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2/3/2025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10.2</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8">
              <w:r>
                <w:rPr>
                  <w:rStyle w:val="InternetLink"/>
                </w:rPr>
                <w:t xml:space="preserve">Form of Registration Rights Agreement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8-K</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001-38537</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10.2</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2/3/2025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23.1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w:anchor="d939190dex231.htm">
              <w:r>
                <w:rPr>
                  <w:rStyle w:val="InternetLink"/>
                </w:rPr>
                <w:t xml:space="preserve">Consent of Deloitte &amp; Touche LLP, independent registered public accounting firm of Tectonic Therapeutic, Inc.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right"/>
              <w:rPr/>
            </w:pPr>
            <w:r>
              <w:rPr/>
              <w:t>X</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23.2</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19">
              <w:r>
                <w:rPr>
                  <w:rStyle w:val="InternetLink"/>
                </w:rPr>
                <w:t xml:space="preserve">Consent of Cooley LLP (included in Exhibit 5.1).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S-1</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333-286133</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5.1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3/26/2025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24.1</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"http://www.sec.gov/Archives/edgar/data/../../../ix?doc=/Archives/edgar/data/1681087/000119312525064163/d863285ds1.htm" \l "sig"</w:instrText>
            </w:r>
            <w:r>
              <w:rPr>
                <w:rStyle w:val="InternetLink"/>
              </w:rPr>
              <w:fldChar w:fldCharType="separate"/>
            </w:r>
            <w:r>
              <w:rPr>
                <w:rStyle w:val="InternetLink"/>
              </w:rPr>
              <w:t xml:space="preserve">Power of Attorney (included on signature page). </w:t>
            </w:r>
            <w:r>
              <w:rPr>
                <w:rStyle w:val="InternetLink"/>
              </w:rPr>
              <w:fldChar w:fldCharType="end"/>
            </w:r>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S-1</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333-286133</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24.1</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3/26/2025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4329" w:type="dxa"/>
            <w:gridSpan w:val="2"/>
            <w:tcBorders/>
            <w:vAlign w:val="center"/>
          </w:tcPr>
          <w:p>
            <w:pPr>
              <w:pStyle w:val="TableContents"/>
              <w:bidi w:val="0"/>
              <w:spacing w:before="0" w:after="283"/>
              <w:jc w:val="left"/>
              <w:rPr>
                <w:sz w:val="4"/>
                <w:szCs w:val="4"/>
              </w:rPr>
            </w:pPr>
            <w:r>
              <w:rPr>
                <w:sz w:val="4"/>
                <w:szCs w:val="4"/>
              </w:rPr>
            </w:r>
          </w:p>
        </w:tc>
        <w:tc>
          <w:tcPr>
            <w:tcW w:w="739" w:type="dxa"/>
            <w:gridSpan w:val="2"/>
            <w:tcBorders/>
            <w:vAlign w:val="center"/>
          </w:tcPr>
          <w:p>
            <w:pPr>
              <w:pStyle w:val="TableContents"/>
              <w:bidi w:val="0"/>
              <w:spacing w:before="0" w:after="283"/>
              <w:jc w:val="left"/>
              <w:rPr>
                <w:sz w:val="4"/>
                <w:szCs w:val="4"/>
              </w:rPr>
            </w:pPr>
            <w:r>
              <w:rPr>
                <w:sz w:val="4"/>
                <w:szCs w:val="4"/>
              </w:rPr>
            </w:r>
          </w:p>
        </w:tc>
        <w:tc>
          <w:tcPr>
            <w:tcW w:w="1304" w:type="dxa"/>
            <w:gridSpan w:val="2"/>
            <w:tcBorders/>
            <w:vAlign w:val="center"/>
          </w:tcPr>
          <w:p>
            <w:pPr>
              <w:pStyle w:val="TableContents"/>
              <w:bidi w:val="0"/>
              <w:spacing w:before="0" w:after="283"/>
              <w:jc w:val="left"/>
              <w:rPr>
                <w:sz w:val="4"/>
                <w:szCs w:val="4"/>
              </w:rPr>
            </w:pPr>
            <w:r>
              <w:rPr>
                <w:sz w:val="4"/>
                <w:szCs w:val="4"/>
              </w:rPr>
            </w:r>
          </w:p>
        </w:tc>
        <w:tc>
          <w:tcPr>
            <w:tcW w:w="884" w:type="dxa"/>
            <w:gridSpan w:val="2"/>
            <w:tcBorders/>
            <w:vAlign w:val="center"/>
          </w:tcPr>
          <w:p>
            <w:pPr>
              <w:pStyle w:val="TableContents"/>
              <w:bidi w:val="0"/>
              <w:spacing w:before="0" w:after="283"/>
              <w:jc w:val="left"/>
              <w:rPr>
                <w:sz w:val="4"/>
                <w:szCs w:val="4"/>
              </w:rPr>
            </w:pPr>
            <w:r>
              <w:rPr>
                <w:sz w:val="4"/>
                <w:szCs w:val="4"/>
              </w:rPr>
            </w:r>
          </w:p>
        </w:tc>
        <w:tc>
          <w:tcPr>
            <w:tcW w:w="1013" w:type="dxa"/>
            <w:gridSpan w:val="2"/>
            <w:tcBorders/>
            <w:vAlign w:val="center"/>
          </w:tcPr>
          <w:p>
            <w:pPr>
              <w:pStyle w:val="TableContents"/>
              <w:bidi w:val="0"/>
              <w:spacing w:before="0" w:after="283"/>
              <w:jc w:val="left"/>
              <w:rPr>
                <w:sz w:val="4"/>
                <w:szCs w:val="4"/>
              </w:rPr>
            </w:pPr>
            <w:r>
              <w:rPr>
                <w:sz w:val="4"/>
                <w:szCs w:val="4"/>
              </w:rPr>
            </w:r>
          </w:p>
        </w:tc>
        <w:tc>
          <w:tcPr>
            <w:tcW w:w="1057"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107</w:t>
            </w:r>
          </w:p>
        </w:tc>
        <w:tc>
          <w:tcPr>
            <w:tcW w:w="253" w:type="dxa"/>
            <w:tcBorders/>
            <w:vAlign w:val="bottom"/>
          </w:tcPr>
          <w:p>
            <w:pPr>
              <w:pStyle w:val="TableContents"/>
              <w:bidi w:val="0"/>
              <w:spacing w:before="0" w:after="283"/>
              <w:jc w:val="left"/>
              <w:rPr/>
            </w:pPr>
            <w:r>
              <w:rPr/>
              <w:t>  </w:t>
            </w:r>
          </w:p>
        </w:tc>
        <w:tc>
          <w:tcPr>
            <w:tcW w:w="4076" w:type="dxa"/>
            <w:tcBorders/>
          </w:tcPr>
          <w:p>
            <w:pPr>
              <w:pStyle w:val="TableContents"/>
              <w:bidi w:val="0"/>
              <w:spacing w:before="0" w:after="283"/>
              <w:jc w:val="left"/>
              <w:rPr/>
            </w:pPr>
            <w:hyperlink r:id="rId20">
              <w:r>
                <w:rPr>
                  <w:rStyle w:val="InternetLink"/>
                </w:rPr>
                <w:t xml:space="preserve">Filing Fee Table </w:t>
              </w:r>
            </w:hyperlink>
          </w:p>
        </w:tc>
        <w:tc>
          <w:tcPr>
            <w:tcW w:w="145"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center"/>
              <w:rPr/>
            </w:pPr>
            <w:r>
              <w:rPr/>
              <w:t>S-1</w:t>
            </w:r>
          </w:p>
        </w:tc>
        <w:tc>
          <w:tcPr>
            <w:tcW w:w="145" w:type="dxa"/>
            <w:tcBorders/>
            <w:vAlign w:val="bottom"/>
          </w:tcPr>
          <w:p>
            <w:pPr>
              <w:pStyle w:val="TableContents"/>
              <w:bidi w:val="0"/>
              <w:spacing w:before="0" w:after="283"/>
              <w:jc w:val="left"/>
              <w:rPr/>
            </w:pPr>
            <w:r>
              <w:rPr/>
              <w:t>  </w:t>
            </w:r>
          </w:p>
        </w:tc>
        <w:tc>
          <w:tcPr>
            <w:tcW w:w="1159" w:type="dxa"/>
            <w:tcBorders/>
          </w:tcPr>
          <w:p>
            <w:pPr>
              <w:pStyle w:val="TableContents"/>
              <w:bidi w:val="0"/>
              <w:spacing w:before="0" w:after="283"/>
              <w:jc w:val="right"/>
              <w:rPr/>
            </w:pPr>
            <w:r>
              <w:rPr/>
              <w:t>333-286133</w:t>
            </w:r>
          </w:p>
        </w:tc>
        <w:tc>
          <w:tcPr>
            <w:tcW w:w="145" w:type="dxa"/>
            <w:tcBorders/>
            <w:vAlign w:val="bottom"/>
          </w:tcPr>
          <w:p>
            <w:pPr>
              <w:pStyle w:val="TableContents"/>
              <w:bidi w:val="0"/>
              <w:spacing w:before="0" w:after="283"/>
              <w:jc w:val="left"/>
              <w:rPr/>
            </w:pPr>
            <w:r>
              <w:rPr/>
              <w:t>  </w:t>
            </w:r>
          </w:p>
        </w:tc>
        <w:tc>
          <w:tcPr>
            <w:tcW w:w="739" w:type="dxa"/>
            <w:tcBorders/>
          </w:tcPr>
          <w:p>
            <w:pPr>
              <w:pStyle w:val="TableContents"/>
              <w:bidi w:val="0"/>
              <w:spacing w:before="0" w:after="283"/>
              <w:jc w:val="right"/>
              <w:rPr/>
            </w:pPr>
            <w:r>
              <w:rPr/>
              <w:t>107</w:t>
            </w:r>
          </w:p>
        </w:tc>
        <w:tc>
          <w:tcPr>
            <w:tcW w:w="145" w:type="dxa"/>
            <w:tcBorders/>
            <w:vAlign w:val="bottom"/>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3/26/2025</w:t>
            </w:r>
          </w:p>
        </w:tc>
        <w:tc>
          <w:tcPr>
            <w:tcW w:w="145"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Watertown, Commonwealth of Massachusetts, on July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2"/>
        <w:gridCol w:w="60"/>
        <w:gridCol w:w="4000"/>
      </w:tblGrid>
      <w:tr>
        <w:trPr/>
        <w:tc>
          <w:tcPr>
            <w:tcW w:w="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TECTONIC THERAPEUTIC, INC.</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060"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000" w:type="dxa"/>
            <w:tcBorders>
              <w:bottom w:val="single" w:sz="2" w:space="0" w:color="000000"/>
            </w:tcBorders>
            <w:tcMar>
              <w:bottom w:w="28" w:type="dxa"/>
            </w:tcMar>
          </w:tcPr>
          <w:p>
            <w:pPr>
              <w:pStyle w:val="TableContents"/>
              <w:bidi w:val="0"/>
              <w:spacing w:before="0" w:after="283"/>
              <w:jc w:val="left"/>
              <w:rPr/>
            </w:pPr>
            <w:r>
              <w:rPr/>
              <w:t>/s/ Alise Reicin</w:t>
            </w:r>
          </w:p>
        </w:tc>
      </w:tr>
      <w:tr>
        <w:trPr/>
        <w:tc>
          <w:tcPr>
            <w:tcW w:w="2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0" w:type="dxa"/>
            <w:tcBorders/>
            <w:vAlign w:val="bottom"/>
          </w:tcPr>
          <w:p>
            <w:pPr>
              <w:pStyle w:val="TableContents"/>
              <w:bidi w:val="0"/>
              <w:spacing w:before="0" w:after="283"/>
              <w:jc w:val="left"/>
              <w:rPr/>
            </w:pPr>
            <w:r>
              <w:rPr/>
              <w:t>Name: Alise Reicin</w:t>
            </w:r>
          </w:p>
        </w:tc>
      </w:tr>
      <w:tr>
        <w:trPr/>
        <w:tc>
          <w:tcPr>
            <w:tcW w:w="2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0" w:type="dxa"/>
            <w:tcBorders/>
            <w:vAlign w:val="bottom"/>
          </w:tcPr>
          <w:p>
            <w:pPr>
              <w:pStyle w:val="TableContents"/>
              <w:bidi w:val="0"/>
              <w:spacing w:before="0" w:after="283"/>
              <w:jc w:val="left"/>
              <w:rPr/>
            </w:pPr>
            <w:r>
              <w:rPr/>
              <w:t>Title: Chief Executive Officer, President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2"/>
        <w:gridCol w:w="122"/>
        <w:gridCol w:w="3522"/>
        <w:gridCol w:w="201"/>
        <w:gridCol w:w="1888"/>
      </w:tblGrid>
      <w:tr>
        <w:trPr/>
        <w:tc>
          <w:tcPr>
            <w:tcW w:w="44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4472" w:type="dxa"/>
            <w:tcBorders/>
            <w:vAlign w:val="bottom"/>
          </w:tcPr>
          <w:p>
            <w:pPr>
              <w:pStyle w:val="TableContents"/>
              <w:bidi w:val="0"/>
              <w:spacing w:before="0" w:after="283"/>
              <w:jc w:val="center"/>
              <w:rPr>
                <w:b/>
              </w:rPr>
            </w:pPr>
            <w:r>
              <w:rPr>
                <w:b/>
              </w:rPr>
              <w:t>Signature</w:t>
            </w:r>
          </w:p>
        </w:tc>
        <w:tc>
          <w:tcPr>
            <w:tcW w:w="122"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b/>
              </w:rPr>
            </w:pPr>
            <w:r>
              <w:rPr>
                <w:b/>
              </w:rPr>
              <w:t>Date</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Alise Reicin</w:t>
            </w:r>
          </w:p>
          <w:p>
            <w:pPr>
              <w:pStyle w:val="TableContents"/>
              <w:bidi w:val="0"/>
              <w:spacing w:before="0" w:after="20"/>
              <w:jc w:val="left"/>
              <w:rPr>
                <w:rFonts w:ascii="Times New Roman" w:hAnsi="Times New Roman"/>
                <w:sz w:val="20"/>
              </w:rPr>
            </w:pPr>
            <w:r>
              <w:rPr>
                <w:rFonts w:ascii="Times New Roman" w:hAnsi="Times New Roman"/>
                <w:sz w:val="20"/>
              </w:rPr>
              <w:t>Alise Reicin</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 Lochner</w:t>
            </w:r>
          </w:p>
          <w:p>
            <w:pPr>
              <w:pStyle w:val="TableContents"/>
              <w:bidi w:val="0"/>
              <w:spacing w:before="0" w:after="20"/>
              <w:jc w:val="left"/>
              <w:rPr>
                <w:rFonts w:ascii="Times New Roman" w:hAnsi="Times New Roman"/>
                <w:sz w:val="20"/>
              </w:rPr>
            </w:pPr>
            <w:r>
              <w:rPr>
                <w:rFonts w:ascii="Times New Roman" w:hAnsi="Times New Roman"/>
                <w:sz w:val="20"/>
              </w:rPr>
              <w:t>Daniel Lochner</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Terrance McGuire</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Timothy A. Springer</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Phillip B. Donenberg</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6"/>
        <w:gridCol w:w="60"/>
        <w:gridCol w:w="3506"/>
      </w:tblGrid>
      <w:tr>
        <w:trPr/>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6" w:type="dxa"/>
            <w:tcBorders>
              <w:bottom w:val="single" w:sz="2" w:space="0" w:color="000000"/>
            </w:tcBorders>
            <w:tcMar>
              <w:bottom w:w="28" w:type="dxa"/>
            </w:tcMar>
          </w:tcPr>
          <w:p>
            <w:pPr>
              <w:pStyle w:val="TableContents"/>
              <w:bidi w:val="0"/>
              <w:spacing w:before="0" w:after="283"/>
              <w:jc w:val="left"/>
              <w:rPr/>
            </w:pPr>
            <w:r>
              <w:rPr/>
              <w:t>/s/ Daniel Lochner</w:t>
            </w:r>
          </w:p>
        </w:tc>
      </w:tr>
      <w:tr>
        <w:trPr/>
        <w:tc>
          <w:tcPr>
            <w:tcW w:w="5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6" w:type="dxa"/>
            <w:tcBorders/>
            <w:vAlign w:val="bottom"/>
          </w:tcPr>
          <w:p>
            <w:pPr>
              <w:pStyle w:val="TableContents"/>
              <w:bidi w:val="0"/>
              <w:spacing w:before="0" w:after="283"/>
              <w:jc w:val="left"/>
              <w:rPr/>
            </w:pPr>
            <w:r>
              <w:rPr/>
              <w:t>Daniel Lochner</w:t>
            </w:r>
          </w:p>
        </w:tc>
      </w:tr>
      <w:tr>
        <w:trPr/>
        <w:tc>
          <w:tcPr>
            <w:tcW w:w="5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6"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939190dex231.htm"/>
      <w:bookmarkStart w:id="18" w:name="ksd939190dex231"/>
      <w:bookmarkEnd w:id="17"/>
      <w:bookmarkEnd w:id="18"/>
      <w:r>
        <w:rPr>
          <w:rFonts w:ascii="Times New Roman" w:hAnsi="Times New Roman"/>
          <w:b/>
          <w:sz w:val="20"/>
        </w:rPr>
        <w:t xml:space="preserve">Exhibit 23.1 </w:t>
      </w:r>
      <w:r>
        <w:br w:type="page"/>
      </w:r>
    </w:p>
    <w:p>
      <w:pPr>
        <w:pStyle w:val="TextBody"/>
        <w:bidi w:val="0"/>
        <w:spacing w:before="36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20, 2025, relating to the financial statements of Tectonic Therapeutic, Inc., appearing in the Annual Report on Form 10-K of Tectonic Therapeutic, Inc. for the year ended December 31, 2024.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July 7, 2025</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81087/000095017025042648/tecx-20241231.htm" TargetMode="External"/><Relationship Id="rId4" Type="http://schemas.openxmlformats.org/officeDocument/2006/relationships/hyperlink" Target="http://www.sec.gov/Archives/edgar/data/../../../ix?doc=/Archives/edgar/data/1681087/000119312525096764/d949345ddef14a.htm" TargetMode="External"/><Relationship Id="rId5" Type="http://schemas.openxmlformats.org/officeDocument/2006/relationships/hyperlink" Target="http://www.sec.gov/Archives/edgar/data/../../../ix?doc=/Archives/edgar/data/1681087/000095017025067037/tecx-20250331.htm" TargetMode="External"/><Relationship Id="rId6" Type="http://schemas.openxmlformats.org/officeDocument/2006/relationships/hyperlink" Target="http://www.sec.gov/Archives/edgar/data/../../../ix?doc=/Archives/edgar/data/1681087/000119312525016224/d817477d8k.htm" TargetMode="External"/><Relationship Id="rId7" Type="http://schemas.openxmlformats.org/officeDocument/2006/relationships/hyperlink" Target="http://www.sec.gov/Archives/edgar/data/../../../ix?doc=/Archives/edgar/data/1681087/000119312525018840/d843684d8k.htm" TargetMode="External"/><Relationship Id="rId8" Type="http://schemas.openxmlformats.org/officeDocument/2006/relationships/hyperlink" Target="http://www.sec.gov/Archives/edgar/data/../../../ix?doc=/Archives/edgar/data/1681087/000119312525122511/d939029d8k.htm" TargetMode="External"/><Relationship Id="rId9" Type="http://schemas.openxmlformats.org/officeDocument/2006/relationships/hyperlink" Target="http://www.sec.gov/Archives/edgar/data/../../../ix?doc=/Archives/edgar/data/1681087/000119312525137149/d31142d8k.htm" TargetMode="External"/><Relationship Id="rId10" Type="http://schemas.openxmlformats.org/officeDocument/2006/relationships/hyperlink" Target="http://www.sec.gov/Archives/edgar/data/1681087/000095017025042648/tecx-ex4_1.htm" TargetMode="External"/><Relationship Id="rId11" Type="http://schemas.openxmlformats.org/officeDocument/2006/relationships/image" Target="media/image2.jpeg"/><Relationship Id="rId12" Type="http://schemas.openxmlformats.org/officeDocument/2006/relationships/hyperlink" Target="http://www.sec.gov/Archives/edgar/data/1681087/000119312524018812/d221662dex21.htm" TargetMode="External"/><Relationship Id="rId13" Type="http://schemas.openxmlformats.org/officeDocument/2006/relationships/hyperlink" Target="http://www.sec.gov/Archives/edgar/data/1681087/000119312524200609/d878693dex31.htm" TargetMode="External"/><Relationship Id="rId14" Type="http://schemas.openxmlformats.org/officeDocument/2006/relationships/hyperlink" Target="http://www.sec.gov/Archives/edgar/data/1681087/000119312518202460/d153924dex32.htm" TargetMode="External"/><Relationship Id="rId15" Type="http://schemas.openxmlformats.org/officeDocument/2006/relationships/hyperlink" Target="http://www.sec.gov/Archives/edgar/data/1681087/000095017025042648/tecx-ex4_1.htm" TargetMode="External"/><Relationship Id="rId16" Type="http://schemas.openxmlformats.org/officeDocument/2006/relationships/hyperlink" Target="http://www.sec.gov/Archives/edgar/data/1681087/000119312525064163/d863285dex51.htm" TargetMode="External"/><Relationship Id="rId17" Type="http://schemas.openxmlformats.org/officeDocument/2006/relationships/hyperlink" Target="http://www.sec.gov/Archives/edgar/data/1681087/000119312525018840/d843684dex101.htm" TargetMode="External"/><Relationship Id="rId18" Type="http://schemas.openxmlformats.org/officeDocument/2006/relationships/hyperlink" Target="http://www.sec.gov/Archives/edgar/data/1681087/000119312525018840/d843684dex102.htm" TargetMode="External"/><Relationship Id="rId19" Type="http://schemas.openxmlformats.org/officeDocument/2006/relationships/hyperlink" Target="http://www.sec.gov/Archives/edgar/data/1681087/000119312525064163/d863285dex51.htm" TargetMode="External"/><Relationship Id="rId20" Type="http://schemas.openxmlformats.org/officeDocument/2006/relationships/hyperlink" Target="http://www.sec.gov/Archives/edgar/data/1681087/000119312525064163/d863285dexfilingfees.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17648</Words>
  <Characters>91720</Characters>
  <CharactersWithSpaces>109488</CharactersWithSpaces>
  <Paragraphs>1501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