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One Kendall Square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Cambridge, MA 02139</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July 8,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b w:val="1"/>
          <w:bCs w:val="1"/>
          <w:color w:val="auto"/>
        </w:rPr>
        <w:t>AVROBIO,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S-3 filed July 1, 2019 (File No. 333-232489)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spacing w:after="0" w:line="303" w:lineRule="auto"/>
        <w:rPr>
          <w:sz w:val="20"/>
          <w:szCs w:val="20"/>
          <w:color w:val="auto"/>
        </w:rPr>
      </w:pPr>
      <w:r>
        <w:rPr>
          <w:rFonts w:ascii="Arial" w:cs="Arial" w:eastAsia="Arial" w:hAnsi="Arial"/>
          <w:sz w:val="16"/>
          <w:szCs w:val="16"/>
          <w:color w:val="auto"/>
        </w:rPr>
        <w:t>Pursuant to Rule 461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AVROBIO, Inc.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requests that the effective date of the above-referenced registration statement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 accelerated to July 10, 2019, at 4:01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regarding this request, please contact James Xu of Goodwin Procter LLP at (617) 570-1483.</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AVROBIO, INC.</w:t>
      </w:r>
    </w:p>
    <w:p>
      <w:pPr>
        <w:spacing w:after="0" w:line="224"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Geoff MacKay</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Geoff MacKay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4"/>
          <w:szCs w:val="24"/>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Erik Ostrowski, </w:t>
      </w:r>
      <w:r>
        <w:rPr>
          <w:rFonts w:ascii="Arial" w:cs="Arial" w:eastAsia="Arial" w:hAnsi="Arial"/>
          <w:sz w:val="18"/>
          <w:szCs w:val="18"/>
          <w:i w:val="1"/>
          <w:iCs w:val="1"/>
          <w:color w:val="auto"/>
        </w:rPr>
        <w:t>AVROBIO, Inc.</w:t>
      </w:r>
    </w:p>
    <w:p>
      <w:pPr>
        <w:spacing w:after="0" w:line="23" w:lineRule="exact"/>
        <w:rPr>
          <w:rFonts w:ascii="Arial" w:cs="Arial" w:eastAsia="Arial" w:hAnsi="Arial"/>
          <w:sz w:val="18"/>
          <w:szCs w:val="18"/>
          <w:color w:val="auto"/>
        </w:rPr>
      </w:pPr>
    </w:p>
    <w:p>
      <w:pPr>
        <w:ind w:left="440" w:right="69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Arthur R. McGivern, Esq., </w:t>
      </w:r>
      <w:r>
        <w:rPr>
          <w:rFonts w:ascii="Arial" w:cs="Arial" w:eastAsia="Arial" w:hAnsi="Arial"/>
          <w:sz w:val="18"/>
          <w:szCs w:val="18"/>
          <w:i w:val="1"/>
          <w:iCs w:val="1"/>
          <w:color w:val="auto"/>
        </w:rPr>
        <w:t>Goodwin Procter LLP</w:t>
      </w:r>
      <w:r>
        <w:rPr>
          <w:rFonts w:ascii="Arial" w:cs="Arial" w:eastAsia="Arial" w:hAnsi="Arial"/>
          <w:sz w:val="18"/>
          <w:szCs w:val="18"/>
          <w:color w:val="auto"/>
        </w:rPr>
        <w:t xml:space="preserve"> James Xu, Esq., </w:t>
      </w:r>
      <w:r>
        <w:rPr>
          <w:rFonts w:ascii="Arial" w:cs="Arial" w:eastAsia="Arial" w:hAnsi="Arial"/>
          <w:sz w:val="18"/>
          <w:szCs w:val="18"/>
          <w:i w:val="1"/>
          <w:iCs w:val="1"/>
          <w:color w:val="auto"/>
        </w:rPr>
        <w:t>Goodwin Procter LLP</w:t>
      </w:r>
    </w:p>
    <w:sectPr>
      <w:pgSz w:w="11900" w:h="16838" w:orient="portrait"/>
      <w:cols w:equalWidth="0" w:num="1">
        <w:col w:w="10980"/>
      </w:cols>
      <w:pgMar w:left="440" w:top="22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2019-12-20T23:44:06Z</dcterms:created>
  <dcterms:modified xsi:type="dcterms:W3CDTF">2019-12-20T23:44:06Z</dcterms:modified>
</cp:coreProperties>
</file>