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73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736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KREHER NERISSA</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AVROBIO,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AVRO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100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16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620" w:type="dxa"/>
            <w:vAlign w:val="bottom"/>
          </w:tcPr>
          <w:p>
            <w:pPr>
              <w:ind w:left="3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color w:val="0000FF"/>
              </w:rPr>
              <w:t>C/O AVROBIO, INC.</w:t>
            </w:r>
          </w:p>
        </w:tc>
        <w:tc>
          <w:tcPr>
            <w:tcW w:w="162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color w:val="0000FF"/>
              </w:rPr>
              <w:t>10/08/2018</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ONE KENDALL SQUARE, BLDG 300, STE 201</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63"/>
        <w:spacing w:after="0"/>
        <w:rPr>
          <w:sz w:val="20"/>
          <w:szCs w:val="20"/>
          <w:color w:val="auto"/>
        </w:rPr>
      </w:pPr>
      <w:r>
        <w:rPr>
          <w:rFonts w:ascii="Arial" w:cs="Arial" w:eastAsia="Arial" w:hAnsi="Arial"/>
          <w:sz w:val="18"/>
          <w:szCs w:val="18"/>
          <w:color w:val="0000FF"/>
        </w:rPr>
        <w:t>Chief Medical Officer</w:t>
      </w:r>
    </w:p>
    <w:p>
      <w:pPr>
        <w:spacing w:after="0" w:line="406" w:lineRule="exact"/>
        <w:rPr>
          <w:sz w:val="20"/>
          <w:szCs w:val="20"/>
          <w:color w:val="auto"/>
        </w:rPr>
      </w:pPr>
    </w:p>
    <w:p>
      <w:pPr>
        <w:sectPr>
          <w:pgSz w:w="11900" w:h="16838" w:orient="portrait"/>
          <w:cols w:equalWidth="0" w:num="2">
            <w:col w:w="7980" w:space="77"/>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7"/>
          </w:tcPr>
          <w:p>
            <w:pPr>
              <w:jc w:val="center"/>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800" w:type="dxa"/>
            <w:vAlign w:val="bottom"/>
            <w:gridSpan w:val="10"/>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920" w:type="dxa"/>
            <w:vAlign w:val="bottom"/>
            <w:gridSpan w:val="3"/>
          </w:tcPr>
          <w:p>
            <w:pPr>
              <w:ind w:left="900"/>
              <w:spacing w:after="0"/>
              <w:rPr>
                <w:sz w:val="20"/>
                <w:szCs w:val="20"/>
                <w:color w:val="auto"/>
              </w:rPr>
            </w:pPr>
            <w:r>
              <w:rPr>
                <w:rFonts w:ascii="Arial" w:cs="Arial" w:eastAsia="Arial" w:hAnsi="Arial"/>
                <w:sz w:val="18"/>
                <w:szCs w:val="18"/>
                <w:color w:val="0000FF"/>
              </w:rPr>
              <w:t>10/08/2018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0000FF"/>
                <w:w w:val="84"/>
              </w:rPr>
              <w:t>2,942</w:t>
            </w:r>
          </w:p>
        </w:tc>
        <w:tc>
          <w:tcPr>
            <w:tcW w:w="64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0.91</w:t>
            </w:r>
          </w:p>
        </w:tc>
        <w:tc>
          <w:tcPr>
            <w:tcW w:w="1340" w:type="dxa"/>
            <w:vAlign w:val="bottom"/>
            <w:gridSpan w:val="3"/>
          </w:tcPr>
          <w:p>
            <w:pPr>
              <w:ind w:left="500"/>
              <w:spacing w:after="0"/>
              <w:rPr>
                <w:sz w:val="20"/>
                <w:szCs w:val="20"/>
                <w:color w:val="auto"/>
              </w:rPr>
            </w:pPr>
            <w:r>
              <w:rPr>
                <w:rFonts w:ascii="Arial" w:cs="Arial" w:eastAsia="Arial" w:hAnsi="Arial"/>
                <w:sz w:val="18"/>
                <w:szCs w:val="18"/>
                <w:color w:val="0000FF"/>
              </w:rPr>
              <w:t>2,942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0.91</w:t>
            </w:r>
          </w:p>
        </w:tc>
        <w:tc>
          <w:tcPr>
            <w:tcW w:w="1080" w:type="dxa"/>
            <w:vAlign w:val="bottom"/>
          </w:tcPr>
          <w:p>
            <w:pPr>
              <w:ind w:left="260"/>
              <w:spacing w:after="0"/>
              <w:rPr>
                <w:sz w:val="20"/>
                <w:szCs w:val="20"/>
                <w:color w:val="auto"/>
              </w:rPr>
            </w:pPr>
            <w:r>
              <w:rPr>
                <w:rFonts w:ascii="Arial" w:cs="Arial" w:eastAsia="Arial" w:hAnsi="Arial"/>
                <w:sz w:val="14"/>
                <w:szCs w:val="14"/>
                <w:color w:val="0000FF"/>
              </w:rPr>
              <w:t>10/08/2018</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0000FF"/>
              </w:rPr>
              <w:t>M</w:t>
            </w:r>
          </w:p>
        </w:tc>
        <w:tc>
          <w:tcPr>
            <w:tcW w:w="940" w:type="dxa"/>
            <w:vAlign w:val="bottom"/>
          </w:tcPr>
          <w:p>
            <w:pPr>
              <w:ind w:left="500"/>
              <w:spacing w:after="0"/>
              <w:rPr>
                <w:sz w:val="20"/>
                <w:szCs w:val="20"/>
                <w:color w:val="auto"/>
              </w:rPr>
            </w:pPr>
            <w:r>
              <w:rPr>
                <w:rFonts w:ascii="Arial" w:cs="Arial" w:eastAsia="Arial" w:hAnsi="Arial"/>
                <w:sz w:val="14"/>
                <w:szCs w:val="14"/>
                <w:color w:val="0000FF"/>
              </w:rPr>
              <w:t>2,942</w:t>
            </w: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800" w:type="dxa"/>
            <w:vAlign w:val="bottom"/>
            <w:gridSpan w:val="2"/>
          </w:tcPr>
          <w:p>
            <w:pPr>
              <w:ind w:left="60"/>
              <w:spacing w:after="0"/>
              <w:rPr>
                <w:sz w:val="20"/>
                <w:szCs w:val="20"/>
                <w:color w:val="auto"/>
              </w:rPr>
            </w:pPr>
            <w:r>
              <w:rPr>
                <w:rFonts w:ascii="Arial" w:cs="Arial" w:eastAsia="Arial" w:hAnsi="Arial"/>
                <w:sz w:val="14"/>
                <w:szCs w:val="14"/>
                <w:color w:val="0000FF"/>
              </w:rPr>
              <w:t>06/12/2027</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jc w:val="right"/>
              <w:ind w:right="51"/>
              <w:spacing w:after="0" w:line="200" w:lineRule="exact"/>
              <w:rPr>
                <w:sz w:val="20"/>
                <w:szCs w:val="20"/>
                <w:color w:val="auto"/>
              </w:rPr>
            </w:pPr>
            <w:r>
              <w:rPr>
                <w:rFonts w:ascii="Arial" w:cs="Arial" w:eastAsia="Arial" w:hAnsi="Arial"/>
                <w:sz w:val="18"/>
                <w:szCs w:val="18"/>
                <w:color w:val="0000FF"/>
                <w:w w:val="93"/>
              </w:rPr>
              <w:t>2,942</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4"/>
                <w:szCs w:val="14"/>
                <w:color w:val="0000FF"/>
                <w:w w:val="83"/>
              </w:rPr>
              <w:t>24,629</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0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25% of the shares vested on June 13, 2018 and the remaining 75% vest in equal monthly installments thereafter over a three-year period.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540"/>
        <w:spacing w:after="0" w:line="239" w:lineRule="auto"/>
        <w:rPr>
          <w:sz w:val="20"/>
          <w:szCs w:val="20"/>
          <w:color w:val="auto"/>
        </w:rPr>
      </w:pPr>
      <w:r>
        <w:rPr>
          <w:rFonts w:ascii="Arial" w:cs="Arial" w:eastAsia="Arial" w:hAnsi="Arial"/>
          <w:sz w:val="14"/>
          <w:szCs w:val="14"/>
          <w:color w:val="008000"/>
        </w:rPr>
        <w:t>This filing relates to the exercise of options to purchase common stock by the reporting person. No shares were sold by the reporting person, and the shares received upon the exercise of such options are subject to a lock-up agreement with the underwriters for the Company's initial public offering.</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0000FF"/>
                <w:w w:val="87"/>
              </w:rPr>
              <w:t>/s/ Nerissa Kreher</w:t>
            </w:r>
          </w:p>
        </w:tc>
        <w:tc>
          <w:tcPr>
            <w:tcW w:w="8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10/10/2018</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1850"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2019-12-23T15:55:23Z</dcterms:created>
  <dcterms:modified xsi:type="dcterms:W3CDTF">2019-12-23T15:55:23Z</dcterms:modified>
</cp:coreProperties>
</file>