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333-235641</w:t>
      </w:r>
    </w:p>
    <w:p>
      <w:pPr>
        <w:spacing w:after="0" w:line="379"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PROSPECTUS SUPPLEMENT</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(to Prospectus dated January 14, 2020)</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32"/>
          <w:szCs w:val="32"/>
          <w:i w:val="1"/>
          <w:iCs w:val="1"/>
          <w:color w:val="auto"/>
        </w:rPr>
        <w:t>4,350,000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95885</wp:posOffset>
            </wp:positionV>
            <wp:extent cx="1440815"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offering 4,350,000 shares of our common stock, par value $0.0001 per share. Our common stock is listed on The Nasdaq Global Select Market under the symbol “AVRO.” On February 10, 2020, the last reported sale price of our common stock was $26.21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applicable Securities and Exchange Commission rules and will be subject to reduced public company reporting requirements for this prospectus supplement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right="48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Our business and an investment in our common stock involve significant risks. These risks are described under the caption “</w:t>
      </w:r>
      <w:hyperlink w:anchor="page26">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S-24 of this prospectus supplement.</w:t>
      </w:r>
    </w:p>
    <w:p>
      <w:pPr>
        <w:spacing w:after="0" w:line="180" w:lineRule="exact"/>
        <w:rPr>
          <w:sz w:val="24"/>
          <w:szCs w:val="24"/>
          <w:color w:val="auto"/>
        </w:rPr>
      </w:pPr>
    </w:p>
    <w:p>
      <w:pPr>
        <w:ind w:right="60"/>
        <w:spacing w:after="0" w:line="308" w:lineRule="auto"/>
        <w:rPr>
          <w:sz w:val="20"/>
          <w:szCs w:val="20"/>
          <w:color w:val="auto"/>
        </w:rPr>
      </w:pPr>
      <w:r>
        <w:rPr>
          <w:rFonts w:ascii="Arial" w:cs="Arial" w:eastAsia="Arial" w:hAnsi="Arial"/>
          <w:sz w:val="17"/>
          <w:szCs w:val="17"/>
          <w:i w:val="1"/>
          <w:iCs w:val="1"/>
          <w:color w:val="auto"/>
        </w:rPr>
        <w:t>Neither the Securities and Exchange Commission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5900" w:type="dxa"/>
            <w:vAlign w:val="bottom"/>
            <w:vMerge w:val="restart"/>
          </w:tcPr>
          <w:p>
            <w:pPr>
              <w:spacing w:after="0"/>
              <w:rPr>
                <w:sz w:val="20"/>
                <w:szCs w:val="20"/>
                <w:color w:val="auto"/>
              </w:rPr>
            </w:pPr>
            <w:r>
              <w:rPr>
                <w:rFonts w:ascii="Arial" w:cs="Arial" w:eastAsia="Arial" w:hAnsi="Arial"/>
                <w:sz w:val="18"/>
                <w:szCs w:val="18"/>
                <w:i w:val="1"/>
                <w:iCs w:val="1"/>
                <w:color w:val="auto"/>
              </w:rPr>
              <w:t>Public offering price</w:t>
            </w:r>
          </w:p>
        </w:tc>
        <w:tc>
          <w:tcPr>
            <w:tcW w:w="270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8"/>
              </w:rPr>
              <w:t>Per Share</w:t>
            </w:r>
          </w:p>
        </w:tc>
        <w:tc>
          <w:tcPr>
            <w:tcW w:w="5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Total</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900" w:type="dxa"/>
            <w:vAlign w:val="bottom"/>
            <w:vMerge w:val="continue"/>
          </w:tcPr>
          <w:p>
            <w:pPr>
              <w:spacing w:after="0"/>
              <w:rPr>
                <w:sz w:val="16"/>
                <w:szCs w:val="16"/>
                <w:color w:val="auto"/>
              </w:rPr>
            </w:pPr>
          </w:p>
        </w:tc>
        <w:tc>
          <w:tcPr>
            <w:tcW w:w="2840" w:type="dxa"/>
            <w:vAlign w:val="bottom"/>
            <w:gridSpan w:val="2"/>
          </w:tcPr>
          <w:p>
            <w:pPr>
              <w:jc w:val="right"/>
              <w:ind w:right="28"/>
              <w:spacing w:after="0" w:line="195" w:lineRule="exact"/>
              <w:rPr>
                <w:sz w:val="20"/>
                <w:szCs w:val="20"/>
                <w:color w:val="auto"/>
              </w:rPr>
            </w:pPr>
            <w:r>
              <w:rPr>
                <w:rFonts w:ascii="Arial" w:cs="Arial" w:eastAsia="Arial" w:hAnsi="Arial"/>
                <w:sz w:val="18"/>
                <w:szCs w:val="18"/>
                <w:i w:val="1"/>
                <w:iCs w:val="1"/>
                <w:color w:val="auto"/>
              </w:rPr>
              <w:t>$</w:t>
            </w:r>
          </w:p>
        </w:tc>
        <w:tc>
          <w:tcPr>
            <w:tcW w:w="460" w:type="dxa"/>
            <w:vAlign w:val="bottom"/>
          </w:tcPr>
          <w:p>
            <w:pPr>
              <w:jc w:val="right"/>
              <w:spacing w:after="0" w:line="195" w:lineRule="exact"/>
              <w:rPr>
                <w:sz w:val="20"/>
                <w:szCs w:val="20"/>
                <w:color w:val="auto"/>
              </w:rPr>
            </w:pPr>
            <w:r>
              <w:rPr>
                <w:rFonts w:ascii="Arial" w:cs="Arial" w:eastAsia="Arial" w:hAnsi="Arial"/>
                <w:sz w:val="18"/>
                <w:szCs w:val="18"/>
                <w:i w:val="1"/>
                <w:iCs w:val="1"/>
                <w:color w:val="auto"/>
                <w:w w:val="97"/>
              </w:rPr>
              <w:t>23.00</w:t>
            </w:r>
          </w:p>
        </w:tc>
        <w:tc>
          <w:tcPr>
            <w:tcW w:w="5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auto"/>
                <w:w w:val="71"/>
              </w:rPr>
              <w:t>100,050,000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1.38</w:t>
            </w: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i w:val="1"/>
                <w:iCs w:val="1"/>
                <w:color w:val="auto"/>
              </w:rPr>
              <w:t>6,003,000</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21.62</w:t>
            </w: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i w:val="1"/>
                <w:iCs w:val="1"/>
                <w:color w:val="auto"/>
              </w:rPr>
              <w:t>94,047,000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See “Underwriting.”</w:t>
      </w:r>
    </w:p>
    <w:p>
      <w:pPr>
        <w:spacing w:after="0" w:line="225" w:lineRule="exact"/>
        <w:rPr>
          <w:sz w:val="24"/>
          <w:szCs w:val="24"/>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We have granted the underwriters an option for a period of 30 days from the date of this prospectus supplement to purchase up to 652,500 additional shares of our common stock (15% of the shares sold). If the underwriters exercise their option in full, the total underwriting discounts and commissions payable by us will be $6,903,450, and the total proceeds to us, before expenses, will be $108,154,050.</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Delivery of the shares of common stock is expected to be made on or about February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ind w:left="640"/>
              <w:spacing w:after="0"/>
              <w:rPr>
                <w:sz w:val="20"/>
                <w:szCs w:val="20"/>
                <w:color w:val="auto"/>
              </w:rPr>
            </w:pPr>
            <w:r>
              <w:rPr>
                <w:rFonts w:ascii="Arial" w:cs="Arial" w:eastAsia="Arial" w:hAnsi="Arial"/>
                <w:sz w:val="16"/>
                <w:szCs w:val="16"/>
                <w:i w:val="1"/>
                <w:iCs w:val="1"/>
                <w:color w:val="auto"/>
                <w:w w:val="97"/>
              </w:rPr>
              <w:t>MORGAN STANLEY</w:t>
            </w:r>
          </w:p>
        </w:tc>
        <w:tc>
          <w:tcPr>
            <w:tcW w:w="2160" w:type="dxa"/>
            <w:vAlign w:val="bottom"/>
          </w:tcPr>
          <w:p>
            <w:pPr>
              <w:jc w:val="right"/>
              <w:ind w:right="583"/>
              <w:spacing w:after="0"/>
              <w:rPr>
                <w:sz w:val="20"/>
                <w:szCs w:val="20"/>
                <w:color w:val="auto"/>
              </w:rPr>
            </w:pPr>
            <w:r>
              <w:rPr>
                <w:rFonts w:ascii="Arial" w:cs="Arial" w:eastAsia="Arial" w:hAnsi="Arial"/>
                <w:sz w:val="16"/>
                <w:szCs w:val="16"/>
                <w:i w:val="1"/>
                <w:iCs w:val="1"/>
                <w:color w:val="auto"/>
              </w:rPr>
              <w:t>COWEN</w:t>
            </w:r>
          </w:p>
        </w:tc>
        <w:tc>
          <w:tcPr>
            <w:tcW w:w="3360" w:type="dxa"/>
            <w:vAlign w:val="bottom"/>
          </w:tcPr>
          <w:p>
            <w:pPr>
              <w:ind w:left="640"/>
              <w:spacing w:after="0"/>
              <w:rPr>
                <w:sz w:val="20"/>
                <w:szCs w:val="20"/>
                <w:color w:val="auto"/>
              </w:rPr>
            </w:pPr>
            <w:r>
              <w:rPr>
                <w:rFonts w:ascii="Arial" w:cs="Arial" w:eastAsia="Arial" w:hAnsi="Arial"/>
                <w:sz w:val="16"/>
                <w:szCs w:val="16"/>
                <w:i w:val="1"/>
                <w:iCs w:val="1"/>
                <w:color w:val="auto"/>
              </w:rPr>
              <w:t>WELLS FARGO SECURITIES</w:t>
            </w:r>
          </w:p>
        </w:tc>
        <w:tc>
          <w:tcPr>
            <w:tcW w:w="3780" w:type="dxa"/>
            <w:vAlign w:val="bottom"/>
          </w:tcPr>
          <w:p>
            <w:pPr>
              <w:ind w:left="1020"/>
              <w:spacing w:after="0"/>
              <w:rPr>
                <w:sz w:val="20"/>
                <w:szCs w:val="20"/>
                <w:color w:val="auto"/>
              </w:rPr>
            </w:pPr>
            <w:r>
              <w:rPr>
                <w:rFonts w:ascii="Arial" w:cs="Arial" w:eastAsia="Arial" w:hAnsi="Arial"/>
                <w:sz w:val="16"/>
                <w:szCs w:val="16"/>
                <w:i w:val="1"/>
                <w:iCs w:val="1"/>
                <w:color w:val="auto"/>
              </w:rPr>
              <w:t>GUGGENHEIM SECURITIES</w:t>
            </w:r>
          </w:p>
        </w:tc>
      </w:tr>
      <w:tr>
        <w:trPr>
          <w:trHeight w:val="222"/>
        </w:trPr>
        <w:tc>
          <w:tcPr>
            <w:tcW w:w="2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149"/>
        </w:trPr>
        <w:tc>
          <w:tcPr>
            <w:tcW w:w="2120" w:type="dxa"/>
            <w:vAlign w:val="bottom"/>
            <w:shd w:val="clear" w:color="auto" w:fill="CCEEFF"/>
          </w:tcPr>
          <w:p>
            <w:pPr>
              <w:spacing w:after="0"/>
              <w:rPr>
                <w:sz w:val="12"/>
                <w:szCs w:val="12"/>
                <w:color w:val="auto"/>
              </w:rPr>
            </w:pPr>
          </w:p>
        </w:tc>
        <w:tc>
          <w:tcPr>
            <w:tcW w:w="2160" w:type="dxa"/>
            <w:vAlign w:val="bottom"/>
            <w:shd w:val="clear" w:color="auto" w:fill="CCEEFF"/>
          </w:tcPr>
          <w:p>
            <w:pPr>
              <w:jc w:val="right"/>
              <w:ind w:right="583"/>
              <w:spacing w:after="0" w:line="149" w:lineRule="exact"/>
              <w:rPr>
                <w:sz w:val="20"/>
                <w:szCs w:val="20"/>
                <w:color w:val="auto"/>
              </w:rPr>
            </w:pPr>
            <w:r>
              <w:rPr>
                <w:rFonts w:ascii="Arial" w:cs="Arial" w:eastAsia="Arial" w:hAnsi="Arial"/>
                <w:sz w:val="14"/>
                <w:szCs w:val="14"/>
                <w:i w:val="1"/>
                <w:iCs w:val="1"/>
                <w:color w:val="auto"/>
                <w:w w:val="99"/>
              </w:rPr>
              <w:t>WEDBUSH PACGROW</w:t>
            </w:r>
          </w:p>
        </w:tc>
        <w:tc>
          <w:tcPr>
            <w:tcW w:w="3360" w:type="dxa"/>
            <w:vAlign w:val="bottom"/>
            <w:shd w:val="clear" w:color="auto" w:fill="CCEEFF"/>
          </w:tcPr>
          <w:p>
            <w:pPr>
              <w:spacing w:after="0"/>
              <w:rPr>
                <w:sz w:val="12"/>
                <w:szCs w:val="12"/>
                <w:color w:val="auto"/>
              </w:rPr>
            </w:pPr>
          </w:p>
        </w:tc>
        <w:tc>
          <w:tcPr>
            <w:tcW w:w="37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i w:val="1"/>
                <w:iCs w:val="1"/>
                <w:color w:val="auto"/>
              </w:rPr>
              <w:t>NOMURA</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date of this prospectus supplement is February 12, 2020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gridSpan w:val="2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28"/>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REGARDING FORWARD-LOOKING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SUPPLEMENT SUMMARY</w:t>
              </w:r>
            </w:hyperlink>
          </w:p>
        </w:tc>
        <w:tc>
          <w:tcPr>
            <w:tcW w:w="3040" w:type="dxa"/>
            <w:vAlign w:val="bottom"/>
            <w:tcBorders>
              <w:top w:val="single" w:sz="8" w:color="0000EE"/>
            </w:tcBorders>
            <w:gridSpan w:val="4"/>
          </w:tcPr>
          <w:p>
            <w:pPr>
              <w:spacing w:after="0"/>
              <w:rPr>
                <w:sz w:val="17"/>
                <w:szCs w:val="17"/>
                <w:color w:val="auto"/>
              </w:rPr>
            </w:pPr>
          </w:p>
        </w:tc>
        <w:tc>
          <w:tcPr>
            <w:tcW w:w="460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COMPANY OVERVIEW</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RECENT DEVELOPMENTS</w:t>
              </w:r>
            </w:hyperlink>
          </w:p>
        </w:tc>
        <w:tc>
          <w:tcPr>
            <w:tcW w:w="8740" w:type="dxa"/>
            <w:vAlign w:val="bottom"/>
            <w:gridSpan w:val="1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COMPANY INFORMATION</w:t>
              </w:r>
            </w:hyperlink>
          </w:p>
        </w:tc>
        <w:tc>
          <w:tcPr>
            <w:tcW w:w="8760" w:type="dxa"/>
            <w:vAlign w:val="bottom"/>
            <w:gridSpan w:val="1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IMPLICATIONS OF BEING AN EMERGING GROWTH COMPANY</w:t>
              </w:r>
            </w:hyperlink>
          </w:p>
        </w:tc>
        <w:tc>
          <w:tcPr>
            <w:tcW w:w="574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THE OFFERING</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9660" w:type="dxa"/>
            <w:vAlign w:val="bottom"/>
            <w:gridSpan w:val="2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USE OF PROCEEDS</w:t>
              </w:r>
            </w:hyperlink>
          </w:p>
        </w:tc>
        <w:tc>
          <w:tcPr>
            <w:tcW w:w="9340" w:type="dxa"/>
            <w:vAlign w:val="bottom"/>
            <w:gridSpan w:val="1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MARKET FOR COMMON STOCK</w:t>
              </w:r>
            </w:hyperlink>
          </w:p>
        </w:tc>
        <w:tc>
          <w:tcPr>
            <w:tcW w:w="8260" w:type="dxa"/>
            <w:vAlign w:val="bottom"/>
            <w:gridSpan w:val="1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9360" w:type="dxa"/>
            <w:vAlign w:val="bottom"/>
            <w:gridSpan w:val="2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DILUTION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UNDERWRITING</w:t>
              </w:r>
            </w:hyperlink>
          </w:p>
        </w:tc>
        <w:tc>
          <w:tcPr>
            <w:tcW w:w="9540" w:type="dxa"/>
            <w:vAlign w:val="bottom"/>
            <w:gridSpan w:val="2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S-34</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MATERIAL U.S. FEDERAL INCOME TAX CONSIDERATIONS FOR NON-U.S. HOLDERS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S-41</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398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S-45</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9480" w:type="dxa"/>
            <w:vAlign w:val="bottom"/>
            <w:gridSpan w:val="2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S-45</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S-45</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INCORPORATION BY REFERENCE</w:t>
              </w:r>
            </w:hyperlink>
          </w:p>
        </w:tc>
        <w:tc>
          <w:tcPr>
            <w:tcW w:w="712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S-45</w:t>
            </w:r>
          </w:p>
        </w:tc>
        <w:tc>
          <w:tcPr>
            <w:tcW w:w="0" w:type="dxa"/>
            <w:vAlign w:val="bottom"/>
          </w:tcPr>
          <w:p>
            <w:pPr>
              <w:spacing w:after="0"/>
              <w:rPr>
                <w:sz w:val="1"/>
                <w:szCs w:val="1"/>
                <w:color w:val="auto"/>
              </w:rPr>
            </w:pPr>
          </w:p>
        </w:tc>
      </w:tr>
      <w:tr>
        <w:trPr>
          <w:trHeight w:val="669"/>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20" w:type="dxa"/>
            <w:vAlign w:val="bottom"/>
            <w:gridSpan w:val="4"/>
          </w:tcPr>
          <w:p>
            <w:pPr>
              <w:ind w:left="1300"/>
              <w:spacing w:after="0"/>
              <w:rPr>
                <w:sz w:val="20"/>
                <w:szCs w:val="20"/>
                <w:color w:val="auto"/>
              </w:rPr>
            </w:pPr>
            <w:r>
              <w:rPr>
                <w:rFonts w:ascii="Arial" w:cs="Arial" w:eastAsia="Arial" w:hAnsi="Arial"/>
                <w:sz w:val="18"/>
                <w:szCs w:val="18"/>
                <w:b w:val="1"/>
                <w:bCs w:val="1"/>
                <w:color w:val="auto"/>
              </w:rPr>
              <w:t>PROSPECTUS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2240" w:type="dxa"/>
            <w:vAlign w:val="bottom"/>
            <w:tcBorders>
              <w:bottom w:val="single" w:sz="8" w:color="0000EE"/>
            </w:tcBorders>
            <w:gridSpan w:val="15"/>
          </w:tcPr>
          <w:p>
            <w:pPr>
              <w:spacing w:after="0" w:line="190"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ABOUT THIS PROSPECTUS</w:t>
              </w:r>
            </w:hyperlink>
          </w:p>
        </w:tc>
        <w:tc>
          <w:tcPr>
            <w:tcW w:w="8700" w:type="dxa"/>
            <w:vAlign w:val="bottom"/>
            <w:gridSpan w:val="13"/>
          </w:tcPr>
          <w:p>
            <w:pPr>
              <w:spacing w:after="0"/>
              <w:rPr>
                <w:sz w:val="16"/>
                <w:szCs w:val="16"/>
                <w:color w:val="auto"/>
              </w:rPr>
            </w:pPr>
          </w:p>
        </w:tc>
        <w:tc>
          <w:tcPr>
            <w:tcW w:w="4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RISK FACTORS</w:t>
              </w:r>
            </w:hyperlink>
          </w:p>
        </w:tc>
        <w:tc>
          <w:tcPr>
            <w:tcW w:w="9680" w:type="dxa"/>
            <w:vAlign w:val="bottom"/>
            <w:gridSpan w:val="2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CAUTIONARY STATEMENT REGARDING FORWARD-LOOKING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THE COMPANY</w:t>
              </w:r>
            </w:hyperlink>
          </w:p>
        </w:tc>
        <w:tc>
          <w:tcPr>
            <w:tcW w:w="460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0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USE OF PROCEEDS</w:t>
              </w:r>
            </w:hyperlink>
          </w:p>
        </w:tc>
        <w:tc>
          <w:tcPr>
            <w:tcW w:w="9340" w:type="dxa"/>
            <w:vAlign w:val="bottom"/>
            <w:gridSpan w:val="1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SECURITIES WE MAY OFFER</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20" w:type="dxa"/>
            <w:vAlign w:val="bottom"/>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0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DESCRIPTION OF CAPITAL STOCK</w:t>
              </w:r>
            </w:hyperlink>
          </w:p>
        </w:tc>
        <w:tc>
          <w:tcPr>
            <w:tcW w:w="8060" w:type="dxa"/>
            <w:vAlign w:val="bottom"/>
            <w:gridSpan w:val="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DESCRIPTION OF DEBT SECURITIES</w:t>
              </w:r>
            </w:hyperlink>
          </w:p>
        </w:tc>
        <w:tc>
          <w:tcPr>
            <w:tcW w:w="790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DESCRIPTION OF WARRANTS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UNITS</w:t>
              </w:r>
            </w:hyperlink>
          </w:p>
        </w:tc>
        <w:tc>
          <w:tcPr>
            <w:tcW w:w="8460" w:type="dxa"/>
            <w:vAlign w:val="bottom"/>
            <w:gridSpan w:val="1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20" w:type="dxa"/>
            <w:vAlign w:val="bottom"/>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120" w:type="dxa"/>
            <w:vAlign w:val="bottom"/>
            <w:gridSpan w:val="9"/>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PLAN OF DISTRIBUTION</w:t>
              </w:r>
            </w:hyperlink>
          </w:p>
        </w:tc>
        <w:tc>
          <w:tcPr>
            <w:tcW w:w="8880" w:type="dxa"/>
            <w:vAlign w:val="bottom"/>
            <w:gridSpan w:val="1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9480" w:type="dxa"/>
            <w:vAlign w:val="bottom"/>
            <w:gridSpan w:val="2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INCORPORATION BY REFERENCE</w:t>
              </w:r>
            </w:hyperlink>
          </w:p>
        </w:tc>
        <w:tc>
          <w:tcPr>
            <w:tcW w:w="712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AVROBIO, Inc. and other trademarks or service marks of AVROBIO, Inc. appearing in this prospectus supplement and the accompanying prospectus are the property of AVROBIO, Inc. This prospectus supplement and the accompanying prospectus may refer to brand names, trademarks, service marks or trade names of other companies and organizations, and those brand names, trademarks, service marks and trade names are the property of their respective holders.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w:t>
      </w:r>
    </w:p>
    <w:p>
      <w:pPr>
        <w:spacing w:after="0" w:line="16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This prospectus supplement is part of a registration statement that we filed with the Securities and Exchange Commission, or SEC, using a “shelf” registration process. Under the shelf registration process, we may from time to time offer and sell any combination of the securities described in the accompanying prospectus up to a total dollar amount of $250.0 million, of which this offering is a part.</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the accompanying prospectus and any free writing prospectus prepared by us or on our behalf. We have not, and the underwriters have not, authorized any other person to provide you with information different from that contained in this prospectus supplement and the accompanying prospectus or incorporated by reference in this prospectus supplement and the accompanying prospectus. If anyone provides you with different or inconsistent information, you should not rely on it. We are not, and the underwriters are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16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It is important for you to read and consider all of the information contained in this prospectus supplement and the accompanying prospectus in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“Where You Can Find More Information” and “Incorporation by Reference” of this prospectus supplement, before investing in our common stock.</w:t>
      </w:r>
    </w:p>
    <w:p>
      <w:pPr>
        <w:spacing w:after="0" w:line="1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supplement and the accompanying prospectus, including the documents that we incorporate by reference, contain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“target,” “contemplates,” “plans,” “anticipates,” “believes,” “estimates,” “predicts,” “projects,” “potential,” “designed to,”or “continue,”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report, and in particular those factors referenced in the section “Risk Factors.”</w:t>
      </w:r>
    </w:p>
    <w:p>
      <w:pPr>
        <w:spacing w:after="0" w:line="166"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6"/>
          <w:szCs w:val="16"/>
          <w:color w:val="auto"/>
        </w:rPr>
        <w:t>This prospectus supplement and the accompanying prospectus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6" w:lineRule="exact"/>
        <w:rPr>
          <w:sz w:val="20"/>
          <w:szCs w:val="20"/>
          <w:color w:val="auto"/>
        </w:rPr>
      </w:pPr>
    </w:p>
    <w:p>
      <w:pPr>
        <w:ind w:left="1000" w:right="40" w:hanging="546"/>
        <w:spacing w:after="0" w:line="264"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00" w:right="460" w:hanging="546"/>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00" w:right="160" w:hanging="546"/>
        <w:spacing w:after="0" w:line="264"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w:t>
      </w:r>
      <w:r>
        <w:rPr>
          <w:rFonts w:ascii="Arial" w:cs="Arial" w:eastAsia="Arial" w:hAnsi="Arial"/>
          <w:sz w:val="15"/>
          <w:szCs w:val="15"/>
          <w:color w:val="auto"/>
        </w:rPr>
        <w:t>™</w:t>
      </w:r>
      <w:r>
        <w:rPr>
          <w:rFonts w:ascii="Arial" w:cs="Arial" w:eastAsia="Arial" w:hAnsi="Arial"/>
          <w:sz w:val="18"/>
          <w:szCs w:val="18"/>
          <w:color w:val="auto"/>
        </w:rPr>
        <w:t xml:space="preserve"> platform, including our transition to and expected benefits of a proprietary four-plasmid-produced lentiviral vector, or LV2, and our use of busulfan as a conditioning regimen administered through therapeutic drug monitoring, or TDM;</w:t>
      </w:r>
    </w:p>
    <w:p>
      <w:pPr>
        <w:spacing w:after="0" w:line="86"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00" w:right="160" w:hanging="546"/>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scalability, commercial viability and expected benefits of our manufacturing methods and processes, including our use of cryopreservation and implementation of a closed, automated manufacturing system;</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800" w:hanging="546"/>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right="620" w:hanging="546"/>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30" w:lineRule="exact"/>
        <w:rPr>
          <w:rFonts w:ascii="Arial" w:cs="Arial" w:eastAsia="Arial" w:hAnsi="Arial"/>
          <w:sz w:val="18"/>
          <w:szCs w:val="18"/>
          <w:color w:val="auto"/>
        </w:rPr>
      </w:pPr>
    </w:p>
    <w:p>
      <w:pPr>
        <w:ind w:left="1000" w:right="60" w:hanging="546"/>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You should read this prospectus supplement, the accompanying prospectus and the documents that we incorporate by reference herein or therein completely and with the understanding that our actual future results may be materially different from what we expect. The forward-looking statements in this prospectus supplement, the accompanying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52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i w:val="1"/>
          <w:iCs w:val="1"/>
          <w:color w:val="auto"/>
        </w:rPr>
        <w:t>This summary provides an overview of selected information contained elsewhere in this prospectus supplement and the accompanying prospectus and does not contain all of the information you should consider before making your investment decision. Before investing in our common stock, you should carefully read this entire prospectus supplement and the accompanying prospectus and the information incorporated herein and therein by reference, including our financial statements and the related notes included or incorporated by reference into this prospectus supplement and the accompanying prospectus. You should also consider, among other things, the matters described under “Risk Factors” beginning on page S-24 and “Management’s Discussion and Analysis of Financial Condition and Results of Operations” in each case included or incorporated by reference in this prospectus supplement and the accompanying prospectus and the information incorporated herein and therein by reference. As used in this prospectus supplement and the accompanying prospectus, the terms “AVROBIO,” “we,” “our,” “us,” or “the Company” refer to AVROBIO, Inc. and its subsidiaries on a consolidated basis, unless the context otherwise indicates.</w:t>
      </w: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We are a leading clinical-stage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diseases, which today are primarily managed with enzyme replacement therapies, or ERTs. These lysosomal diseases have well-understood biologies, identified patient populations, established standards of care yet with significant unmet needs, and represent large market opportunities with approximately $4.0 billion in worldwide net sales in 2018.</w:t>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AVR-RD-01 for Fabry Disease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2020, we announced clinical data from clinical trials of our investigational gene therapy AVR-RD-01 in Fabry disease. AVR-RD-01 is currently being studied in two ongoing clinical trials. A Phase 1 investigator-sponsored clinical trial of AVR-RD-01 is being conducted by the University Health Network, or UHN, and sponsored by Fabry Disease Clinical Research and Therapeutics, or FACTs, at three centers in Canada. A total of five male patients with Fabry disease who have been previously treated with ERT for at least six months have been enrolled and enrollment is complete. In addition, we are sponsoring a Phase 2 open-label, multinational clinical trial of AVR-RD-01, with expected enrollment of eight to 12 male patients with classic Fabry disease, 16 to 50 years old, who have not been treated with ERT within 10 years prior to enrollment or chaperone therapy at any time. As of February 10, 2020, four patients in Australia have enrolled in this Phase 2 clinical trial, and we currently have the necessary regulatory clearances to expand enrollment to sites in Canada and the United States. We have opened two U.S. sites for our ongoing Phase 2 clinical trial of AVR-RD-01 and are actively recruiting potential patients for our sites in Australia, Canada and the United States.</w:t>
      </w:r>
    </w:p>
    <w:p>
      <w:pPr>
        <w:spacing w:after="0" w:line="18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primary efficacy endpoint of our Phase 2 clinical trial is the change from baseline in the average number of globotriaosylceramide, or Gb3, inclusions per peritubular capillary, or PTC, as measured in a patient kidney biopsy one year (48 weeks) after treatment with AVR-RD-01. In addition to safety, the Phase 2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1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101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Phase 1 clinical trials are also examining additional secondary efficacy endpoints including biomarkers such as plasma lyso-globotriaosylsphingosine, or lyso-Gb3, alpha-galactosidase A, or AGA, enzyme levels measured in plasma and leukocytes, as well as certain parameters of organ function. In addition, vector copy number, or VCN, is being measured in these trials to assess the potential durability of the gene therapy. Safety and tolerability parameters are also being assessed in these trials.</w:t>
      </w:r>
    </w:p>
    <w:p>
      <w:pPr>
        <w:spacing w:after="0" w:line="92" w:lineRule="exact"/>
        <w:rPr>
          <w:sz w:val="20"/>
          <w:szCs w:val="20"/>
          <w:color w:val="auto"/>
        </w:rPr>
      </w:pPr>
    </w:p>
    <w:p>
      <w:pPr>
        <w:ind w:left="1160" w:right="40" w:hanging="531"/>
        <w:spacing w:after="0" w:line="276"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Kidney biopsy / Gb3 PTC reductions. </w:t>
      </w:r>
      <w:r>
        <w:rPr>
          <w:rFonts w:ascii="Arial" w:cs="Arial" w:eastAsia="Arial" w:hAnsi="Arial"/>
          <w:sz w:val="17"/>
          <w:szCs w:val="17"/>
          <w:color w:val="auto"/>
        </w:rPr>
        <w:t>The primary efficacy endpoint of our Phase 2 clinical trial is the change, from baseline to one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post-treatment with AVR-RD-01, in the average number of Gb3 inclusions per PTC, as measured in a patient kidney biopsy. Gb3, also referred to as GL-3, is a type of fatty substrate that builds in the cells of Fabry 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w:t>
      </w:r>
    </w:p>
    <w:p>
      <w:pPr>
        <w:spacing w:after="0" w:line="173"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In July 2019, we announced that the first patient in our Phase 2 clinical trial, who had not previously received ERT, exhibited a reduction from an average of 3.55 Gb3 inclusions per PTC at baseline to an average of 0.47 inclusions per PTC one year after administration of AVR-RD-01, representing an 87% reduction and a numerical decrease of 3.08. The following figure illustrates this decrease in average Gb3 inclusions per PTC for this patient.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Phase 2: Patient 1 exhibited 87% substrate reduction in kidney biopsy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Baseline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last available, non-missing observation prior to AVR-RD-01 infusion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With respect to Fabry disease clinical trials, Gb3 inclusions per PTC is interchangeable with GL-3 inclusions per KIC</w:t>
      </w:r>
    </w:p>
    <w:p>
      <w:pPr>
        <w:spacing w:after="0" w:line="116" w:lineRule="exact"/>
        <w:rPr>
          <w:sz w:val="20"/>
          <w:szCs w:val="20"/>
          <w:color w:val="auto"/>
        </w:rPr>
      </w:pPr>
    </w:p>
    <w:p>
      <w:pPr>
        <w:ind w:left="1160" w:right="220" w:hanging="531"/>
        <w:spacing w:after="0" w:line="312"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Plasma lyso-Gb3 reductions. </w:t>
      </w:r>
      <w:r>
        <w:rPr>
          <w:rFonts w:ascii="Arial" w:cs="Arial" w:eastAsia="Arial" w:hAnsi="Arial"/>
          <w:sz w:val="16"/>
          <w:szCs w:val="16"/>
          <w:color w:val="auto"/>
        </w:rPr>
        <w:t>The substrate, Gb3, and its toxic metabolite, known as lyso-Gb3, are considered surrogate markers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 activity and treatment response for Fabry disease. In the case of ERT-naïve patients and patients who have discontinued ERT, we believe that reductions in Gb3 levels following treatment with gene therapy are likely driven by the therapeutic effect of gene therapy.</w:t>
      </w:r>
    </w:p>
    <w:p>
      <w:pPr>
        <w:spacing w:after="0" w:line="39" w:lineRule="exact"/>
        <w:rPr>
          <w:sz w:val="20"/>
          <w:szCs w:val="20"/>
          <w:color w:val="auto"/>
        </w:rPr>
      </w:pPr>
    </w:p>
    <w:p>
      <w:pPr>
        <w:ind w:left="1180"/>
        <w:spacing w:after="0" w:line="279" w:lineRule="auto"/>
        <w:rPr>
          <w:sz w:val="20"/>
          <w:szCs w:val="20"/>
          <w:color w:val="auto"/>
        </w:rPr>
      </w:pPr>
      <w:r>
        <w:rPr>
          <w:rFonts w:ascii="Arial" w:cs="Arial" w:eastAsia="Arial" w:hAnsi="Arial"/>
          <w:sz w:val="17"/>
          <w:szCs w:val="17"/>
          <w:color w:val="auto"/>
        </w:rPr>
        <w:t>The first patient in our Phase 2 trial had an 87% reduction in plasma lyso-Gb3 as of eighteen months post-treatment with AVR-RD-01, and the third patient had a plasma lyso-Gb3 reduction of 52% as of six months post-treatment with AVR-RD-01. Plasma lyso-Gb3 data are also available for the second patient in the Phase 2 trial, up to twelve months post-treatment with AVR-RD-01. This patient has an N215S genotype, which is associated with a late-onset cardiac variant phenotype and lower plasma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105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105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80"/>
        <w:spacing w:after="0" w:line="257" w:lineRule="auto"/>
        <w:rPr>
          <w:sz w:val="20"/>
          <w:szCs w:val="20"/>
          <w:color w:val="auto"/>
        </w:rPr>
      </w:pPr>
      <w:r>
        <w:rPr>
          <w:rFonts w:ascii="Arial" w:cs="Arial" w:eastAsia="Arial" w:hAnsi="Arial"/>
          <w:sz w:val="18"/>
          <w:szCs w:val="18"/>
          <w:color w:val="auto"/>
        </w:rPr>
        <w:t>lyso-Gb3 levels. This patient’s cardiac variant phenotype does not typically result in Gb3 accumulation in the kidney and skin, and accordingly this patient’s skin and kidney biopsy had low levels of Gb3 and lyso-Gb3 at all measurements, including at baseline. Although we expect that data obtained from this patient will not provide meaningful insight on the efficacy endpoints in our Phase 2 clinical trial, including kidney and skin biopsies, there may be other important insights derived from data collected from this patient in the Phase 2 clinical trial.</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figures below summarize the plasma Gb3 and plasma lyso-Gb3 data observed in the first and third patients from our ongoing Phase 2 clinical trial of AVR-RD-01.</w:t>
      </w:r>
    </w:p>
    <w:p>
      <w:pPr>
        <w:spacing w:after="0" w:line="16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Phase 2: Patient 1 plasma Gb3 and lyso-Gb3 reductions up to 18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color w:val="auto"/>
        </w:rPr>
        <w:t>*</w:t>
      </w:r>
      <w:r>
        <w:rPr>
          <w:rFonts w:ascii="Arial" w:cs="Arial" w:eastAsia="Arial" w:hAnsi="Arial"/>
          <w:sz w:val="18"/>
          <w:szCs w:val="18"/>
          <w:i w:val="1"/>
          <w:iCs w:val="1"/>
          <w:color w:val="auto"/>
        </w:rPr>
        <w:t>Reference Value: 2.4 nM</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†Reference Value: 4961 nM; 6012 nM before August 2018 (until Day 28 for Patient 1)</w:t>
      </w:r>
    </w:p>
    <w:p>
      <w:pPr>
        <w:spacing w:after="0" w:line="20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Phase 2: Patient 3 plasma Gb3 and lyso-Gb3 reductions up to 6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*Reference Value: 2.4 nM</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†Reference Value: 4961 nM</w:t>
      </w:r>
    </w:p>
    <w:p>
      <w:pPr>
        <w:spacing w:after="0" w:line="21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four of the five patients in the Phase 1 clinical trial of AVR-RD-01, we have observed plasma lyso-Gb3 at levels post-treatment that are lower than the levels observed when the patient received only ERT prior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046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046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administration of AVR-RD-01, which we refer to as baseline ERT levels. We define baseline ERT for these Phase 1 patients as the mean of the plasma lyso-Gb3 values reported prior to initiating mobilization. Based on the latest available efficacy data, these four Phase 1 patients exhibited reductions in plasma lyso-Gb3 levels ranging between 26% and 47% compared to their baseline ERT levels. With respect to patient 4, who discontinued ERT six months following administration of AVR-RD-01, we observed an initial decline in plasma lyso-Gb3 levels through six months post-treatment compared to baseline ERT, and a 23% increase in plasma lyso-Gb3 levels at twelve months post-treatment compared to baseline ERT. This patient’s plasma lyso-Gb3 levels remain within the range for the Fabry disease patients on ERT observed in this Phase 1 clinical trial.</w:t>
      </w:r>
    </w:p>
    <w:p>
      <w:pPr>
        <w:spacing w:after="0" w:line="17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The following figure summarizes the plasma lyso-Gb3 data observed in all five patients from the ongoing Phase 1 clinical trial of AVR-RD-01.</w:t>
      </w:r>
    </w:p>
    <w:p>
      <w:pPr>
        <w:spacing w:after="0" w:line="23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Phase 1: Plasma lyso-Gb3 reductions sustained at up to 32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60" w:hanging="531"/>
        <w:spacing w:after="0" w:line="254"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AGA enzyme activity as measured in plasma and leukocytes. </w:t>
      </w:r>
      <w:r>
        <w:rPr>
          <w:rFonts w:ascii="Arial" w:cs="Arial" w:eastAsia="Arial" w:hAnsi="Arial"/>
          <w:sz w:val="18"/>
          <w:szCs w:val="18"/>
          <w:color w:val="auto"/>
        </w:rPr>
        <w:t>We believe, based on years of observations of Fabry patients prescribed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ERT, that even partial plasma AGA activity is associated with improved outcomes in Fabry patients. AGA enzyme activity is able to reduce Gb3 levels in multiple cells and tissues. For our gene therapy, functional AGA is in part produced by the pool of circulating leukocytes derived from genetically-modified CD34+ hematopoietic stem cells, which may directly contribute to clearance of accumulated Gb3 in cells. Functional plasma AGA enters cells and travels to the lysosomes, where it can degrade Gb3. This process is referred to as cross-correction. Genetically-modified leukocytes are the progeny of transduced cells from the gene therapy. As a result, we believe that assessing leukocyte AGA activity provides a potentially improved measure to assess the durability of the gene therapy than plasma AGA enzyme activity alone.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50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504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All eight patients in our Phase 2 and Phase 1 clinical trials for whom data are reported at six months or longer post-treatment with AVR-RD-01 (out of a total of nine patients enrolled to date) have exhibited sustained AGA enzyme activity in both the plasma and leukocytes. The following figures summarize the plasma and leukocyte AGA enzyme activity reported from the ongoing Phase 2 and Phase 1 clinical trials of AVR-RD-01 as of February 10, 2020.</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Phase 2: Patient 1 sustained leukocyte and plasma enzyme activity up to 18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Baseline: </w:t>
      </w:r>
      <w:r>
        <w:rPr>
          <w:rFonts w:ascii="Arial" w:cs="Arial" w:eastAsia="Arial" w:hAnsi="Arial"/>
          <w:sz w:val="18"/>
          <w:szCs w:val="18"/>
          <w:i w:val="1"/>
          <w:iCs w:val="1"/>
          <w:color w:val="auto"/>
        </w:rPr>
        <w:t>The last available, non-missing observation prior to AVR-RD-01 infusion</w:t>
      </w:r>
    </w:p>
    <w:p>
      <w:pPr>
        <w:spacing w:after="0" w:line="23" w:lineRule="exact"/>
        <w:rPr>
          <w:sz w:val="20"/>
          <w:szCs w:val="20"/>
          <w:color w:val="auto"/>
        </w:rPr>
      </w:pPr>
    </w:p>
    <w:p>
      <w:pPr>
        <w:ind w:left="200" w:right="440"/>
        <w:spacing w:after="0" w:line="250" w:lineRule="auto"/>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color w:val="auto"/>
        </w:rPr>
        <w:t>*</w:t>
      </w:r>
      <w:r>
        <w:rPr>
          <w:rFonts w:ascii="Arial" w:cs="Arial" w:eastAsia="Arial" w:hAnsi="Arial"/>
          <w:sz w:val="18"/>
          <w:szCs w:val="18"/>
          <w:i w:val="1"/>
          <w:iCs w:val="1"/>
          <w:color w:val="auto"/>
        </w:rPr>
        <w:t>Lab A: Mayo Clinic Laboratories; Lab B: Rupar Laboratory; Lab A Reference Range: &gt;23.1 nmol/hr/mg; Lab B Reference Range: 24–56</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nmol/hr/mg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1"/>
          <w:szCs w:val="11"/>
          <w:color w:val="auto"/>
        </w:rPr>
        <w:t>†</w:t>
      </w:r>
      <w:r>
        <w:rPr>
          <w:rFonts w:ascii="Arial" w:cs="Arial" w:eastAsia="Arial" w:hAnsi="Arial"/>
          <w:sz w:val="18"/>
          <w:szCs w:val="18"/>
          <w:i w:val="1"/>
          <w:iCs w:val="1"/>
          <w:color w:val="auto"/>
        </w:rPr>
        <w:t>Reference Range: 5.1–9.2 nmol/hr/mL</w:t>
      </w:r>
    </w:p>
    <w:p>
      <w:pPr>
        <w:spacing w:after="0" w:line="20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Phase 2: Patient 2 Sustained leukocyte and plasma enzyme activity up to 1 year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Baseline: </w:t>
      </w:r>
      <w:r>
        <w:rPr>
          <w:rFonts w:ascii="Arial" w:cs="Arial" w:eastAsia="Arial" w:hAnsi="Arial"/>
          <w:sz w:val="18"/>
          <w:szCs w:val="18"/>
          <w:i w:val="1"/>
          <w:iCs w:val="1"/>
          <w:color w:val="auto"/>
        </w:rPr>
        <w:t>The last available, non-missing observation prior to AVR-RD-01 infusion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color w:val="auto"/>
        </w:rPr>
        <w:t>*</w:t>
      </w:r>
      <w:r>
        <w:rPr>
          <w:rFonts w:ascii="Arial" w:cs="Arial" w:eastAsia="Arial" w:hAnsi="Arial"/>
          <w:sz w:val="18"/>
          <w:szCs w:val="18"/>
          <w:i w:val="1"/>
          <w:iCs w:val="1"/>
          <w:color w:val="auto"/>
        </w:rPr>
        <w:t>Data from Rupar Laboratory; Reference Range: 24–56 nmol/hr/mg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1"/>
          <w:szCs w:val="11"/>
          <w:color w:val="auto"/>
        </w:rPr>
        <w:t>†</w:t>
      </w:r>
      <w:r>
        <w:rPr>
          <w:rFonts w:ascii="Arial" w:cs="Arial" w:eastAsia="Arial" w:hAnsi="Arial"/>
          <w:sz w:val="18"/>
          <w:szCs w:val="18"/>
          <w:i w:val="1"/>
          <w:iCs w:val="1"/>
          <w:color w:val="auto"/>
        </w:rPr>
        <w:t>Reference Range: 5.1–9.2 nmol/hr/mL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804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804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Phase 2: Patient 3 leukocyte and plasma enzyme activity trending toward long-term engraftment at 9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Baseline: </w:t>
      </w:r>
      <w:r>
        <w:rPr>
          <w:rFonts w:ascii="Arial" w:cs="Arial" w:eastAsia="Arial" w:hAnsi="Arial"/>
          <w:sz w:val="18"/>
          <w:szCs w:val="18"/>
          <w:i w:val="1"/>
          <w:iCs w:val="1"/>
          <w:color w:val="auto"/>
        </w:rPr>
        <w:t>The last available, non-missing observation prior to AVR-RD-01 infusion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color w:val="auto"/>
        </w:rPr>
        <w:t>*</w:t>
      </w:r>
      <w:r>
        <w:rPr>
          <w:rFonts w:ascii="Arial" w:cs="Arial" w:eastAsia="Arial" w:hAnsi="Arial"/>
          <w:sz w:val="18"/>
          <w:szCs w:val="18"/>
          <w:i w:val="1"/>
          <w:iCs w:val="1"/>
          <w:color w:val="auto"/>
        </w:rPr>
        <w:t>Data from Rupar Laboratory; Reference Range: 24–56 nmol/hr/mg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1"/>
          <w:szCs w:val="11"/>
          <w:color w:val="auto"/>
        </w:rPr>
        <w:t>†</w:t>
      </w:r>
      <w:r>
        <w:rPr>
          <w:rFonts w:ascii="Arial" w:cs="Arial" w:eastAsia="Arial" w:hAnsi="Arial"/>
          <w:sz w:val="18"/>
          <w:szCs w:val="18"/>
          <w:i w:val="1"/>
          <w:iCs w:val="1"/>
          <w:color w:val="auto"/>
        </w:rPr>
        <w:t>Reference Range: 5.1–9.2 nmol/hr/mL</w:t>
      </w:r>
    </w:p>
    <w:p>
      <w:pPr>
        <w:spacing w:after="0" w:line="207"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Phase 1: Leukocyte and plasma enzyme activity sustained up to 32 months post 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Enzyme measurements are taken at ERT troughs where applicable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Dotted line illustrative only</w:t>
      </w:r>
    </w:p>
    <w:p>
      <w:pPr>
        <w:spacing w:after="0" w:line="116" w:lineRule="exact"/>
        <w:rPr>
          <w:sz w:val="20"/>
          <w:szCs w:val="20"/>
          <w:color w:val="auto"/>
        </w:rPr>
      </w:pPr>
    </w:p>
    <w:p>
      <w:pPr>
        <w:ind w:left="1160" w:hanging="531"/>
        <w:spacing w:after="0" w:line="272"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Vector Copy Number. </w:t>
      </w:r>
      <w:r>
        <w:rPr>
          <w:rFonts w:ascii="Arial" w:cs="Arial" w:eastAsia="Arial" w:hAnsi="Arial"/>
          <w:sz w:val="17"/>
          <w:szCs w:val="17"/>
          <w:color w:val="auto"/>
        </w:rPr>
        <w:t>Vector Copy Number, or VCN, which is expressed as VCN per diploid genome, refers to the average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copies of the lentiviral-vector inserted 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may represent 5% to 10% of all nucleated circulating blood cells carrying one to two copies of the inserted gene, which we believe may be sufficient to result in clinically meaningful AGA enzyme activity in the case of Fabry disease, as suggested by our preliminary interim data from our ongoing clinical trials of our investigational gene therapy, AVR-RD-01, in Fabry disease.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35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8356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All eight patients in our Phase 2 and Phase 1 clinical trials for whom data are reported at six months or longer following administration of AVR-RD-01 have exhibited consistent VCN trends, with VCN levels for the first Phase 1 patient stable at over two and a half years post-treatment. The following figures summarize the VCN observations from the ongoing Phase 2 and Phase 1 clinical trials of AVR-RD-01, including the VCN of the drug product with which each patient was dosed.</w:t>
      </w:r>
    </w:p>
    <w:p>
      <w:pPr>
        <w:spacing w:after="0" w:line="1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Phase 2: Patient 1 VCN at 18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Phase 2: Patient 2 VCN at 1 year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7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37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Phase 2: Patient 3 VCN at 6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2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Phase 1: VCN stable at 32 months with consistent trends across all other patients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131" w:lineRule="exact"/>
        <w:rPr>
          <w:sz w:val="20"/>
          <w:szCs w:val="20"/>
          <w:color w:val="auto"/>
        </w:rPr>
      </w:pPr>
    </w:p>
    <w:p>
      <w:pPr>
        <w:ind w:left="1160" w:hanging="531"/>
        <w:spacing w:after="0" w:line="254"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Kidney and cardiac function stability. </w:t>
      </w:r>
      <w:r>
        <w:rPr>
          <w:rFonts w:ascii="Arial" w:cs="Arial" w:eastAsia="Arial" w:hAnsi="Arial"/>
          <w:sz w:val="18"/>
          <w:szCs w:val="18"/>
          <w:color w:val="auto"/>
        </w:rPr>
        <w:t>Secondary endpoints of our Phase 2 trial include measurements of kidney function, as measured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glomerular filtration rate, or eGFR, and measured glomerular filtration rate, or mGFR, as well as measures of cardiac function, as assessed by Left Ventricular Mass Index, or LVMI. eGFR is determined using the Chronic Kidney Disease Epidemiology Collaboration, or CKD-EPI, formula and mGFR is determined using plasma clearance of iohexol. The left ventricular mass, or LVM, is assessed by cardiac magnetic resonance imaging, or cardiac MRI, which is an imaging technology that enables non-invasive assessment of the function and structure of the heart. In general, for a patient with Fabry disease, an increase over time in LVM could potentially be expected. Improving patient outcomes by slowing or halting the progression of organ damage is a key mission of our Company and our investigational gene therapy programs.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815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8152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shown below, interim data-to-date in the first two patients in our Phase 2 trial indicates kidney and cardiac functions have been stable and in the normal range at one year following administration of AVR-RD-01 investigational gene therapy. In the case of the first patient in our Phase 2 clinical trial, a 9.9% reduction in LVM was observed from baseline to one year post-treatment with AVR-RD-01. In the case of the second patient, a 1.7% increase in LVM was observed from baseline to one-year post-treatment. Although assessment of kidney and cardiac function versus baseline is not included in the Phase 1 protocol, data is available for the first patient in the Phase 1 study up to 32 months post-treatment with AVR-RD-01, as shown below.</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Phase 2: Patient 1 kidney and cardiac function stable at 1 year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Source: </w:t>
      </w:r>
      <w:r>
        <w:rPr>
          <w:rFonts w:ascii="Arial" w:cs="Arial" w:eastAsia="Arial" w:hAnsi="Arial"/>
          <w:sz w:val="18"/>
          <w:szCs w:val="18"/>
          <w:i w:val="1"/>
          <w:iCs w:val="1"/>
          <w:color w:val="auto"/>
        </w:rPr>
        <w:t>https://www.kidney.org/atoz/content/gfr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mGFR is measured Glomerular Filtration Rate, eGFR is estimated Glomerular Filtration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24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284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728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Source: </w:t>
      </w:r>
      <w:r>
        <w:rPr>
          <w:rFonts w:ascii="Arial" w:cs="Arial" w:eastAsia="Arial" w:hAnsi="Arial"/>
          <w:sz w:val="18"/>
          <w:szCs w:val="18"/>
          <w:i w:val="1"/>
          <w:iCs w:val="1"/>
          <w:color w:val="auto"/>
        </w:rPr>
        <w:t>Alfakih K et al, J Magn Reson Imaging, 2003</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EF is Ejection Fraction, LVMI is Left Ventricular Mass Index</w:t>
      </w:r>
    </w:p>
    <w:p>
      <w:pPr>
        <w:spacing w:after="0" w:line="207" w:lineRule="exact"/>
        <w:rPr>
          <w:sz w:val="20"/>
          <w:szCs w:val="20"/>
          <w:color w:val="auto"/>
        </w:rPr>
      </w:pPr>
    </w:p>
    <w:p>
      <w:pPr>
        <w:jc w:val="right"/>
        <w:ind w:right="1039"/>
        <w:spacing w:after="0"/>
        <w:rPr>
          <w:sz w:val="20"/>
          <w:szCs w:val="20"/>
          <w:color w:val="auto"/>
        </w:rPr>
      </w:pPr>
      <w:r>
        <w:rPr>
          <w:rFonts w:ascii="Arial" w:cs="Arial" w:eastAsia="Arial" w:hAnsi="Arial"/>
          <w:sz w:val="18"/>
          <w:szCs w:val="18"/>
          <w:b w:val="1"/>
          <w:bCs w:val="1"/>
          <w:color w:val="auto"/>
        </w:rPr>
        <w:t>Phase 2: Patient 2 kidney and cardiac function stable at 1 year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Source: </w:t>
      </w:r>
      <w:r>
        <w:rPr>
          <w:rFonts w:ascii="Arial" w:cs="Arial" w:eastAsia="Arial" w:hAnsi="Arial"/>
          <w:sz w:val="18"/>
          <w:szCs w:val="18"/>
          <w:i w:val="1"/>
          <w:iCs w:val="1"/>
          <w:color w:val="auto"/>
        </w:rPr>
        <w:t>https://www.kidney.org/atoz/content/gfr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mGFR is measured Glomerular Filtration Rate, eGFR is estimated Glomerular Filtration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061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06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Source: </w:t>
      </w:r>
      <w:r>
        <w:rPr>
          <w:rFonts w:ascii="Arial" w:cs="Arial" w:eastAsia="Arial" w:hAnsi="Arial"/>
          <w:sz w:val="18"/>
          <w:szCs w:val="18"/>
          <w:i w:val="1"/>
          <w:iCs w:val="1"/>
          <w:color w:val="auto"/>
        </w:rPr>
        <w:t>Alfakih K et al, J Magn Reson Imaging, 2003</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EF is Ejection Fraction, LVMI is Left Ventricular Mass Index</w:t>
      </w:r>
    </w:p>
    <w:p>
      <w:pPr>
        <w:spacing w:after="0" w:line="20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Phase 1: Patient 1 kidney function stable at 32 months post-AVR-RD-01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60" w:right="120" w:hanging="531"/>
        <w:spacing w:after="0" w:line="31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ERT Discontinuation by Phase 1 Patients. </w:t>
      </w:r>
      <w:r>
        <w:rPr>
          <w:rFonts w:ascii="Arial" w:cs="Arial" w:eastAsia="Arial" w:hAnsi="Arial"/>
          <w:sz w:val="16"/>
          <w:szCs w:val="16"/>
          <w:color w:val="auto"/>
        </w:rPr>
        <w:t>Three patients in the Phase 1 clinical trial who have been treated with AVR-RD-01,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investigational gene therapy, have discontinued ERT and have remained off ERT since such discontinuations. Patient 1 received his last ERT dose in July 2018, Patient 3 received his last ERT dose in May 2018, and Patient 4 received his last ERT dose in June 2019.</w:t>
      </w:r>
    </w:p>
    <w:p>
      <w:pPr>
        <w:spacing w:after="0" w:line="52" w:lineRule="exact"/>
        <w:rPr>
          <w:rFonts w:ascii="Arial" w:cs="Arial" w:eastAsia="Arial" w:hAnsi="Arial"/>
          <w:sz w:val="16"/>
          <w:szCs w:val="16"/>
          <w:color w:val="auto"/>
        </w:rPr>
      </w:pPr>
    </w:p>
    <w:p>
      <w:pPr>
        <w:ind w:left="1160" w:hanging="531"/>
        <w:spacing w:after="0" w:line="264"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Safety Update. </w:t>
      </w:r>
      <w:r>
        <w:rPr>
          <w:rFonts w:ascii="Arial" w:cs="Arial" w:eastAsia="Arial" w:hAnsi="Arial"/>
          <w:sz w:val="18"/>
          <w:szCs w:val="18"/>
          <w:color w:val="auto"/>
        </w:rPr>
        <w:t>Interim clinical data for all nine patients dosed to date in the Phase 2 and Phase 1 clinical trials appear to indicate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AVR-RD-01 investigational gene therapy has been generally well tolerated with no unexpected trends or safety events identified. No serious adverse events, 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84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80" w:right="60"/>
        <w:spacing w:after="0" w:line="257" w:lineRule="auto"/>
        <w:rPr>
          <w:sz w:val="20"/>
          <w:szCs w:val="20"/>
          <w:color w:val="auto"/>
        </w:rPr>
      </w:pPr>
      <w:r>
        <w:rPr>
          <w:rFonts w:ascii="Arial" w:cs="Arial" w:eastAsia="Arial" w:hAnsi="Arial"/>
          <w:sz w:val="18"/>
          <w:szCs w:val="18"/>
          <w:color w:val="auto"/>
        </w:rPr>
        <w:t>SAEs, related to the AVR-RD-01 drug product were reported as of the safety data cut-off date of November 26, 2019, for both the Phase 2 trial and the Phase 1 trial. As of the safety data cut-off date, four SAEs were reported in the Phase 2 trial and two SAEs were reported in the Phase 1 trial and were consistent with expectations for the myeloablative conditioning regimen, underlying Fabry disease, or pre-existing conditions. Since the data cutoff, an additional SAE occurred in the Phase 2 trial which was not related to the AVR-RD-01 drug product.</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the Phase 2 trial, the four SAEs that were reported through the safety data cut-off date of November 26, 2019 included one report of a Grade 2 pre-treatment seizure experienced after commencing stem cell mobilization but prior to undergoing the conditioning regimen and treatment with AVR-RD-01; one report of Grade 3 dehydration, nausea and vomiting following the conditioning regimen and treatment with AVR-RD-01; and two reports of febrile neutropenia (Grades 3 and 4, respectively) in separate patients following the conditioning regimen and treatment with AVR-RD-01. All four SAEs have subsequently resolved. The fourth patient in the Phase 2 trial was dosed with AVR-RD-01 following the November 26, 2019 safety data cut-off date and there has been one report of non-neutropenic fever, which was not related to the AVR-RD-01 drug product.</w:t>
      </w:r>
    </w:p>
    <w:p>
      <w:pPr>
        <w:spacing w:after="0" w:line="165"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the Phase 1 trial, the two SAEs that were reported through the safety data cut-off date of November 26, 2019 included one report of Grade 3 febrile neutropenia and one report of Grade 2 thrombophlebitis, each occurring following the conditioning regimen and treatment with AVR-RD-01. Both SAEs have subsequently resolved.</w:t>
      </w:r>
    </w:p>
    <w:p>
      <w:pPr>
        <w:spacing w:after="0" w:line="181" w:lineRule="exact"/>
        <w:rPr>
          <w:sz w:val="20"/>
          <w:szCs w:val="20"/>
          <w:color w:val="auto"/>
        </w:rPr>
      </w:pPr>
    </w:p>
    <w:p>
      <w:pPr>
        <w:jc w:val="both"/>
        <w:ind w:left="200" w:right="280" w:firstLine="441"/>
        <w:spacing w:after="0" w:line="308" w:lineRule="auto"/>
        <w:rPr>
          <w:sz w:val="20"/>
          <w:szCs w:val="20"/>
          <w:color w:val="auto"/>
        </w:rPr>
      </w:pPr>
      <w:r>
        <w:rPr>
          <w:rFonts w:ascii="Arial" w:cs="Arial" w:eastAsia="Arial" w:hAnsi="Arial"/>
          <w:sz w:val="17"/>
          <w:szCs w:val="17"/>
          <w:color w:val="auto"/>
        </w:rPr>
        <w:t>Pre-existing low anti-AGA antibody titers have been detected in four patients in the Phase 1 trial and a transient low titer was observed but not detectable in subsequent measures in one patient in the Phase 2 trial. We believe none of these are of clinical relevance.</w:t>
      </w:r>
    </w:p>
    <w:p>
      <w:pPr>
        <w:spacing w:after="0" w:line="14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 xml:space="preserve">Clinical measurements of data, such as AGA enzyme activity and VCN, can provide valuable insight into the potential effectiveness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CD34+ hematopoietic stem cell gene therapy following administration in a patient. However, such measurements can vary greatly during the initial weeks following administration of the therapy. We believe that the first meaningful measurements of AGA enzyme activity and VCN only start to emerge after 30 to 60 days have passed following administration of the gene-modified CD34+ hematopoietic stem cells to allow what we believe to be a meaningful interpretation of results. For example, data collected during the early weeks following administration of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CD34+ hematopoietic stem cell gene therapy may be uninterpretable for reasons such as the manufactured drug product containing a random and indeterminable mixture of cells that may be dominated by late/mature progenitor cells, compared to early progenitor cells and long-term engrafting cells. In such circumstances, the large number of late/mature progenitor cells are over-represented in the collected data in the first few weeks following administration, but are subsequently permanently lost.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AVR-RD-04 for Cystinosis</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February 2020, we announced initial clinical data for the first patient in the clinical trial of the investigational gene therapy CTNS-RD-04 for cystinosis, which we refer to as AVR-RD-04. AVR-RD-04 is currently being studied by our collaborators at the University of California, San Diego, in a Phase 1/2 investigator-sponsored clinical trial. The single-arm trial is expected to enroll four adults and a potential follow-on cohort of two adults or adolescents at least 14 years of age who are currently being treated with cysteamine, the standard of care for cystinosis. The clinical trial’s primary endpoints are safety and tolerability, assessed for up to two years after treatment, as well as preliminary efficacy as measured by changes in cystine levels in granulocytes. Secondary endpoints to assess preliminary efficacy include change from baseline in cystine levels in rectal mucosa as well as cystine crystal counts in the cornea and skin. These secondary efficacy endpoints will also be evaluated through clinical tests of kidney function, ophthalmologic measures, muscle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strength, pulmonary function and neurological and psychometric function, as well as through patient-reported outcomes and assessments of health-related quality of life.</w:t>
      </w:r>
    </w:p>
    <w:p>
      <w:pPr>
        <w:spacing w:after="0" w:line="76" w:lineRule="exact"/>
        <w:rPr>
          <w:sz w:val="20"/>
          <w:szCs w:val="20"/>
          <w:color w:val="auto"/>
        </w:rPr>
      </w:pPr>
    </w:p>
    <w:p>
      <w:pPr>
        <w:ind w:left="1160" w:right="100" w:hanging="531"/>
        <w:spacing w:after="0" w:line="276"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Vector copy number. </w:t>
      </w:r>
      <w:r>
        <w:rPr>
          <w:rFonts w:ascii="Arial" w:cs="Arial" w:eastAsia="Arial" w:hAnsi="Arial"/>
          <w:sz w:val="17"/>
          <w:szCs w:val="17"/>
          <w:color w:val="auto"/>
        </w:rPr>
        <w:t>In February 2020 we announced that the first patient in the Phase 1/2 clinical trial exhibited a VCN of 2.0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post-treatment with AVR-RD-04. VCN, which is expressed as VCN per diploid genome, refers to the average number of copies of the lentiviral-vector inserted 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w:t>
      </w:r>
    </w:p>
    <w:p>
      <w:pPr>
        <w:spacing w:after="0" w:line="77" w:lineRule="exact"/>
        <w:rPr>
          <w:rFonts w:ascii="Arial" w:cs="Arial" w:eastAsia="Arial" w:hAnsi="Arial"/>
          <w:sz w:val="17"/>
          <w:szCs w:val="17"/>
          <w:color w:val="auto"/>
        </w:rPr>
      </w:pPr>
    </w:p>
    <w:p>
      <w:pPr>
        <w:ind w:left="1160" w:right="40" w:hanging="531"/>
        <w:spacing w:after="0" w:line="273"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Granulocyte cystine levels. </w:t>
      </w:r>
      <w:r>
        <w:rPr>
          <w:rFonts w:ascii="Arial" w:cs="Arial" w:eastAsia="Arial" w:hAnsi="Arial"/>
          <w:sz w:val="17"/>
          <w:szCs w:val="17"/>
          <w:color w:val="auto"/>
        </w:rPr>
        <w:t>One of the primary endpoints of the Phase 1/2 clinical trial is the change in the average level of cystine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granulocytes from baseline to up to two years post-treatment with AVR-RD-04. In February 2020 we announced that the first patient in the Phase 1/2 clinical trial exhibited granulocyte cystine levels of 1.5 nmol half cystine per milligram three months post-treatment with AVR-RD-04 as compared to the baseline value of 7.8. The patient’s baseline value was measured two weeks after discontinuation of cysteamine treatment and prior to initiating mobilization. As the Phase 1/2 clinical trial progresses, we expect to identify clinically meaningful measures, such as renal function, polyuria and crystal levels in the cornea and photophobia.</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figure summarizes the VCN observations and average granulocyte cystine levels from the first patient in the ongoing clinical trial of AVR-RD-04.</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Phase 1/2: Patient 1 VCN and average granulocyte levels at 3 months post-AVR-RD-04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52" w:lineRule="exact"/>
        <w:rPr>
          <w:sz w:val="20"/>
          <w:szCs w:val="20"/>
          <w:color w:val="auto"/>
        </w:rPr>
      </w:pPr>
    </w:p>
    <w:p>
      <w:pPr>
        <w:ind w:left="1160" w:right="80" w:hanging="531"/>
        <w:spacing w:after="0" w:line="264"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Secondary endpoints. </w:t>
      </w:r>
      <w:r>
        <w:rPr>
          <w:rFonts w:ascii="Arial" w:cs="Arial" w:eastAsia="Arial" w:hAnsi="Arial"/>
          <w:sz w:val="18"/>
          <w:szCs w:val="18"/>
          <w:color w:val="auto"/>
        </w:rPr>
        <w:t>Secondary endpoints of the Phase 1/2 clinical trial include measurements of kidney function and levels of cystine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skin. These endpoints are not a comprehensive set of the secondary endpoints in the Phase 1/2 clinical trial and only reflect the data available to us as of three months following treatment with AVR-RD-04.</w:t>
      </w:r>
    </w:p>
    <w:p>
      <w:pPr>
        <w:spacing w:after="0" w:line="86" w:lineRule="exact"/>
        <w:rPr>
          <w:rFonts w:ascii="Arial" w:cs="Arial" w:eastAsia="Arial" w:hAnsi="Arial"/>
          <w:sz w:val="18"/>
          <w:szCs w:val="18"/>
          <w:color w:val="auto"/>
        </w:rPr>
      </w:pPr>
    </w:p>
    <w:p>
      <w:pPr>
        <w:ind w:left="1620" w:right="20" w:hanging="438"/>
        <w:spacing w:after="0" w:line="312" w:lineRule="auto"/>
        <w:tabs>
          <w:tab w:leader="none" w:pos="1620"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Kidney function. </w:t>
      </w:r>
      <w:r>
        <w:rPr>
          <w:rFonts w:ascii="Arial" w:cs="Arial" w:eastAsia="Arial" w:hAnsi="Arial"/>
          <w:sz w:val="16"/>
          <w:szCs w:val="16"/>
          <w:color w:val="auto"/>
        </w:rPr>
        <w:t>Assessment of kidney function includes measurements of eGFR and serum creatinine, or sCR. eGFR is determined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CKD-EPI formula and sCR is measured as part of the comprehensive metabolic panel. The first patient in the Phase 1/2 clinical trial exhibited an sCR value of 2.1 mg/dL three months post-treatment with AVR-RD-04 as compared to a baseline</w:t>
      </w: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55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260"/>
        <w:spacing w:after="0" w:line="277" w:lineRule="auto"/>
        <w:rPr>
          <w:sz w:val="20"/>
          <w:szCs w:val="20"/>
          <w:color w:val="auto"/>
        </w:rPr>
      </w:pPr>
      <w:r>
        <w:rPr>
          <w:rFonts w:ascii="Arial" w:cs="Arial" w:eastAsia="Arial" w:hAnsi="Arial"/>
          <w:sz w:val="18"/>
          <w:szCs w:val="18"/>
          <w:color w:val="auto"/>
        </w:rPr>
        <w:t>value of 2.2 mg/dL, and an eGFR value of 40 mL/min/1.73m</w:t>
      </w:r>
      <w:r>
        <w:rPr>
          <w:rFonts w:ascii="Arial" w:cs="Arial" w:eastAsia="Arial" w:hAnsi="Arial"/>
          <w:sz w:val="15"/>
          <w:szCs w:val="15"/>
          <w:color w:val="auto"/>
        </w:rPr>
        <w:t>2</w:t>
      </w:r>
      <w:r>
        <w:rPr>
          <w:rFonts w:ascii="Arial" w:cs="Arial" w:eastAsia="Arial" w:hAnsi="Arial"/>
          <w:sz w:val="18"/>
          <w:szCs w:val="18"/>
          <w:color w:val="auto"/>
        </w:rPr>
        <w:t xml:space="preserve"> three months post-treatment as compared to a baseline value of 38 mL/min/1.73m</w:t>
      </w:r>
      <w:r>
        <w:rPr>
          <w:rFonts w:ascii="Arial" w:cs="Arial" w:eastAsia="Arial" w:hAnsi="Arial"/>
          <w:sz w:val="15"/>
          <w:szCs w:val="15"/>
          <w:color w:val="auto"/>
        </w:rPr>
        <w:t>2</w:t>
      </w:r>
      <w:r>
        <w:rPr>
          <w:rFonts w:ascii="Arial" w:cs="Arial" w:eastAsia="Arial" w:hAnsi="Arial"/>
          <w:sz w:val="18"/>
          <w:szCs w:val="18"/>
          <w:color w:val="auto"/>
        </w:rPr>
        <w:t>.</w:t>
      </w:r>
    </w:p>
    <w:p>
      <w:pPr>
        <w:spacing w:after="0" w:line="76" w:lineRule="exact"/>
        <w:rPr>
          <w:sz w:val="20"/>
          <w:szCs w:val="20"/>
          <w:color w:val="auto"/>
        </w:rPr>
      </w:pPr>
    </w:p>
    <w:p>
      <w:pPr>
        <w:ind w:left="1620" w:right="60" w:hanging="438"/>
        <w:spacing w:after="0" w:line="255"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Levels of cystine in skin. </w:t>
      </w:r>
      <w:r>
        <w:rPr>
          <w:rFonts w:ascii="Arial" w:cs="Arial" w:eastAsia="Arial" w:hAnsi="Arial"/>
          <w:sz w:val="18"/>
          <w:szCs w:val="18"/>
          <w:color w:val="auto"/>
        </w:rPr>
        <w:t>Levels of cystine in the skin are measured with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confocal microscopy, or IVCM, on two separate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areas of the skin: behind the ear and in a location determined by the treating physician. The two measurements are analyzed and quantified with 3D Image-Pro software and averaged. The first patient in the Phase 1/2 clinical trial exhibited a 32% reduction from baseline in skin cystine levels measured three months post-treatment with AVR-RD-04. The baseline measurement and three month data was obtained using IVCM. In addition, levels of cystine crystals in the skin will be measured using optical coherence tomography. These measurements are considered experimental methodologies and will require additional study to determine their validity and significance.</w:t>
      </w:r>
    </w:p>
    <w:p>
      <w:pPr>
        <w:spacing w:after="0" w:line="94" w:lineRule="exact"/>
        <w:rPr>
          <w:rFonts w:ascii="Arial" w:cs="Arial" w:eastAsia="Arial" w:hAnsi="Arial"/>
          <w:sz w:val="18"/>
          <w:szCs w:val="18"/>
          <w:color w:val="auto"/>
        </w:rPr>
      </w:pPr>
    </w:p>
    <w:p>
      <w:pPr>
        <w:ind w:left="1160" w:hanging="53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Other measurements.</w:t>
      </w:r>
    </w:p>
    <w:p>
      <w:pPr>
        <w:spacing w:after="0" w:line="130" w:lineRule="exact"/>
        <w:rPr>
          <w:rFonts w:ascii="Arial" w:cs="Arial" w:eastAsia="Arial" w:hAnsi="Arial"/>
          <w:sz w:val="18"/>
          <w:szCs w:val="18"/>
          <w:color w:val="auto"/>
        </w:rPr>
      </w:pPr>
    </w:p>
    <w:p>
      <w:pPr>
        <w:ind w:left="1620" w:right="40" w:hanging="438"/>
        <w:spacing w:after="0" w:line="259"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24-hour urine volume. </w:t>
      </w:r>
      <w:r>
        <w:rPr>
          <w:rFonts w:ascii="Arial" w:cs="Arial" w:eastAsia="Arial" w:hAnsi="Arial"/>
          <w:sz w:val="18"/>
          <w:szCs w:val="18"/>
          <w:color w:val="auto"/>
        </w:rPr>
        <w:t>24-hour urine volume is measured by the total volume of urine produced in a 24-hour period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baseline 24-hour measurement taken prior to administration of AVR-RD-04. We believe this measurement may be suggestive of change in kidney function. At three months post-treatment with AVR-RD-04, the first patient in the Phase 1/2 clinical trial exhibited a 37% reduction from baseline in 24-hour urine volume.</w:t>
      </w:r>
    </w:p>
    <w:p>
      <w:pPr>
        <w:spacing w:after="0" w:line="92" w:lineRule="exact"/>
        <w:rPr>
          <w:rFonts w:ascii="Arial" w:cs="Arial" w:eastAsia="Arial" w:hAnsi="Arial"/>
          <w:sz w:val="18"/>
          <w:szCs w:val="18"/>
          <w:color w:val="auto"/>
        </w:rPr>
      </w:pPr>
    </w:p>
    <w:p>
      <w:pPr>
        <w:ind w:left="1160" w:right="40" w:hanging="531"/>
        <w:spacing w:after="0" w:line="273"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Safety Update. </w:t>
      </w:r>
      <w:r>
        <w:rPr>
          <w:rFonts w:ascii="Arial" w:cs="Arial" w:eastAsia="Arial" w:hAnsi="Arial"/>
          <w:sz w:val="17"/>
          <w:szCs w:val="17"/>
          <w:color w:val="auto"/>
        </w:rPr>
        <w:t>As of the safety cut-off date of January 27, 2020, interim clinical data for the first patient dosed in the Phase 1/2 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trial appear to indicate that the AVR-RD-04 investigational gene therapy has been generally well tolerated with no unexpected safety events identified. No SAEs were reported as of the safety data cut-off date of January 27, 2020. A total of 22 adverse events, or AEs, were reported as of the safety cut-off date of January 27, 2020, nine of which were moderate and 13 of which were mild. All reported AEs were consistent with expectations for the underlying disease and conditioning regimen prescribed by the study protocol. There have been no reports of safety events attributed to the AVR-RD-04 drug product.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Pipeline Programs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In January 2020, we announced that we received notice of clearance from the U.S. Food and Drug Administration, or FDA, regarding an Investigational New Drug, or IND, application for AVR-RD-02, our investigational gene therapy for the treatment of Gaucher disease. This follows receipt of FDA orphan drug designation status for AVR-RD-02 in October 2019, and now clears us to expand our ongoing Phase 1/2 clinical trial in Gaucher disease to the United States, supported by our proprietary plato gene therapy platform. The Phase 1/2 clinical trial for AVR-RD-02 is actively recruiting in Australia and Canada, with additional sites planned in the United States.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Pompe disease program is currently in pre-IND enabling studies with the first preclinical study being initiated in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Plato Platform</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Plato is our gene therapy platform designed to provide the foundation for the potential worldwide commercialization of our gene therapies. It is an </w:t>
      </w:r>
      <w:r>
        <w:rPr>
          <w:rFonts w:ascii="Arial" w:cs="Arial" w:eastAsia="Arial" w:hAnsi="Arial"/>
          <w:sz w:val="17"/>
          <w:szCs w:val="17"/>
          <w:i w:val="1"/>
          <w:iCs w:val="1"/>
          <w:color w:val="auto"/>
        </w:rPr>
        <w:t xml:space="preserve">ex vivo </w:t>
      </w:r>
      <w:r>
        <w:rPr>
          <w:rFonts w:ascii="Arial" w:cs="Arial" w:eastAsia="Arial" w:hAnsi="Arial"/>
          <w:sz w:val="17"/>
          <w:szCs w:val="17"/>
          <w:color w:val="auto"/>
        </w:rPr>
        <w:t>gene therapy platform incorporating multiple recent upgrades including a four-plasmid lentiviral vector designed to optimize vector copy</w:t>
      </w:r>
      <w:r>
        <w:rPr>
          <w:rFonts w:ascii="Arial" w:cs="Arial" w:eastAsia="Arial" w:hAnsi="Arial"/>
          <w:sz w:val="17"/>
          <w:szCs w:val="17"/>
          <w:i w:val="1"/>
          <w:iCs w:val="1"/>
          <w:color w:val="auto"/>
        </w:rPr>
        <w:t xml:space="preserve"> </w:t>
      </w:r>
      <w:r>
        <w:rPr>
          <w:rFonts w:ascii="Arial" w:cs="Arial" w:eastAsia="Arial" w:hAnsi="Arial"/>
          <w:sz w:val="17"/>
          <w:szCs w:val="17"/>
          <w:color w:val="auto"/>
        </w:rPr>
        <w:t>number, transduction efficiency and resulting enzyme activity, a closed, automated manufacturing system designed to improve</w:t>
      </w:r>
    </w:p>
    <w:p>
      <w:pPr>
        <w:ind w:left="200" w:right="80"/>
        <w:spacing w:after="0" w:line="255" w:lineRule="auto"/>
        <w:rPr>
          <w:sz w:val="20"/>
          <w:szCs w:val="20"/>
          <w:color w:val="auto"/>
        </w:rPr>
      </w:pPr>
      <w:r>
        <w:rPr>
          <w:rFonts w:ascii="Arial" w:cs="Arial" w:eastAsia="Arial" w:hAnsi="Arial"/>
          <w:sz w:val="18"/>
          <w:szCs w:val="18"/>
          <w:color w:val="auto"/>
        </w:rPr>
        <w:t>consistency and predictability of the drug product, and a personalized approach to conditioning using busulfan with therapeutic drug monitoring, which is designed to optimize safety and engraftment. These three process changes, or upgrades, were cleared by applicable regulatory bodies in the United States, Canada and Australia for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40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2405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use in the Phase 2 clinical trial of AVR-RD-01 for Fabry disease and the Phase 1/2 GAU-201 clinical trial of AVR-RD-02 for Gaucher disease. We intend to utilize the plato platform with these process changes for all future patients enrolling in our Phase 2 clinical trial of AVR-RD-01 for Fabry disease and our GAU-201 clinical trial for Gaucher disease.</w:t>
      </w:r>
    </w:p>
    <w:p>
      <w:pPr>
        <w:spacing w:after="0" w:line="18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December 2019, we announced that the first patient had been dosed using our plato platform, who is the fourth patient dosed in our ongoing Phase 2 clinical trial of AVR-RD-01.</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figure below summarizes the enzyme activity, VCN and transduction efficiency measurements of the drug product produced with our plato platform for the fourth patient in the Phase 2 trial of AVR-RD-01 for Fabry disease, as compared to the same individual values and mean of such values observed in the drug product for the first three patients in the same trial, each of whom were dosed prior to our implementation of the plato platform. We refer to the Phase 2 trial of AVR-RD-01 as FAB-201.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566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5662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The figure below summarizes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plasma enzyme activity for all four patients in our Phase 2 clinical trial of AVR-RD-01, measured as of one month post-treatment.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investigational drug product used to dose the first patient in the AVR-RD-04 trial for cystinosis, which included a four-plasmid vector but did not include our proprietary LV2 vector or plato’s automated manufacturing process, also demonstrated increased performance in line with the increased performance recorded for the drug product in our Phase 2 clinical trial of AVR-RD-01. The drug product for the first patient in the AVR-RD-04 trial was produced at the University of California, Los Angeles, or UCLA, using UCLA’s assays and methodologies. We refer to the Phase 1/2 clinical trial of AVR-RD-04 as CYS-101.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35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figure below summarizes the VCN and transduction efficiency measured using the drug product produced by UCLA for the first patient in the AVR-RD-04 trial, as compared to the same individual values and mean of such values observed in the drug product for the first three patients in our Phase 2 clinical trial of AVR-RD-01, who were dosed prior to our implementation of the plato platform, as well as the drug product produced for the fourth patient in the same trial, who was dosed using the plato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0.1 VCN is indicative of approx. 5-10% of all nucleated circulating blood cells having an average of 1-2 copies of the transgene</w:t>
      </w:r>
    </w:p>
    <w:p>
      <w:pPr>
        <w:spacing w:after="0" w:line="225"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In addition, we are implementing our precision dosing regimen across our company-sponsored clinical trials as part of the plato platform. The fourth patient in our Phase 2 trial of AVR-RD-01 for Fabry disease received a precision dosing conditioning regimen with busulfan as part of the plato platform, while the first patient in the Phase 1/2 trial of AVR-RD-04 for cystinosis received busulfan but not as part of the plato platform. These two patients both had rapid neutrophil and platelet count recovery, with a trajectory that was similar to the patients who enrolled earlier in the trials of AVR-RD-01 and who received a melphalan conditioning regimen. Side effects, which included nausea, mucositis, fever, rash and hair loss, developed eight to 10 days after dosing with busulfan and then resolved quickly.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Update</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cash and cash equivalents was approximately $187.0 million at December 31, 2019, as compared to $206.4 million at September 30, 2019. This financial data as of December 31, 2019 is preliminary and may change, and is based on information available to management as of the date of this prospectus supplement and is subject to completion by management of our financial statements as of and for the year ended December 31, 2019. There can be no assurance that our final cash position as of December 31, 2019 will not differ from these estimates, including as a result of review adjustments and any such changes could be material. Our independent registered public accountants have not audited, reviewed or performed any procedures with respect to such preliminary financial data and accordingly do not express an opinion or any other form of assurance with respect thereto. These results could change as a result of further review. Complete results will be included in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483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5483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Massachusetts 02139 and our telephone number is (617) 914-8420. Our website address is www.avrobio.com. We do not incorporate the information on or accessible through our website into this this prospectus supplement or the accompanying prospectus, and you should not consider any information on, or that can be accessed through, our website as part of this prospectus. Our common stock trades on The Nasdaq Global Select Market under the symbol “AVRO”.</w:t>
      </w:r>
    </w:p>
    <w:p>
      <w:pPr>
        <w:spacing w:after="0" w:line="3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52" w:lineRule="exact"/>
        <w:rPr>
          <w:sz w:val="20"/>
          <w:szCs w:val="20"/>
          <w:color w:val="auto"/>
        </w:rPr>
      </w:pPr>
    </w:p>
    <w:p>
      <w:pPr>
        <w:ind w:left="1160" w:right="300" w:hanging="531"/>
        <w:spacing w:after="0" w:line="308"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60" w:hanging="53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160" w:hanging="53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160" w:hanging="53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160" w:right="80" w:hanging="531"/>
        <w:spacing w:after="0" w:line="308"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527"/>
        </w:trPr>
        <w:tc>
          <w:tcPr>
            <w:tcW w:w="472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6320" w:type="dxa"/>
            <w:vAlign w:val="bottom"/>
          </w:tcPr>
          <w:p>
            <w:pPr>
              <w:ind w:left="1020"/>
              <w:spacing w:after="0"/>
              <w:rPr>
                <w:sz w:val="20"/>
                <w:szCs w:val="20"/>
                <w:color w:val="auto"/>
              </w:rPr>
            </w:pPr>
            <w:r>
              <w:rPr>
                <w:rFonts w:ascii="Arial" w:cs="Arial" w:eastAsia="Arial" w:hAnsi="Arial"/>
                <w:sz w:val="18"/>
                <w:szCs w:val="18"/>
                <w:color w:val="auto"/>
              </w:rPr>
              <w:t>4,350,000 of shares of common stock</w:t>
            </w:r>
          </w:p>
        </w:tc>
        <w:tc>
          <w:tcPr>
            <w:tcW w:w="0" w:type="dxa"/>
            <w:vAlign w:val="bottom"/>
          </w:tcPr>
          <w:p>
            <w:pPr>
              <w:spacing w:after="0"/>
              <w:rPr>
                <w:sz w:val="1"/>
                <w:szCs w:val="1"/>
                <w:color w:val="auto"/>
              </w:rPr>
            </w:pPr>
          </w:p>
        </w:tc>
      </w:tr>
      <w:tr>
        <w:trPr>
          <w:trHeight w:val="284"/>
        </w:trPr>
        <w:tc>
          <w:tcPr>
            <w:tcW w:w="4720" w:type="dxa"/>
            <w:vAlign w:val="bottom"/>
          </w:tcPr>
          <w:p>
            <w:pPr>
              <w:spacing w:after="0"/>
              <w:rPr>
                <w:sz w:val="20"/>
                <w:szCs w:val="20"/>
                <w:color w:val="auto"/>
              </w:rPr>
            </w:pPr>
            <w:r>
              <w:rPr>
                <w:rFonts w:ascii="Arial" w:cs="Arial" w:eastAsia="Arial" w:hAnsi="Arial"/>
                <w:sz w:val="18"/>
                <w:szCs w:val="18"/>
                <w:color w:val="auto"/>
                <w:w w:val="93"/>
              </w:rPr>
              <w:t>Common stock to be outstanding immediately after this offering</w:t>
            </w:r>
          </w:p>
        </w:tc>
        <w:tc>
          <w:tcPr>
            <w:tcW w:w="6320" w:type="dxa"/>
            <w:vAlign w:val="bottom"/>
            <w:vMerge w:val="restart"/>
          </w:tcPr>
          <w:p>
            <w:pPr>
              <w:ind w:left="1020"/>
              <w:spacing w:after="0"/>
              <w:rPr>
                <w:sz w:val="20"/>
                <w:szCs w:val="20"/>
                <w:color w:val="auto"/>
              </w:rPr>
            </w:pPr>
            <w:r>
              <w:rPr>
                <w:rFonts w:ascii="Arial" w:cs="Arial" w:eastAsia="Arial" w:hAnsi="Arial"/>
                <w:sz w:val="18"/>
                <w:szCs w:val="18"/>
                <w:color w:val="auto"/>
                <w:w w:val="89"/>
              </w:rPr>
              <w:t>36,017,661 shares (or 36,670,161 shares if the underwriters exercise their</w:t>
            </w:r>
          </w:p>
        </w:tc>
        <w:tc>
          <w:tcPr>
            <w:tcW w:w="0" w:type="dxa"/>
            <w:vAlign w:val="bottom"/>
          </w:tcPr>
          <w:p>
            <w:pPr>
              <w:spacing w:after="0"/>
              <w:rPr>
                <w:sz w:val="1"/>
                <w:szCs w:val="1"/>
                <w:color w:val="auto"/>
              </w:rPr>
            </w:pPr>
          </w:p>
        </w:tc>
      </w:tr>
      <w:tr>
        <w:trPr>
          <w:trHeight w:val="202"/>
        </w:trPr>
        <w:tc>
          <w:tcPr>
            <w:tcW w:w="4720" w:type="dxa"/>
            <w:vAlign w:val="bottom"/>
          </w:tcPr>
          <w:p>
            <w:pPr>
              <w:spacing w:after="0"/>
              <w:rPr>
                <w:sz w:val="17"/>
                <w:szCs w:val="17"/>
                <w:color w:val="auto"/>
              </w:rPr>
            </w:pPr>
          </w:p>
        </w:tc>
        <w:tc>
          <w:tcPr>
            <w:tcW w:w="6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option to purchase additional shares in full).</w:t>
            </w:r>
          </w:p>
        </w:tc>
        <w:tc>
          <w:tcPr>
            <w:tcW w:w="0" w:type="dxa"/>
            <w:vAlign w:val="bottom"/>
          </w:tcPr>
          <w:p>
            <w:pPr>
              <w:spacing w:after="0"/>
              <w:rPr>
                <w:sz w:val="1"/>
                <w:szCs w:val="1"/>
                <w:color w:val="auto"/>
              </w:rPr>
            </w:pPr>
          </w:p>
        </w:tc>
      </w:tr>
      <w:tr>
        <w:trPr>
          <w:trHeight w:val="269"/>
        </w:trPr>
        <w:tc>
          <w:tcPr>
            <w:tcW w:w="4720" w:type="dxa"/>
            <w:vAlign w:val="bottom"/>
          </w:tcPr>
          <w:p>
            <w:pPr>
              <w:spacing w:after="0"/>
              <w:rPr>
                <w:sz w:val="20"/>
                <w:szCs w:val="20"/>
                <w:color w:val="auto"/>
              </w:rPr>
            </w:pPr>
            <w:r>
              <w:rPr>
                <w:rFonts w:ascii="Arial" w:cs="Arial" w:eastAsia="Arial" w:hAnsi="Arial"/>
                <w:sz w:val="18"/>
                <w:szCs w:val="18"/>
                <w:color w:val="auto"/>
              </w:rPr>
              <w:t>Underwriters’ option to purchase additional shares</w:t>
            </w:r>
          </w:p>
        </w:tc>
        <w:tc>
          <w:tcPr>
            <w:tcW w:w="6320" w:type="dxa"/>
            <w:vAlign w:val="bottom"/>
          </w:tcPr>
          <w:p>
            <w:pPr>
              <w:ind w:left="1020"/>
              <w:spacing w:after="0"/>
              <w:rPr>
                <w:sz w:val="20"/>
                <w:szCs w:val="20"/>
                <w:color w:val="auto"/>
              </w:rPr>
            </w:pPr>
            <w:r>
              <w:rPr>
                <w:rFonts w:ascii="Arial" w:cs="Arial" w:eastAsia="Arial" w:hAnsi="Arial"/>
                <w:sz w:val="18"/>
                <w:szCs w:val="18"/>
                <w:color w:val="auto"/>
                <w:w w:val="95"/>
              </w:rPr>
              <w:t>We have granted the underwriters an option for a period of 30 days to</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purchase up to 652,500 of additional shares of common stock.</w:t>
            </w:r>
          </w:p>
        </w:tc>
        <w:tc>
          <w:tcPr>
            <w:tcW w:w="0" w:type="dxa"/>
            <w:vAlign w:val="bottom"/>
          </w:tcPr>
          <w:p>
            <w:pPr>
              <w:spacing w:after="0"/>
              <w:rPr>
                <w:sz w:val="1"/>
                <w:szCs w:val="1"/>
                <w:color w:val="auto"/>
              </w:rPr>
            </w:pPr>
          </w:p>
        </w:tc>
      </w:tr>
      <w:tr>
        <w:trPr>
          <w:trHeight w:val="269"/>
        </w:trPr>
        <w:tc>
          <w:tcPr>
            <w:tcW w:w="4720" w:type="dxa"/>
            <w:vAlign w:val="bottom"/>
          </w:tcPr>
          <w:p>
            <w:pPr>
              <w:spacing w:after="0"/>
              <w:rPr>
                <w:sz w:val="20"/>
                <w:szCs w:val="20"/>
                <w:color w:val="auto"/>
              </w:rPr>
            </w:pPr>
            <w:r>
              <w:rPr>
                <w:rFonts w:ascii="Arial" w:cs="Arial" w:eastAsia="Arial" w:hAnsi="Arial"/>
                <w:sz w:val="18"/>
                <w:szCs w:val="18"/>
                <w:color w:val="auto"/>
              </w:rPr>
              <w:t>Use of proceeds</w:t>
            </w:r>
          </w:p>
        </w:tc>
        <w:tc>
          <w:tcPr>
            <w:tcW w:w="6320" w:type="dxa"/>
            <w:vAlign w:val="bottom"/>
          </w:tcPr>
          <w:p>
            <w:pPr>
              <w:ind w:left="1020"/>
              <w:spacing w:after="0"/>
              <w:rPr>
                <w:sz w:val="20"/>
                <w:szCs w:val="20"/>
                <w:color w:val="auto"/>
              </w:rPr>
            </w:pPr>
            <w:r>
              <w:rPr>
                <w:rFonts w:ascii="Arial" w:cs="Arial" w:eastAsia="Arial" w:hAnsi="Arial"/>
                <w:sz w:val="18"/>
                <w:szCs w:val="18"/>
                <w:color w:val="auto"/>
              </w:rPr>
              <w:t>We intend to use the proceeds from this offering, after deducting</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underwriting discounts and commissions and estimated offering</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88"/>
              </w:rPr>
              <w:t>expenses payable by us, to fund our current programs in Fabry disease,</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4"/>
              </w:rPr>
              <w:t>cystinosis, Gaucher disease and Pompe disease, fund external and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1"/>
              </w:rPr>
              <w:t>internal manufacturing and process development activities and to fund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8"/>
              </w:rPr>
              <w:t>research and development activities that relate to our current and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3"/>
              </w:rPr>
              <w:t>future clinical and preclinical activities, including the cost of research</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and development personnel. We intend to use the remainder for</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6"/>
              </w:rPr>
              <w:t>planned general and administrative expenses, working capital and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2"/>
              </w:rPr>
              <w:t>other general corporate purposes. For a more complete description of</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our intended use of the proceeds from this offering, see “Use of</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Proceeds” on page S-29.</w:t>
            </w:r>
          </w:p>
        </w:tc>
        <w:tc>
          <w:tcPr>
            <w:tcW w:w="0" w:type="dxa"/>
            <w:vAlign w:val="bottom"/>
          </w:tcPr>
          <w:p>
            <w:pPr>
              <w:spacing w:after="0"/>
              <w:rPr>
                <w:sz w:val="1"/>
                <w:szCs w:val="1"/>
                <w:color w:val="auto"/>
              </w:rPr>
            </w:pPr>
          </w:p>
        </w:tc>
      </w:tr>
      <w:tr>
        <w:trPr>
          <w:trHeight w:val="269"/>
        </w:trPr>
        <w:tc>
          <w:tcPr>
            <w:tcW w:w="4720" w:type="dxa"/>
            <w:vAlign w:val="bottom"/>
          </w:tcPr>
          <w:p>
            <w:pPr>
              <w:spacing w:after="0"/>
              <w:rPr>
                <w:sz w:val="20"/>
                <w:szCs w:val="20"/>
                <w:color w:val="auto"/>
              </w:rPr>
            </w:pPr>
            <w:r>
              <w:rPr>
                <w:rFonts w:ascii="Arial" w:cs="Arial" w:eastAsia="Arial" w:hAnsi="Arial"/>
                <w:sz w:val="18"/>
                <w:szCs w:val="18"/>
                <w:color w:val="auto"/>
              </w:rPr>
              <w:t>Risk factors</w:t>
            </w:r>
          </w:p>
        </w:tc>
        <w:tc>
          <w:tcPr>
            <w:tcW w:w="6320" w:type="dxa"/>
            <w:vAlign w:val="bottom"/>
          </w:tcPr>
          <w:p>
            <w:pPr>
              <w:ind w:left="1020"/>
              <w:spacing w:after="0"/>
              <w:rPr>
                <w:sz w:val="20"/>
                <w:szCs w:val="20"/>
                <w:color w:val="auto"/>
              </w:rPr>
            </w:pPr>
            <w:r>
              <w:rPr>
                <w:rFonts w:ascii="Arial" w:cs="Arial" w:eastAsia="Arial" w:hAnsi="Arial"/>
                <w:sz w:val="18"/>
                <w:szCs w:val="18"/>
                <w:color w:val="auto"/>
                <w:w w:val="91"/>
              </w:rPr>
              <w:t>This investment involves a high degree of risk. You should carefully read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“Risk Factors” on page S-24 of this prospectus supplement or</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0"/>
              </w:rPr>
              <w:t>otherwise incorporated by reference in this prospectus supplement and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w w:val="98"/>
              </w:rPr>
              <w:t>the accompanying prospectus for a discussion of factors that you</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6320" w:type="dxa"/>
            <w:vAlign w:val="bottom"/>
          </w:tcPr>
          <w:p>
            <w:pPr>
              <w:ind w:left="1200"/>
              <w:spacing w:after="0"/>
              <w:rPr>
                <w:sz w:val="20"/>
                <w:szCs w:val="20"/>
                <w:color w:val="auto"/>
              </w:rPr>
            </w:pPr>
            <w:r>
              <w:rPr>
                <w:rFonts w:ascii="Arial" w:cs="Arial" w:eastAsia="Arial" w:hAnsi="Arial"/>
                <w:sz w:val="18"/>
                <w:szCs w:val="18"/>
                <w:color w:val="auto"/>
              </w:rPr>
              <w:t>should consider before deciding to invest in our common stock.</w:t>
            </w:r>
          </w:p>
        </w:tc>
        <w:tc>
          <w:tcPr>
            <w:tcW w:w="0" w:type="dxa"/>
            <w:vAlign w:val="bottom"/>
          </w:tcPr>
          <w:p>
            <w:pPr>
              <w:spacing w:after="0"/>
              <w:rPr>
                <w:sz w:val="1"/>
                <w:szCs w:val="1"/>
                <w:color w:val="auto"/>
              </w:rPr>
            </w:pPr>
          </w:p>
        </w:tc>
      </w:tr>
      <w:tr>
        <w:trPr>
          <w:trHeight w:val="284"/>
        </w:trPr>
        <w:tc>
          <w:tcPr>
            <w:tcW w:w="472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6320" w:type="dxa"/>
            <w:vAlign w:val="bottom"/>
          </w:tcPr>
          <w:p>
            <w:pPr>
              <w:ind w:left="1020"/>
              <w:spacing w:after="0"/>
              <w:rPr>
                <w:sz w:val="20"/>
                <w:szCs w:val="20"/>
                <w:color w:val="auto"/>
              </w:rPr>
            </w:pPr>
            <w:r>
              <w:rPr>
                <w:rFonts w:ascii="Arial" w:cs="Arial" w:eastAsia="Arial" w:hAnsi="Arial"/>
                <w:sz w:val="18"/>
                <w:szCs w:val="18"/>
                <w:color w:val="auto"/>
              </w:rPr>
              <w:t>“AVRO”</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All information in this prospectus supplement related to the number of shares of our common stock to be outstanding immediately after this offering is based on 31,667,661 shares of our common stock outstanding as of September 30, 2019 and gives effect to the sale of 4,350,000 shares of common stock at the public offering price of $23.00 per share, and does not include:</w:t>
      </w:r>
    </w:p>
    <w:p>
      <w:pPr>
        <w:spacing w:after="0" w:line="87" w:lineRule="exact"/>
        <w:rPr>
          <w:sz w:val="20"/>
          <w:szCs w:val="20"/>
          <w:color w:val="auto"/>
        </w:rPr>
      </w:pPr>
    </w:p>
    <w:p>
      <w:pPr>
        <w:ind w:left="1160" w:right="160" w:hanging="531"/>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2,689,428 shares of common stock issuable upon the exercise of stock options outstanding as of September 30, 2019 under our 2018 Plan and our 2015 Plan, at a weighted-average exercise price of $10.29 per share;</w:t>
      </w:r>
    </w:p>
    <w:p>
      <w:pPr>
        <w:spacing w:after="0" w:line="75" w:lineRule="exact"/>
        <w:rPr>
          <w:rFonts w:ascii="Arial" w:cs="Arial" w:eastAsia="Arial" w:hAnsi="Arial"/>
          <w:sz w:val="18"/>
          <w:szCs w:val="18"/>
          <w:color w:val="auto"/>
        </w:rPr>
      </w:pPr>
    </w:p>
    <w:p>
      <w:pPr>
        <w:ind w:left="1160" w:hanging="53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September 30, 2019;</w:t>
      </w:r>
    </w:p>
    <w:p>
      <w:pPr>
        <w:spacing w:after="0" w:line="130" w:lineRule="exact"/>
        <w:rPr>
          <w:rFonts w:ascii="Arial" w:cs="Arial" w:eastAsia="Arial" w:hAnsi="Arial"/>
          <w:sz w:val="18"/>
          <w:szCs w:val="18"/>
          <w:color w:val="auto"/>
        </w:rPr>
      </w:pPr>
    </w:p>
    <w:p>
      <w:pPr>
        <w:ind w:left="1160" w:right="180" w:hanging="531"/>
        <w:spacing w:after="0" w:line="286" w:lineRule="auto"/>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456,000 shares of common stock issuable upon the exercise of stock options issued outside of our 2018 Plan and our 2015 Plan as of September 30, 2019, at a weighted-average exercise price of $21.12 per share, which excludes 372,950 additional stock options that were issued after September 30, 2019, at a weighted-average exercise price of $18.54 per share;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547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15474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hanging="53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474,326 shares of common stock reserved for future issuance under our 2018 Plan as of September 30, 2019;</w:t>
      </w:r>
    </w:p>
    <w:p>
      <w:pPr>
        <w:spacing w:after="0" w:line="130" w:lineRule="exact"/>
        <w:rPr>
          <w:rFonts w:ascii="Arial" w:cs="Arial" w:eastAsia="Arial" w:hAnsi="Arial"/>
          <w:sz w:val="18"/>
          <w:szCs w:val="18"/>
          <w:color w:val="auto"/>
        </w:rPr>
      </w:pPr>
    </w:p>
    <w:p>
      <w:pPr>
        <w:ind w:left="1160" w:right="120" w:hanging="531"/>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461,266 shares of common stock reserved for future issuance under our 2018 Employee Stock Purchase Plan as of September 30, 2019; and</w:t>
      </w:r>
    </w:p>
    <w:p>
      <w:pPr>
        <w:spacing w:after="0" w:line="75" w:lineRule="exact"/>
        <w:rPr>
          <w:rFonts w:ascii="Arial" w:cs="Arial" w:eastAsia="Arial" w:hAnsi="Arial"/>
          <w:sz w:val="18"/>
          <w:szCs w:val="18"/>
          <w:color w:val="auto"/>
        </w:rPr>
      </w:pPr>
    </w:p>
    <w:p>
      <w:pPr>
        <w:ind w:left="1160" w:hanging="53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1,618,750 shares of common stock reserved for future issuance under our 2019 Inducement Plan.</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Except as otherwise indicated, we have presented the information in this prospectus supplement assuming no exercise by the underwriters in this offering of their option to purchase additional shares of common stock and no exercise of outstanding options or settlement of the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060"/>
          </w:cols>
          <w:pgMar w:left="240" w:top="459" w:right="5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Before deciding whether to invest in our common stock, you should consider carefully the risks and uncertainties described below. You should also consider the risks, uncertainties and assumptions discussed under the heading “Risk Factors” included in our most recent annual report on Form 10-K and our subsequent quarterly reports on Form 10-Q, each of which is on file with the SEC and are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the offering price.</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stock price is likely to be volatile. Since our initial public offering in June 2018, or our IPO, the trading price of our common stock has ranged from $11.85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 shares. The market price for our common stock may be influenced by many factors, including:</w:t>
      </w:r>
    </w:p>
    <w:p>
      <w:pPr>
        <w:spacing w:after="0" w:line="60" w:lineRule="exact"/>
        <w:rPr>
          <w:sz w:val="20"/>
          <w:szCs w:val="20"/>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00" w:right="480" w:hanging="546"/>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00" w:right="140" w:hanging="546"/>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Although our common stock is listed on The Nasdaq Global Select Market, an active trading market for our shares may never be sustained. If an active market for our common stock is not sustained, it may be difficult for you to sell shares you purchase in this offering without depressing the market price for the shares, or at all.</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1"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shares outstanding as of February 1, 2020, our executive officers, directors, five percent stockholders and their affiliates beneficially owned approximately 40% of our outstanding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price at which you may purchase our shares and have held their shares for a longer period, they may be more interested in selling our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company to an acquirer than other investors or they may want us to pursue strategies that deviate from the interests of other stockholders.</w:t>
      </w:r>
    </w:p>
    <w:p>
      <w:pPr>
        <w:spacing w:after="0" w:line="333" w:lineRule="exact"/>
        <w:rPr>
          <w:sz w:val="20"/>
          <w:szCs w:val="20"/>
          <w:color w:val="auto"/>
        </w:rPr>
      </w:pPr>
    </w:p>
    <w:p>
      <w:pPr>
        <w:ind w:left="460" w:right="6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95" w:lineRule="exact"/>
        <w:rPr>
          <w:sz w:val="20"/>
          <w:szCs w:val="20"/>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30" w:lineRule="exact"/>
        <w:rPr>
          <w:rFonts w:ascii="Arial" w:cs="Arial" w:eastAsia="Arial" w:hAnsi="Arial"/>
          <w:sz w:val="18"/>
          <w:szCs w:val="18"/>
          <w:color w:val="auto"/>
        </w:rPr>
      </w:pPr>
    </w:p>
    <w:p>
      <w:pPr>
        <w:ind w:left="1000" w:right="640" w:hanging="546"/>
        <w:spacing w:after="0" w:line="264"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00" w:right="300" w:hanging="546"/>
        <w:spacing w:after="0" w:line="34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reduced or more volatile.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Investors purchasing shares of common stock in this offering will pay a price per share that substantially exceeds the as adjusted book value per share of our tangible assets after subtracting our liabilities. As a result, investors purchasing shares of common stock in this offering will incur immediate dilution of $14.66 per share, based on the public offering price of $23.00 per share, and our as adjusted net tangible book value as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September 30, 2019. Further, based on these assumptions, investors purchasing shares of common stock in this offering will contribute approximately 22.6% of the total amount invested by stockholders since our inception, but will own only approximately 12.1% of the shares of common stock outstanding. For information on how the foregoing amounts were calculated, see “Dilution.”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In addition, the sale of substantial amounts of our common stock could adversely impact its price. As of September 30, 2019, we had outstanding 31,667,661 shares of our common stock, options to purchase 3,145,428 shares of our common stock (of which 790,343 were exercisable as of that date) and 2,300 shares of common stock issuable upon the vesting of restricted stock units (none of which were vested as of that date). The sale or the availability for sale of a large number of shares of our common stock in the public market could cause the price of our common stock to decline.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89"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(the “Delaware Forum Provision”). The Delaware Forum Provision will not apply to any causes of action arising under the Securities Act of 1933 or the Securities Exchange Act of 1934.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(the “Federal Forum Provision”). We have chosen the United States District Court for the District of Massachusetts as the sole and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w:t>
      </w:r>
    </w:p>
    <w:p>
      <w:pPr>
        <w:spacing w:after="0" w:line="16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December 19, 2018, in </w:t>
      </w:r>
      <w:r>
        <w:rPr>
          <w:rFonts w:ascii="Arial" w:cs="Arial" w:eastAsia="Arial" w:hAnsi="Arial"/>
          <w:sz w:val="16"/>
          <w:szCs w:val="16"/>
          <w:i w:val="1"/>
          <w:iCs w:val="1"/>
          <w:color w:val="auto"/>
        </w:rPr>
        <w:t>Sciabacucchi v. Salzberg</w:t>
      </w:r>
      <w:r>
        <w:rPr>
          <w:rFonts w:ascii="Arial" w:cs="Arial" w:eastAsia="Arial" w:hAnsi="Arial"/>
          <w:sz w:val="16"/>
          <w:szCs w:val="16"/>
          <w:color w:val="auto"/>
        </w:rPr>
        <w:t xml:space="preserve">, C.A. No. 2017-0931-JTL (Del. Ch.), the Court of Chancery of the State of Delaware issued a decision declaring that federal forum selection provisions that purport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in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is reversed by the Delaware Supreme Court or otherwise abrogated, we do not intend to enforce our Federal Forum Provision designating the District of Massachusetts as the exclusive forum for Securities Act claims. In the event that the Delaware Supreme Court affirms the Court of Chancery’s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or otherwise makes a determination that provisions such as the Federal Forum Provision are invalid, our Board of Directors intends to amend promptly our bylaws to remove the Federal Forum Provision. Such amendment could cause us to incur additional costs, which could have an adverse effect on our business, financial condition or results of operations.</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estimate that the net proceeds from this offering, after deducting underwriting discounts and commissions and estimated offering expenses payable by us, will be approximately $93.5 million. If the underwriters exercise in full their option to purchase additional shares, we estimate that our net proceeds from this offering will be approximately $107.7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principal purpose of this offering is to obtain additional capital to support our operations. We expect to use the net proceeds of this offering, in addition to our existing cash resources, as follows:</w:t>
      </w:r>
    </w:p>
    <w:p>
      <w:pPr>
        <w:spacing w:after="0" w:line="76" w:lineRule="exact"/>
        <w:rPr>
          <w:sz w:val="20"/>
          <w:szCs w:val="20"/>
          <w:color w:val="auto"/>
        </w:rPr>
      </w:pPr>
    </w:p>
    <w:p>
      <w:pPr>
        <w:ind w:left="1000" w:hanging="54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fund our current programs in Fabry disease, cystinosis, Gaucher disease and Pompe disease;</w:t>
      </w:r>
    </w:p>
    <w:p>
      <w:pPr>
        <w:spacing w:after="0" w:line="130" w:lineRule="exact"/>
        <w:rPr>
          <w:rFonts w:ascii="Arial" w:cs="Arial" w:eastAsia="Arial" w:hAnsi="Arial"/>
          <w:sz w:val="18"/>
          <w:szCs w:val="18"/>
          <w:color w:val="auto"/>
        </w:rPr>
      </w:pPr>
    </w:p>
    <w:p>
      <w:pPr>
        <w:ind w:left="1000" w:hanging="546"/>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fund external and internal manufacturing and process development activities and to fund research and development activities that relate to our current and future clinical and preclinical activities, including the cost of research and development personnel; and</w:t>
      </w:r>
    </w:p>
    <w:p>
      <w:pPr>
        <w:spacing w:after="0" w:line="51" w:lineRule="exact"/>
        <w:rPr>
          <w:rFonts w:ascii="Arial" w:cs="Arial" w:eastAsia="Arial" w:hAnsi="Arial"/>
          <w:sz w:val="17"/>
          <w:szCs w:val="17"/>
          <w:color w:val="auto"/>
        </w:rPr>
      </w:pPr>
    </w:p>
    <w:p>
      <w:pPr>
        <w:ind w:left="1000" w:hanging="54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working capital and other general corporate purposes.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Based on our current plans, we believe our existing cash and cash equivalents, together with the net proceeds from this offering, will be sufficient to fund our operations into the second quarter of 2022.</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amounts and timing of our use of the remaining net proceeds from this offering will depend on a number of factors, such as the timing and plans for initiation of our planned clinical trials, the progress of our research and 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 As of the date of this prospectus supplement, we cannot specify with certainty all of the particular uses for the net proceeds to us from this offering.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“AVRO” since June 21, 2018. Prior to that time, there was no public market for our common stock.</w:t>
      </w:r>
    </w:p>
    <w:p>
      <w:pPr>
        <w:spacing w:after="0" w:line="17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On February 10, 2020, the closing price of our common stock as reported on The Nasdaq Global Select Market was $26.21 per share. As of February 10, 2020, we had approximately 11 record holders of our common stock (not including beneficial owners whose shares are held in street name).</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240" w:top="459" w:right="5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capitalization as of September 30, 2019:</w:t>
      </w:r>
    </w:p>
    <w:p>
      <w:pPr>
        <w:spacing w:after="0" w:line="131" w:lineRule="exact"/>
        <w:rPr>
          <w:sz w:val="20"/>
          <w:szCs w:val="20"/>
          <w:color w:val="auto"/>
        </w:rPr>
      </w:pPr>
    </w:p>
    <w:p>
      <w:pPr>
        <w:ind w:left="1000" w:hanging="54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00" w:right="540" w:hanging="546"/>
        <w:spacing w:after="0" w:line="342"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an as adjusted basis, giving effect to the sale of 4,350,000 shares of common stock by us in this offering at the public offering price of $23.00 per share, and after deducting the underwriting discounts and commissions and estimated offering expenses payable by us.</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this prospectus supplement and the accompanying prospectus from our annual report on Form 10-K for the fiscal year ended December 31, 2018 and our subsequent quarterly reports on Form 10-Q, and incorporated by reference herein and therein.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September 30,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tcBorders>
            <w:gridSpan w:val="3"/>
            <w:vMerge w:val="restart"/>
          </w:tcPr>
          <w:p>
            <w:pPr>
              <w:ind w:left="140"/>
              <w:spacing w:after="0"/>
              <w:rPr>
                <w:sz w:val="20"/>
                <w:szCs w:val="20"/>
                <w:color w:val="auto"/>
              </w:rPr>
            </w:pPr>
            <w:r>
              <w:rPr>
                <w:rFonts w:ascii="Arial" w:cs="Arial" w:eastAsia="Arial" w:hAnsi="Arial"/>
                <w:sz w:val="14"/>
                <w:szCs w:val="14"/>
                <w:b w:val="1"/>
                <w:bCs w:val="1"/>
                <w:color w:val="auto"/>
              </w:rPr>
              <w:t>Actual</w:t>
            </w:r>
          </w:p>
        </w:tc>
        <w:tc>
          <w:tcPr>
            <w:tcW w:w="76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Borders>
              <w:top w:val="single" w:sz="8" w:color="auto"/>
            </w:tcBorders>
            <w:gridSpan w:val="4"/>
          </w:tcPr>
          <w:p>
            <w:pPr>
              <w:jc w:val="right"/>
              <w:ind w:right="235"/>
              <w:spacing w:after="0" w:line="119" w:lineRule="exact"/>
              <w:rPr>
                <w:sz w:val="20"/>
                <w:szCs w:val="20"/>
                <w:color w:val="auto"/>
              </w:rPr>
            </w:pPr>
            <w:r>
              <w:rPr>
                <w:rFonts w:ascii="Arial" w:cs="Arial" w:eastAsia="Arial" w:hAnsi="Arial"/>
                <w:sz w:val="13"/>
                <w:szCs w:val="13"/>
                <w:b w:val="1"/>
                <w:bCs w:val="1"/>
                <w:color w:val="auto"/>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$ 206,362</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$ 299,909</w:t>
            </w: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w w:val="92"/>
              </w:rPr>
              <w:t>Preferred stock, $0.0001 par value, 10,000,000 shares authorized and no shares issued or outstanding, actual and as adjusted</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6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 150,000,000 shares authorized, 31,667,661 issued and 31,606,648 shares outstanding,</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60" w:type="dxa"/>
            <w:vAlign w:val="bottom"/>
          </w:tcPr>
          <w:p>
            <w:pPr>
              <w:ind w:left="160"/>
              <w:spacing w:after="0"/>
              <w:rPr>
                <w:sz w:val="20"/>
                <w:szCs w:val="20"/>
                <w:color w:val="auto"/>
              </w:rPr>
            </w:pPr>
            <w:r>
              <w:rPr>
                <w:rFonts w:ascii="Arial" w:cs="Arial" w:eastAsia="Arial" w:hAnsi="Arial"/>
                <w:sz w:val="18"/>
                <w:szCs w:val="18"/>
                <w:color w:val="auto"/>
              </w:rPr>
              <w:t>actual; 150,000,000 shares authorized, 36,017,661 shares issued and 35,956,648 shares outstanding, as adjusted</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328,799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(122,042)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$ 206,760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$ 300,307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actual and adjusted information set forth in the table above excludes the following:</w:t>
      </w:r>
    </w:p>
    <w:p>
      <w:pPr>
        <w:spacing w:after="0" w:line="131" w:lineRule="exact"/>
        <w:rPr>
          <w:sz w:val="20"/>
          <w:szCs w:val="20"/>
          <w:color w:val="auto"/>
        </w:rPr>
      </w:pPr>
    </w:p>
    <w:p>
      <w:pPr>
        <w:ind w:left="1000" w:right="200" w:hanging="546"/>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2,689,428 shares of common stock issuable upon the exercise of stock options outstanding as of September 30, 2019 under our 2018 Plan and our 2015 Plan, at a weighted-average exercise price of $10.29 per share;</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September 30, 2019;</w:t>
      </w:r>
    </w:p>
    <w:p>
      <w:pPr>
        <w:spacing w:after="0" w:line="130" w:lineRule="exact"/>
        <w:rPr>
          <w:rFonts w:ascii="Arial" w:cs="Arial" w:eastAsia="Arial" w:hAnsi="Arial"/>
          <w:sz w:val="18"/>
          <w:szCs w:val="18"/>
          <w:color w:val="auto"/>
        </w:rPr>
      </w:pPr>
    </w:p>
    <w:p>
      <w:pPr>
        <w:ind w:left="1000" w:right="40" w:hanging="546"/>
        <w:spacing w:after="0" w:line="264"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456,000 shares of common stock issuable upon the exercise of stock options issued outside of our 2018 Plan and our 2015 Plan as of September 30, 2019, at a weighted-average exercise price of $21.12 per share, which excludes 372,950 additional stock options that were issued after September 30, 2019, at a weighted-average exercise price of $18.54 per share;</w:t>
      </w:r>
    </w:p>
    <w:p>
      <w:pPr>
        <w:spacing w:after="0" w:line="86"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474,326 shares of common stock reserved for future issuance under our 2018 Plan as of September 30, 2019;</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461,266 shares of common stock reserved for future issuance under our 2018 Employee Stock Purchase Plan as of September 30, 2019; and</w:t>
      </w:r>
    </w:p>
    <w:p>
      <w:pPr>
        <w:spacing w:after="0" w:line="153" w:lineRule="exact"/>
        <w:rPr>
          <w:rFonts w:ascii="Arial" w:cs="Arial" w:eastAsia="Arial" w:hAnsi="Arial"/>
          <w:sz w:val="16"/>
          <w:szCs w:val="16"/>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1,618,750 shares of common stock reserved for future issuance under our 2019 Inducement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If you purchase shares of our common stock in this offering, your interest will be diluted to the extent of the difference between the public offering price per share of our common stock and the net tangible book value per share of our common stock after this offering. Our net tangible book value as of September 30, 2019 was approximately $206.8 million, or approximately $6.53 per share of common stock. “Net tangible book value” is total assets minus the sum of liabilities and intangible assets. “Net tangible book value per share” is net tangible book value divided by the total number of shares of common stock outstanding.</w:t>
      </w:r>
    </w:p>
    <w:p>
      <w:pPr>
        <w:spacing w:after="0" w:line="188"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After giving effect to the sale by us of 4,350,000 shares of our common stock at the public offering price of $23.00 per share, and after deducting the underwriting discounts and commissions and estimated offering expenses payable by us, our net tangible book value as of September 30, 2019 would have been approximately $300.3 million, or $8.34 per share of common stock. This amount represents an immediate increase in net tangible book value of $1.81 per share to existing stockholders and an immediate dilution of $14.66 per share to purchasers in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The following table illustrates the dilution:</w:t>
            </w:r>
          </w:p>
        </w:tc>
        <w:tc>
          <w:tcPr>
            <w:tcW w:w="2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 of common stock</w:t>
            </w:r>
          </w:p>
        </w:tc>
        <w:tc>
          <w:tcPr>
            <w:tcW w:w="3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tangible book value per share as of September 30, 2019</w:t>
            </w:r>
          </w:p>
        </w:tc>
        <w:tc>
          <w:tcPr>
            <w:tcW w:w="3160" w:type="dxa"/>
            <w:vAlign w:val="bottom"/>
            <w:gridSpan w:val="3"/>
          </w:tcPr>
          <w:p>
            <w:pPr>
              <w:jc w:val="right"/>
              <w:ind w:right="19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31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4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3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If the underwriters exercise their option to purchase 652,500 additional shares, the as adjusted net tangible book value per share after this offering would be $8.57 per share, and the dilution in as adjusted net tangible book value per share to new investors purchasing common shares in this offering would be $14.43 per share, after deducting underwriting discounts and commissions and estimated offering expenses payable by us.</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information above and in the foregoing table is based upon 31,667,661 shares of our common stock outstanding as of September 30, 2019. The information above and in the foregoing table excludes:</w:t>
      </w:r>
    </w:p>
    <w:p>
      <w:pPr>
        <w:spacing w:after="0" w:line="76" w:lineRule="exact"/>
        <w:rPr>
          <w:sz w:val="20"/>
          <w:szCs w:val="20"/>
          <w:color w:val="auto"/>
        </w:rPr>
      </w:pPr>
    </w:p>
    <w:p>
      <w:pPr>
        <w:ind w:left="1000" w:right="200" w:hanging="54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2,689,428 shares of common stock issuable upon the exercise of stock options outstanding as of September 30, 2019 under our 2018 Plan and our 2015 Plan, at a weighted-average exercise price of $10.29 per share;</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2,300 shares of common stock issuable upon the vesting of restricted stock units outstanding as of September 30, 2019;</w:t>
      </w:r>
    </w:p>
    <w:p>
      <w:pPr>
        <w:spacing w:after="0" w:line="130" w:lineRule="exact"/>
        <w:rPr>
          <w:rFonts w:ascii="Arial" w:cs="Arial" w:eastAsia="Arial" w:hAnsi="Arial"/>
          <w:sz w:val="18"/>
          <w:szCs w:val="18"/>
          <w:color w:val="auto"/>
        </w:rPr>
      </w:pPr>
    </w:p>
    <w:p>
      <w:pPr>
        <w:ind w:left="1000" w:right="40" w:hanging="546"/>
        <w:spacing w:after="0" w:line="26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456,000 shares of common stock issuable upon the exercise of stock options issued outside of our 2018 Plan and our 2015 Plan as of September 30, 2019, at a weighted-average exercise price of $21.12 per share, which excludes 372,950 additional stock options that were issued after September 30, 2019, at a weighted-average exercise price of $18.54 per share;</w:t>
      </w:r>
    </w:p>
    <w:p>
      <w:pPr>
        <w:spacing w:after="0" w:line="86" w:lineRule="exact"/>
        <w:rPr>
          <w:rFonts w:ascii="Arial" w:cs="Arial" w:eastAsia="Arial" w:hAnsi="Arial"/>
          <w:sz w:val="18"/>
          <w:szCs w:val="18"/>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474,326 shares of common stock reserved for future issuance under our 2018 Plan as of September 30, 2019;</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461,266 shares of common stock reserved for future issuance under our 2018 Employee Stock Purchase Plan as of September 30, 2019; and</w:t>
      </w:r>
    </w:p>
    <w:p>
      <w:pPr>
        <w:spacing w:after="0" w:line="153" w:lineRule="exact"/>
        <w:rPr>
          <w:rFonts w:ascii="Arial" w:cs="Arial" w:eastAsia="Arial" w:hAnsi="Arial"/>
          <w:sz w:val="16"/>
          <w:szCs w:val="16"/>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1,618,750 shares of common stock reserved for future issuance under our 2019 Inducement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and Cowen and Company, LLC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gridSpan w:val="2"/>
            <w:vMerge w:val="restart"/>
          </w:tcPr>
          <w:p>
            <w:pPr>
              <w:ind w:left="3540"/>
              <w:spacing w:after="0"/>
              <w:rPr>
                <w:sz w:val="20"/>
                <w:szCs w:val="20"/>
                <w:color w:val="auto"/>
              </w:rPr>
            </w:pPr>
            <w:r>
              <w:rPr>
                <w:rFonts w:ascii="Arial" w:cs="Arial" w:eastAsia="Arial" w:hAnsi="Arial"/>
                <w:sz w:val="14"/>
                <w:szCs w:val="14"/>
                <w:b w:val="1"/>
                <w:bCs w:val="1"/>
                <w:color w:val="auto"/>
                <w:w w:val="89"/>
              </w:rPr>
              <w:t>Name</w:t>
            </w: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4580" w:type="dxa"/>
            <w:vAlign w:val="bottom"/>
            <w:gridSpan w:val="4"/>
          </w:tcPr>
          <w:p>
            <w:pPr>
              <w:jc w:val="right"/>
              <w:spacing w:after="0"/>
              <w:rPr>
                <w:sz w:val="20"/>
                <w:szCs w:val="20"/>
                <w:color w:val="auto"/>
              </w:rPr>
            </w:pPr>
            <w:r>
              <w:rPr>
                <w:rFonts w:ascii="Arial" w:cs="Arial" w:eastAsia="Arial" w:hAnsi="Arial"/>
                <w:sz w:val="18"/>
                <w:szCs w:val="18"/>
                <w:color w:val="auto"/>
              </w:rPr>
              <w:t>1,131,000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4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543,750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4640" w:type="dxa"/>
            <w:vAlign w:val="bottom"/>
            <w:gridSpan w:val="5"/>
          </w:tcPr>
          <w:p>
            <w:pPr>
              <w:jc w:val="right"/>
              <w:ind w:right="60"/>
              <w:spacing w:after="0"/>
              <w:rPr>
                <w:sz w:val="20"/>
                <w:szCs w:val="20"/>
                <w:color w:val="auto"/>
              </w:rPr>
            </w:pPr>
            <w:r>
              <w:rPr>
                <w:rFonts w:ascii="Arial" w:cs="Arial" w:eastAsia="Arial" w:hAnsi="Arial"/>
                <w:sz w:val="18"/>
                <w:szCs w:val="18"/>
                <w:color w:val="auto"/>
              </w:rPr>
              <w:t>478,500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Wedbush Securities Inc.</w:t>
            </w:r>
          </w:p>
        </w:tc>
        <w:tc>
          <w:tcPr>
            <w:tcW w:w="4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282,750</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Nomura Securities International, Inc.</w:t>
            </w:r>
          </w:p>
        </w:tc>
        <w:tc>
          <w:tcPr>
            <w:tcW w:w="3680" w:type="dxa"/>
            <w:vAlign w:val="bottom"/>
          </w:tcPr>
          <w:p>
            <w:pPr>
              <w:spacing w:after="0"/>
              <w:rPr>
                <w:sz w:val="19"/>
                <w:szCs w:val="19"/>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174,000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6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ind w:right="1080" w:firstLine="456"/>
        <w:spacing w:after="0" w:line="277" w:lineRule="auto"/>
        <w:rPr>
          <w:sz w:val="20"/>
          <w:szCs w:val="20"/>
          <w:color w:val="auto"/>
        </w:rPr>
      </w:pPr>
      <w:r>
        <w:rPr>
          <w:rFonts w:ascii="Arial" w:cs="Arial" w:eastAsia="Arial" w:hAnsi="Arial"/>
          <w:sz w:val="18"/>
          <w:szCs w:val="18"/>
          <w:color w:val="auto"/>
        </w:rPr>
        <w:t>After the initial offering of the shares of common stock, the offering price and other selling terms may from time to time be varied by the representatives.</w:t>
      </w:r>
    </w:p>
    <w:p>
      <w:pPr>
        <w:spacing w:after="0" w:line="170"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up to 652,500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3"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652,500 shares of common stock.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2"/>
                <w:szCs w:val="12"/>
                <w:color w:val="auto"/>
              </w:rPr>
            </w:pPr>
          </w:p>
        </w:tc>
        <w:tc>
          <w:tcPr>
            <w:tcW w:w="12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12"/>
                <w:szCs w:val="12"/>
                <w:color w:val="auto"/>
              </w:rPr>
            </w:pPr>
          </w:p>
        </w:tc>
        <w:tc>
          <w:tcPr>
            <w:tcW w:w="10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97"/>
              </w:rPr>
              <w:t>Full Exercise</w:t>
            </w:r>
          </w:p>
        </w:tc>
        <w:tc>
          <w:tcPr>
            <w:tcW w:w="60" w:type="dxa"/>
            <w:vAlign w:val="bottom"/>
          </w:tcPr>
          <w:p>
            <w:pPr>
              <w:spacing w:after="0"/>
              <w:rPr>
                <w:sz w:val="12"/>
                <w:szCs w:val="12"/>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23.00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100,050,000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115,057,504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1.38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6,003,000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6,903,450</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21.62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94,047,000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108,154,054</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$500,000. We have agreed to reimburse the underwriters for expenses relating to clearance of this offering with the Financial Industry Regulatory Authority up to $30,000.</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“AVRO.”</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and all of our directors and officers and certain holders of our outstanding stock have agreed that, without the prior written consent of Morgan Stanley &amp; Co. LLC and Cowen and Company, LLC, on behalf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underwriters, we and they will not, during the period ending 90 days after the date of this prospectus supplement (the “restricted period”):</w:t>
      </w:r>
    </w:p>
    <w:p>
      <w:pPr>
        <w:spacing w:after="0" w:line="131" w:lineRule="exact"/>
        <w:rPr>
          <w:sz w:val="20"/>
          <w:szCs w:val="20"/>
          <w:color w:val="auto"/>
        </w:rPr>
      </w:pPr>
    </w:p>
    <w:p>
      <w:pPr>
        <w:ind w:left="1000" w:right="280" w:hanging="546"/>
        <w:spacing w:after="0" w:line="264"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00" w:hanging="546"/>
        <w:spacing w:after="0" w:line="264"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us, file any registration statement with the Securities and Exchange Commission relating to the offering of any shares of common stock or any securities convertible into or exercisable or exchangeable for common stock, other than a registration statement relating to securities under our equity incentive plans; or</w:t>
      </w:r>
    </w:p>
    <w:p>
      <w:pPr>
        <w:spacing w:after="0" w:line="86" w:lineRule="exact"/>
        <w:rPr>
          <w:rFonts w:ascii="Arial" w:cs="Arial" w:eastAsia="Arial" w:hAnsi="Arial"/>
          <w:sz w:val="18"/>
          <w:szCs w:val="18"/>
          <w:color w:val="auto"/>
        </w:rPr>
      </w:pPr>
    </w:p>
    <w:p>
      <w:pPr>
        <w:ind w:left="1000" w:right="240" w:hanging="54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restrictions described in the immediately preceding paragraph to do not apply to our directors and officers and certain holders of our outstanding stock for the following:</w:t>
      </w:r>
    </w:p>
    <w:p>
      <w:pPr>
        <w:spacing w:after="0" w:line="76" w:lineRule="exact"/>
        <w:rPr>
          <w:sz w:val="20"/>
          <w:szCs w:val="20"/>
          <w:color w:val="auto"/>
        </w:rPr>
      </w:pPr>
    </w:p>
    <w:p>
      <w:pPr>
        <w:ind w:left="1000" w:right="28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or exercisable or exchangeable into common stock as a bona fide gift;</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distributions of shares of common stock or any security convertible into common stock to limited partners or stockholders of the signatory;</w:t>
      </w:r>
    </w:p>
    <w:p>
      <w:pPr>
        <w:spacing w:after="0" w:line="142" w:lineRule="exact"/>
        <w:rPr>
          <w:rFonts w:ascii="Arial" w:cs="Arial" w:eastAsia="Arial" w:hAnsi="Arial"/>
          <w:sz w:val="17"/>
          <w:szCs w:val="17"/>
          <w:color w:val="auto"/>
        </w:rPr>
      </w:pPr>
    </w:p>
    <w:p>
      <w:pPr>
        <w:ind w:left="1000" w:right="20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auto"/>
        </w:rPr>
      </w:pPr>
    </w:p>
    <w:p>
      <w:pPr>
        <w:ind w:left="1000" w:right="160" w:hanging="546"/>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29" w:lineRule="exact"/>
        <w:rPr>
          <w:rFonts w:ascii="Arial" w:cs="Arial" w:eastAsia="Arial" w:hAnsi="Arial"/>
          <w:sz w:val="16"/>
          <w:szCs w:val="16"/>
          <w:color w:val="auto"/>
        </w:rPr>
      </w:pPr>
    </w:p>
    <w:p>
      <w:pPr>
        <w:ind w:left="1000" w:right="20" w:hanging="546"/>
        <w:spacing w:after="0" w:line="272"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or other securities to any corporation, partnership, limited liability company or other entity that is directly or indirectly controlling, controlled by, managing or managed by or under common control with the signatory, or the signatory’s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signatory or who shares a common investment advisor with the signatory in a transaction not involving a disposition for value;</w:t>
      </w:r>
    </w:p>
    <w:p>
      <w:pPr>
        <w:spacing w:after="0" w:line="83" w:lineRule="exact"/>
        <w:rPr>
          <w:rFonts w:ascii="Arial" w:cs="Arial" w:eastAsia="Arial" w:hAnsi="Arial"/>
          <w:sz w:val="17"/>
          <w:szCs w:val="17"/>
          <w:color w:val="auto"/>
        </w:rPr>
      </w:pPr>
    </w:p>
    <w:p>
      <w:pPr>
        <w:ind w:left="1000" w:right="100" w:hanging="546"/>
        <w:spacing w:after="0" w:line="26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20" w:hanging="546"/>
        <w:spacing w:after="0" w:line="25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transfers or dispositions of common stock or any security convertible into or exercisable or exchangeable for common stock to us pursuant to any contractual arrangement in effect prior to the date of this prospectus supplement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102" w:lineRule="exact"/>
        <w:rPr>
          <w:rFonts w:ascii="Arial" w:cs="Arial" w:eastAsia="Arial" w:hAnsi="Arial"/>
          <w:sz w:val="18"/>
          <w:szCs w:val="18"/>
          <w:color w:val="auto"/>
        </w:rPr>
      </w:pPr>
    </w:p>
    <w:p>
      <w:pPr>
        <w:ind w:left="1000" w:right="80" w:hanging="546"/>
        <w:spacing w:after="0" w:line="25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of any option or warrant described in the prospectus supplement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exercise of such stock option or warrant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94" w:lineRule="exact"/>
        <w:rPr>
          <w:rFonts w:ascii="Arial" w:cs="Arial" w:eastAsia="Arial" w:hAnsi="Arial"/>
          <w:sz w:val="18"/>
          <w:szCs w:val="18"/>
          <w:color w:val="auto"/>
        </w:rPr>
      </w:pPr>
    </w:p>
    <w:p>
      <w:pPr>
        <w:ind w:left="1000" w:right="200" w:hanging="546"/>
        <w:spacing w:after="0" w:line="26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w:t>
      </w:r>
    </w:p>
    <w:p>
      <w:pPr>
        <w:spacing w:after="0" w:line="86" w:lineRule="exact"/>
        <w:rPr>
          <w:rFonts w:ascii="Arial" w:cs="Arial" w:eastAsia="Arial" w:hAnsi="Arial"/>
          <w:sz w:val="18"/>
          <w:szCs w:val="18"/>
          <w:color w:val="auto"/>
        </w:rPr>
      </w:pPr>
    </w:p>
    <w:p>
      <w:pPr>
        <w:ind w:left="1000" w:hanging="546"/>
        <w:spacing w:after="0" w:line="30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 or</w:t>
      </w:r>
    </w:p>
    <w:p>
      <w:pPr>
        <w:spacing w:after="0" w:line="59" w:lineRule="exact"/>
        <w:rPr>
          <w:rFonts w:ascii="Arial" w:cs="Arial" w:eastAsia="Arial" w:hAnsi="Arial"/>
          <w:sz w:val="16"/>
          <w:szCs w:val="16"/>
          <w:color w:val="auto"/>
        </w:rPr>
      </w:pPr>
    </w:p>
    <w:p>
      <w:pPr>
        <w:ind w:left="1000" w:right="640" w:hanging="54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holders that have 10b5-1 plans in place on the date of this prospectus, sales or other dispositions under such plans, subject to certain limitations;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restrictions described in the paragraph above relating to us do not apply to:</w:t>
      </w:r>
    </w:p>
    <w:p>
      <w:pPr>
        <w:spacing w:after="0" w:line="131" w:lineRule="exact"/>
        <w:rPr>
          <w:sz w:val="20"/>
          <w:szCs w:val="20"/>
          <w:color w:val="auto"/>
        </w:rPr>
      </w:pPr>
    </w:p>
    <w:p>
      <w:pPr>
        <w:ind w:left="1000" w:hanging="54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00" w:right="60" w:hanging="546"/>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issuance of shares of common stock upon the exercise of an option or warrant or the conversion of a security outstanding on the date of this prospectus supplement pursuant to stock plans disclosed in this prospectus supplement;</w:t>
      </w:r>
    </w:p>
    <w:p>
      <w:pPr>
        <w:spacing w:after="0" w:line="75" w:lineRule="exact"/>
        <w:rPr>
          <w:rFonts w:ascii="Arial" w:cs="Arial" w:eastAsia="Arial" w:hAnsi="Arial"/>
          <w:sz w:val="18"/>
          <w:szCs w:val="18"/>
          <w:color w:val="auto"/>
        </w:rPr>
      </w:pPr>
    </w:p>
    <w:p>
      <w:pPr>
        <w:jc w:val="both"/>
        <w:ind w:left="1000" w:right="200" w:hanging="546"/>
        <w:spacing w:after="0" w:line="31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 such plan does not provide for the transfer of shares of common stock during the restricted period and to the extent a public announcement or filing under the Exchange Act is required of or voluntarily made by the Company regarding the establishment of such plan, such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160"/>
        <w:spacing w:after="0" w:line="277" w:lineRule="auto"/>
        <w:rPr>
          <w:sz w:val="20"/>
          <w:szCs w:val="20"/>
          <w:color w:val="auto"/>
        </w:rPr>
      </w:pPr>
      <w:r>
        <w:rPr>
          <w:rFonts w:ascii="Arial" w:cs="Arial" w:eastAsia="Arial" w:hAnsi="Arial"/>
          <w:sz w:val="18"/>
          <w:szCs w:val="18"/>
          <w:color w:val="auto"/>
        </w:rPr>
        <w:t>announcement or filing shall include a statement to the effect that no transfer of shares of common stock may be made under such plan during the restricted period; or</w:t>
      </w:r>
    </w:p>
    <w:p>
      <w:pPr>
        <w:spacing w:after="0" w:line="76" w:lineRule="exact"/>
        <w:rPr>
          <w:sz w:val="20"/>
          <w:szCs w:val="20"/>
          <w:color w:val="auto"/>
        </w:rPr>
      </w:pPr>
    </w:p>
    <w:p>
      <w:pPr>
        <w:ind w:left="1000" w:right="220" w:hanging="546"/>
        <w:spacing w:after="0" w:line="273"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sale or issuance of or entry into an agreement to sell or issue shares of common stock or securities convertible into or exercisable for common stock in connection with any (i) merger, (ii) acquisition of securities, businesses, property or any other assets, (iii) joint ventures, (iv) strategic alliances, (v) equipment leasing arrangements or (vi) debt financing, provided that the aggregate number of shares of common stock or securities convertible into or exercisable for common stock (on an as converted or as exercised basis, as the case may be) that the Company may sell or issue or agree to sell or issue pursuant to this bullet shall not exceed 5% of the total number of shares of the Company’s common stock issued and outstanding immediately following the completion of this offering;</w:t>
      </w:r>
    </w:p>
    <w:p>
      <w:pPr>
        <w:spacing w:after="0" w:line="17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provided that, in the case of any transfer or distribution as described in the fourth bullet point above, we shall agree to be subject to the restrictions described in the paragraph preceding the immediately preceding paragraph.</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7" w:lineRule="exact"/>
        <w:rPr>
          <w:sz w:val="20"/>
          <w:szCs w:val="20"/>
          <w:color w:val="auto"/>
        </w:rPr>
      </w:pPr>
    </w:p>
    <w:p>
      <w:pPr>
        <w:jc w:val="center"/>
        <w:ind w:right="9920"/>
        <w:spacing w:after="0"/>
        <w:rPr>
          <w:sz w:val="20"/>
          <w:szCs w:val="20"/>
          <w:color w:val="auto"/>
        </w:rPr>
      </w:pPr>
      <w:r>
        <w:rPr>
          <w:rFonts w:ascii="Arial" w:cs="Arial" w:eastAsia="Arial" w:hAnsi="Arial"/>
          <w:sz w:val="16"/>
          <w:szCs w:val="16"/>
          <w:b w:val="1"/>
          <w:bCs w:val="1"/>
          <w:color w:val="auto"/>
        </w:rPr>
        <w:t>Selling Restrictions</w:t>
      </w:r>
    </w:p>
    <w:p>
      <w:pPr>
        <w:spacing w:after="0" w:line="144" w:lineRule="exact"/>
        <w:rPr>
          <w:sz w:val="20"/>
          <w:szCs w:val="20"/>
          <w:color w:val="auto"/>
        </w:rPr>
      </w:pPr>
    </w:p>
    <w:p>
      <w:pPr>
        <w:jc w:val="center"/>
        <w:ind w:right="99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and the United Kingdom (each, a “Relevant State”), an offer to the public of any shares of our common stock may not be made in that Relevant State, except that an offer to the public in that Relevant State of any shares of our common stock may be made at any time under the following exemptions under the Prospectus Directive, if they have been implemented in that Relevant State:</w:t>
      </w:r>
    </w:p>
    <w:p>
      <w:pPr>
        <w:spacing w:after="0" w:line="92" w:lineRule="exact"/>
        <w:rPr>
          <w:sz w:val="20"/>
          <w:szCs w:val="20"/>
          <w:color w:val="auto"/>
        </w:rPr>
      </w:pPr>
    </w:p>
    <w:p>
      <w:pPr>
        <w:ind w:left="1000" w:hanging="40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00" w:right="80" w:hanging="418"/>
        <w:spacing w:after="0" w:line="264"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fewer than 100 or, if the Relevant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00" w:right="280" w:hanging="408"/>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Relevant State means the communication in any form and by any means of sufficient information on the terms of the offer and any shares of our common stock to be offered so as to enable 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investor to decide to purchase any shares of our common stock, as the same may be varied in that Relevant State by any measure implementing the Prospectus Directive in that Relevant State, the expression “Prospectus Directive” means Directive 2003/71/EC (and amendments thereto, including the 2010 PD Amending Directive, to the extent implemented in the Relevant State), and includes any relevant implementing measure in the Relevant State, and the expression “2010 PD Amending Directive” means Directive 2010/73/EU. References to the Prospectus Directive include, in relation to the United Kingdom, the Prospectus Directive as it forms part of U.K. domestic law by virtue of the European Union (Withdrawal) Act 2018.</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hanging="408"/>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00" w:right="120" w:hanging="41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following discussion is a summary of certain material U.S. federal income tax considerations for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87" w:lineRule="exact"/>
        <w:rPr>
          <w:sz w:val="20"/>
          <w:szCs w:val="20"/>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a particular non-U.S. holder in light of that non-U.S. holder’s individual circumstances nor does it address U.S. state, local or non-U.S. taxes, the alternative minimum tax, the rules regarding qualified small business stock within the meaning of Section 1202 of the Code, the Medicare tax on net investment income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94" w:lineRule="exact"/>
        <w:rPr>
          <w:sz w:val="20"/>
          <w:szCs w:val="20"/>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00" w:right="340" w:hanging="54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00" w:right="440" w:hanging="54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897(I)(2)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persons that hold our common stock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 and</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consult their tax advisors with respect to the U.S. federal, state, local and non-U.S. tax consequences of the ownership and disposition of our common stock.</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described in the “Risk Factors”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“FATCA.”</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“FATCA,” a non-U.S. holder generally will not be subject to any U.S. federal income or withholding tax on any gain realized upon such holder’s sale or other taxable disposition of shares of our common stock unless:</w:t>
      </w:r>
    </w:p>
    <w:p>
      <w:pPr>
        <w:spacing w:after="0" w:line="87" w:lineRule="exact"/>
        <w:rPr>
          <w:sz w:val="20"/>
          <w:szCs w:val="20"/>
          <w:color w:val="auto"/>
        </w:rPr>
      </w:pPr>
    </w:p>
    <w:p>
      <w:pPr>
        <w:ind w:left="1000" w:right="580" w:hanging="546"/>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 base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40"/>
        <w:spacing w:after="0" w:line="286" w:lineRule="auto"/>
        <w:rPr>
          <w:sz w:val="20"/>
          <w:szCs w:val="20"/>
          <w:color w:val="auto"/>
        </w:rPr>
      </w:pPr>
      <w:r>
        <w:rPr>
          <w:rFonts w:ascii="Arial" w:cs="Arial" w:eastAsia="Arial" w:hAnsi="Arial"/>
          <w:sz w:val="17"/>
          <w:szCs w:val="17"/>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00" w:right="60" w:hanging="546"/>
        <w:spacing w:after="0" w:line="255"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1000" w:right="20" w:hanging="546"/>
        <w:spacing w:after="0" w:line="270"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7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validity of the common stock being offered hereby will be passed upon by Goodwin Procter LLP, Boston, Massachusetts. Ropes &amp; Gray LLP, Boston, Massachusetts, is acting as counsel for the underwriters in connection with certain legal matters related to this offering.</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prospectus.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Our website is located at </w:t>
      </w:r>
      <w:r>
        <w:rPr>
          <w:rFonts w:ascii="Arial" w:cs="Arial" w:eastAsia="Arial" w:hAnsi="Arial"/>
          <w:sz w:val="18"/>
          <w:szCs w:val="18"/>
          <w:i w:val="1"/>
          <w:iCs w:val="1"/>
          <w:color w:val="auto"/>
        </w:rPr>
        <w:t>www.avrobio.com.</w:t>
      </w:r>
      <w:r>
        <w:rPr>
          <w:rFonts w:ascii="Arial" w:cs="Arial" w:eastAsia="Arial" w:hAnsi="Arial"/>
          <w:sz w:val="18"/>
          <w:szCs w:val="18"/>
          <w:color w:val="auto"/>
        </w:rPr>
        <w:t xml:space="preserve"> Information contained on our website is not incorporated by reference into this prospectus and, therefore, is not part of this prospectus supplement or the accompanying prospectus.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the accompanying prospectus, and information that we file later with the SEC will automatically update and supersede this information. We filed a registration statement on Form S-3 under the Securities Act of 1933, as amended,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us and the securities being offered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reference or the exhibits, may be obtained upon payment of the prescribed rates at the offices of the SEC listed above in “Where You Can Find More Information.” The documents we are incorporating by reference are:</w:t>
      </w:r>
    </w:p>
    <w:p>
      <w:pPr>
        <w:spacing w:after="0" w:line="76" w:lineRule="exact"/>
        <w:rPr>
          <w:sz w:val="20"/>
          <w:szCs w:val="20"/>
          <w:color w:val="auto"/>
        </w:rPr>
      </w:pPr>
    </w:p>
    <w:p>
      <w:pPr>
        <w:ind w:left="1000" w:hanging="54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130" w:lineRule="exact"/>
        <w:rPr>
          <w:rFonts w:ascii="Arial" w:cs="Arial" w:eastAsia="Arial" w:hAnsi="Arial"/>
          <w:sz w:val="18"/>
          <w:szCs w:val="18"/>
          <w:color w:val="auto"/>
        </w:rPr>
      </w:pPr>
    </w:p>
    <w:p>
      <w:pPr>
        <w:ind w:left="1000" w:right="200" w:hanging="546"/>
        <w:spacing w:after="0" w:line="26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8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which was filed with the SEC on April 26, 2019;</w:t>
      </w:r>
    </w:p>
    <w:p>
      <w:pPr>
        <w:spacing w:after="0" w:line="86" w:lineRule="exact"/>
        <w:rPr>
          <w:rFonts w:ascii="Arial" w:cs="Arial" w:eastAsia="Arial" w:hAnsi="Arial"/>
          <w:sz w:val="18"/>
          <w:szCs w:val="18"/>
          <w:color w:val="auto"/>
        </w:rPr>
      </w:pPr>
    </w:p>
    <w:p>
      <w:pPr>
        <w:ind w:left="1000" w:right="80" w:hanging="546"/>
        <w:spacing w:after="0" w:line="26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filed with the SEC on </w:t>
      </w:r>
      <w:hyperlink r:id="rId85">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our Quarterly Report on Form 10-Q for the quarter ended June 30, 2019, filed with the SEC on </w:t>
      </w:r>
      <w:hyperlink r:id="rId86">
        <w:r>
          <w:rPr>
            <w:rFonts w:ascii="Arial" w:cs="Arial" w:eastAsia="Arial" w:hAnsi="Arial"/>
            <w:sz w:val="18"/>
            <w:szCs w:val="18"/>
            <w:u w:val="single" w:color="auto"/>
            <w:color w:val="0000EE"/>
          </w:rPr>
          <w:t>August 8, 2019</w:t>
        </w:r>
      </w:hyperlink>
      <w:r>
        <w:rPr>
          <w:rFonts w:ascii="Arial" w:cs="Arial" w:eastAsia="Arial" w:hAnsi="Arial"/>
          <w:sz w:val="18"/>
          <w:szCs w:val="18"/>
          <w:color w:val="auto"/>
        </w:rPr>
        <w:t xml:space="preserve">; our Quarterly Report on Form 10-Q for the quarter ended September 30, 2019, filed with the SEC on </w:t>
      </w:r>
      <w:hyperlink r:id="rId87">
        <w:r>
          <w:rPr>
            <w:rFonts w:ascii="Arial" w:cs="Arial" w:eastAsia="Arial" w:hAnsi="Arial"/>
            <w:sz w:val="18"/>
            <w:szCs w:val="18"/>
            <w:u w:val="single" w:color="auto"/>
            <w:color w:val="0000EE"/>
          </w:rPr>
          <w:t>November 7,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000" w:hanging="546"/>
        <w:spacing w:after="0" w:line="312" w:lineRule="auto"/>
        <w:tabs>
          <w:tab w:leader="none" w:pos="1000" w:val="left"/>
        </w:tabs>
        <w:numPr>
          <w:ilvl w:val="0"/>
          <w:numId w:val="35"/>
        </w:numPr>
        <w:rPr>
          <w:rFonts w:ascii="Arial" w:cs="Arial" w:eastAsia="Arial" w:hAnsi="Arial"/>
          <w:sz w:val="16"/>
          <w:szCs w:val="16"/>
          <w:color w:val="0000EE"/>
        </w:rPr>
      </w:pPr>
      <w:hyperlink r:id="rId88">
        <w:r>
          <w:rPr>
            <w:rFonts w:ascii="Arial" w:cs="Arial" w:eastAsia="Arial" w:hAnsi="Arial"/>
            <w:sz w:val="16"/>
            <w:szCs w:val="16"/>
            <w:color w:val="auto"/>
          </w:rPr>
          <w:t xml:space="preserve">our Current Report on Form 8-K filed with the SEC on </w:t>
        </w:r>
        <w:r>
          <w:rPr>
            <w:rFonts w:ascii="Arial" w:cs="Arial" w:eastAsia="Arial" w:hAnsi="Arial"/>
            <w:sz w:val="16"/>
            <w:szCs w:val="16"/>
            <w:u w:val="single" w:color="auto"/>
            <w:color w:val="0000EE"/>
          </w:rPr>
          <w:t>January 7, 2019</w:t>
        </w:r>
        <w:r>
          <w:rPr>
            <w:rFonts w:ascii="Arial" w:cs="Arial" w:eastAsia="Arial" w:hAnsi="Arial"/>
            <w:sz w:val="16"/>
            <w:szCs w:val="16"/>
            <w:color w:val="auto"/>
          </w:rPr>
          <w:t xml:space="preserve">, our Current Report on Form 8-K/A filed with the SEC on </w:t>
        </w:r>
        <w:r>
          <w:rPr>
            <w:rFonts w:ascii="Arial" w:cs="Arial" w:eastAsia="Arial" w:hAnsi="Arial"/>
            <w:sz w:val="16"/>
            <w:szCs w:val="16"/>
            <w:u w:val="single" w:color="auto"/>
            <w:color w:val="0000EE"/>
          </w:rPr>
          <w:t>January 11,</w:t>
        </w:r>
      </w:hyperlink>
      <w:r>
        <w:rPr>
          <w:rFonts w:ascii="Arial" w:cs="Arial" w:eastAsia="Arial" w:hAnsi="Arial"/>
          <w:sz w:val="16"/>
          <w:szCs w:val="16"/>
          <w:color w:val="auto"/>
        </w:rPr>
        <w:t xml:space="preserve"> </w:t>
      </w:r>
      <w:hyperlink r:id="rId89">
        <w:r>
          <w:rPr>
            <w:rFonts w:ascii="Arial" w:cs="Arial" w:eastAsia="Arial" w:hAnsi="Arial"/>
            <w:sz w:val="16"/>
            <w:szCs w:val="16"/>
            <w:u w:val="single" w:color="auto"/>
            <w:color w:val="0000EE"/>
          </w:rPr>
          <w:t>2019</w:t>
        </w:r>
        <w:r>
          <w:rPr>
            <w:rFonts w:ascii="Arial" w:cs="Arial" w:eastAsia="Arial" w:hAnsi="Arial"/>
            <w:sz w:val="16"/>
            <w:szCs w:val="16"/>
            <w:color w:val="0000EE"/>
          </w:rPr>
          <w:t xml:space="preserve"> </w:t>
        </w:r>
        <w:r>
          <w:rPr>
            <w:rFonts w:ascii="Arial" w:cs="Arial" w:eastAsia="Arial" w:hAnsi="Arial"/>
            <w:sz w:val="16"/>
            <w:szCs w:val="16"/>
            <w:color w:val="000000"/>
          </w:rPr>
          <w:t>and our Current Reports on Form 8-K filed with the SEC 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January 22,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February 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April 29,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June 12,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July 15,</w:t>
        </w:r>
      </w:hyperlink>
      <w:r>
        <w:rPr>
          <w:rFonts w:ascii="Arial" w:cs="Arial" w:eastAsia="Arial" w:hAnsi="Arial"/>
          <w:sz w:val="16"/>
          <w:szCs w:val="16"/>
          <w:color w:val="0000EE"/>
        </w:rPr>
        <w:t xml:space="preserve"> </w:t>
      </w:r>
      <w:hyperlink r:id="rId89">
        <w:r>
          <w:rPr>
            <w:rFonts w:ascii="Arial" w:cs="Arial" w:eastAsia="Arial" w:hAnsi="Arial"/>
            <w:sz w:val="16"/>
            <w:szCs w:val="16"/>
            <w:u w:val="single" w:color="auto"/>
            <w:color w:val="0000EE"/>
          </w:rPr>
          <w:t>2019</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90">
        <w:r>
          <w:rPr>
            <w:rFonts w:ascii="Arial" w:cs="Arial" w:eastAsia="Arial" w:hAnsi="Arial"/>
            <w:sz w:val="16"/>
            <w:szCs w:val="16"/>
            <w:u w:val="single" w:color="auto"/>
            <w:color w:val="0000EE"/>
          </w:rPr>
          <w:t xml:space="preserve">July 17, 2019 </w:t>
        </w:r>
      </w:hyperlink>
      <w:hyperlink r:id="rId89">
        <w:r>
          <w:rPr>
            <w:rFonts w:ascii="Arial" w:cs="Arial" w:eastAsia="Arial" w:hAnsi="Arial"/>
            <w:sz w:val="16"/>
            <w:szCs w:val="16"/>
            <w:color w:val="000000"/>
          </w:rPr>
          <w:t>and</w:t>
        </w:r>
        <w:r>
          <w:rPr>
            <w:rFonts w:ascii="Arial" w:cs="Arial" w:eastAsia="Arial" w:hAnsi="Arial"/>
            <w:sz w:val="16"/>
            <w:szCs w:val="16"/>
            <w:color w:val="0000EE"/>
          </w:rPr>
          <w:t xml:space="preserve"> </w:t>
        </w:r>
      </w:hyperlink>
      <w:hyperlink r:id="rId91">
        <w:r>
          <w:rPr>
            <w:rFonts w:ascii="Arial" w:cs="Arial" w:eastAsia="Arial" w:hAnsi="Arial"/>
            <w:sz w:val="16"/>
            <w:szCs w:val="16"/>
            <w:u w:val="single" w:color="auto"/>
            <w:color w:val="0000EE"/>
          </w:rPr>
          <w:t>February 10, 2020</w:t>
        </w:r>
      </w:hyperlink>
      <w:hyperlink r:id="rId89">
        <w:r>
          <w:rPr>
            <w:rFonts w:ascii="Arial" w:cs="Arial" w:eastAsia="Arial" w:hAnsi="Arial"/>
            <w:sz w:val="16"/>
            <w:szCs w:val="16"/>
            <w:color w:val="000000"/>
          </w:rPr>
          <w:t>, (in each case, except for information contained therein which is furnished rather than filed); and</w:t>
        </w:r>
      </w:hyperlink>
    </w:p>
    <w:p>
      <w:pPr>
        <w:spacing w:after="0" w:line="52" w:lineRule="exact"/>
        <w:rPr>
          <w:rFonts w:ascii="Arial" w:cs="Arial" w:eastAsia="Arial" w:hAnsi="Arial"/>
          <w:sz w:val="16"/>
          <w:szCs w:val="16"/>
          <w:color w:val="0000EE"/>
        </w:rPr>
      </w:pPr>
    </w:p>
    <w:p>
      <w:pPr>
        <w:ind w:left="1000" w:right="200" w:hanging="546"/>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9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170" w:lineRule="exact"/>
        <w:rPr>
          <w:rFonts w:ascii="Arial" w:cs="Arial" w:eastAsia="Arial" w:hAnsi="Arial"/>
          <w:sz w:val="16"/>
          <w:szCs w:val="16"/>
          <w:color w:val="0000EE"/>
        </w:rPr>
      </w:pPr>
    </w:p>
    <w:p>
      <w:pPr>
        <w:ind w:firstLine="456"/>
        <w:spacing w:after="0" w:line="259" w:lineRule="auto"/>
        <w:rPr>
          <w:sz w:val="20"/>
          <w:szCs w:val="20"/>
          <w:color w:val="auto"/>
        </w:rPr>
      </w:pPr>
      <w:r>
        <w:rPr>
          <w:rFonts w:ascii="Arial" w:cs="Arial" w:eastAsia="Arial" w:hAnsi="Arial"/>
          <w:sz w:val="18"/>
          <w:szCs w:val="18"/>
          <w:color w:val="auto"/>
        </w:rPr>
        <w:t>In addition, all documents (other than current reports furnished under Item 2.02 or Item 7.01 of Form 8-K and exhibits filed in such forms that are related to such items unless such Form 8-K expressly provides to the contrary) subsequently filed by us pursuant to Section 13(a), 13(c), 14 or 15(d) of the Securities Exchange Act of 1934, as amended, before the date our offering is terminated or completed are deemed to be incorporated by reference into, and to be a part of, this prospectus supplement and the accompanying prospectus.</w:t>
      </w:r>
    </w:p>
    <w:p>
      <w:pPr>
        <w:spacing w:after="0" w:line="187" w:lineRule="exact"/>
        <w:rPr>
          <w:rFonts w:ascii="Arial" w:cs="Arial" w:eastAsia="Arial" w:hAnsi="Arial"/>
          <w:sz w:val="16"/>
          <w:szCs w:val="16"/>
          <w:color w:val="0000EE"/>
        </w:rPr>
      </w:pPr>
    </w:p>
    <w:p>
      <w:pPr>
        <w:ind w:right="40" w:firstLine="456"/>
        <w:spacing w:after="0" w:line="273" w:lineRule="auto"/>
        <w:rPr>
          <w:sz w:val="20"/>
          <w:szCs w:val="20"/>
          <w:color w:val="auto"/>
        </w:rPr>
      </w:pPr>
      <w:r>
        <w:rPr>
          <w:rFonts w:ascii="Arial" w:cs="Arial" w:eastAsia="Arial" w:hAnsi="Arial"/>
          <w:sz w:val="17"/>
          <w:szCs w:val="17"/>
          <w:color w:val="auto"/>
        </w:rPr>
        <w:t>Any statement contained in this prospectus supplement and the accompanying prospectus or in a document incorporated or deemed to be incorporated by reference into this prospectus supplement and the accompanying prospectus will be deemed to be modified or superseded for purposes of this prospectus supplement and the accompanying prospectus to the extent that a statement contained in this prospectus supplement and the accompanying prospectus or any other subsequently filed document that is deemed to be incorporated by reference into this prospectus supplement and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78" w:lineRule="exact"/>
        <w:rPr>
          <w:rFonts w:ascii="Arial" w:cs="Arial" w:eastAsia="Arial" w:hAnsi="Arial"/>
          <w:sz w:val="16"/>
          <w:szCs w:val="16"/>
          <w:color w:val="0000EE"/>
        </w:rPr>
      </w:pPr>
    </w:p>
    <w:p>
      <w:pPr>
        <w:ind w:right="40" w:firstLine="456"/>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Investor Relations, AVROBIO, Inc., One Kendall Square, Building 300, Suite 201, Cambridge, Massachusetts 02139, or via telephone at (617) 914-8420.</w:t>
      </w:r>
    </w:p>
    <w:p>
      <w:pPr>
        <w:spacing w:after="0" w:line="181" w:lineRule="exact"/>
        <w:rPr>
          <w:rFonts w:ascii="Arial" w:cs="Arial" w:eastAsia="Arial" w:hAnsi="Arial"/>
          <w:sz w:val="16"/>
          <w:szCs w:val="16"/>
          <w:color w:val="0000EE"/>
        </w:rPr>
      </w:pPr>
    </w:p>
    <w:p>
      <w:pPr>
        <w:jc w:val="both"/>
        <w:ind w:right="60" w:firstLine="456"/>
        <w:spacing w:after="0" w:line="257"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supplement and the accompanying prospectus. We have not authorized anyone to provide you with information different from that contained in this prospectus supplement and the accompanying prospectus or incorporated by reference in this prospectus supplement and the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21" w:lineRule="exact"/>
        <w:rPr>
          <w:rFonts w:ascii="Arial" w:cs="Arial" w:eastAsia="Arial" w:hAnsi="Arial"/>
          <w:sz w:val="16"/>
          <w:szCs w:val="16"/>
          <w:color w:val="0000EE"/>
        </w:rPr>
      </w:pPr>
    </w:p>
    <w:p>
      <w:pPr>
        <w:jc w:val="center"/>
        <w:ind w:right="-3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248920</wp:posOffset>
            </wp:positionV>
            <wp:extent cx="1440815" cy="3346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$250,000,000</w:t>
      </w:r>
    </w:p>
    <w:p>
      <w:pPr>
        <w:spacing w:after="0" w:line="339"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311785</wp:posOffset>
            </wp:positionV>
            <wp:extent cx="14662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We may from time to time issue, in one or more series or classes, up to $250,000,000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255"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26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“AVRO.” On December 19, 2019, the closing price for our common stock, as reported on The Nasdaq Global Select Market, was $20.08 per share. Our principal executive offices are located at One Kendall Square, Building 300, Suite 201, 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287020</wp:posOffset>
            </wp:positionV>
            <wp:extent cx="14662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review carefully the risks and uncertainties described under the heading “</w:t>
      </w:r>
      <w:hyperlink w:anchor="page5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contained in this prospectus beginning on page 2 and any applicable prospectus supplement, and under similar headings in the other documents that are incorporated by reference into this prospectus.</w:t>
      </w:r>
    </w:p>
    <w:p>
      <w:pPr>
        <w:spacing w:after="0" w:line="30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date of this Prospectus is January 14, 2019</w:t>
      </w:r>
    </w:p>
    <w:p>
      <w:pPr>
        <w:sectPr>
          <w:pgSz w:w="11900" w:h="16838" w:orient="portrait"/>
          <w:cols w:equalWidth="0" w:num="1">
            <w:col w:w="11160"/>
          </w:cols>
          <w:pgMar w:left="24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ABOUT THIS PROSPECTUS</w:t>
              </w:r>
            </w:hyperlink>
          </w:p>
        </w:tc>
        <w:tc>
          <w:tcPr>
            <w:tcW w:w="6260" w:type="dxa"/>
            <w:vAlign w:val="bottom"/>
            <w:gridSpan w:val="8"/>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RISK FACTORS</w:t>
              </w:r>
            </w:hyperlink>
          </w:p>
        </w:tc>
        <w:tc>
          <w:tcPr>
            <w:tcW w:w="7240" w:type="dxa"/>
            <w:vAlign w:val="bottom"/>
            <w:gridSpan w:val="14"/>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CAUTIONARY STATEMENT REGARDING FORWARD-LOOKING STATEMENTS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6340" w:type="dxa"/>
            <w:vAlign w:val="bottom"/>
            <w:tcBorders>
              <w:top w:val="single" w:sz="8" w:color="0000EE"/>
            </w:tcBorders>
            <w:gridSpan w:val="1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THE COMPANY</w:t>
              </w:r>
            </w:hyperlink>
          </w:p>
        </w:tc>
        <w:tc>
          <w:tcPr>
            <w:tcW w:w="216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USE OF PROCEEDS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SECURITIES WE MAY OFFER</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28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DESCRIPTION OF CAPITAL STOCK</w:t>
              </w:r>
            </w:hyperlink>
          </w:p>
        </w:tc>
        <w:tc>
          <w:tcPr>
            <w:tcW w:w="5620" w:type="dxa"/>
            <w:vAlign w:val="bottom"/>
            <w:gridSpan w:val="4"/>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DESCRIPTION OF DEBT SECURITIES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3020" w:type="dxa"/>
            <w:vAlign w:val="bottom"/>
            <w:tcBorders>
              <w:top w:val="single" w:sz="8" w:color="0000EE"/>
            </w:tcBorders>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DESCRIPTION OF WARRANTS</w:t>
              </w:r>
            </w:hyperlink>
          </w:p>
        </w:tc>
        <w:tc>
          <w:tcPr>
            <w:tcW w:w="5480" w:type="dxa"/>
            <w:vAlign w:val="bottom"/>
            <w:gridSpan w:val="3"/>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2480" w:type="dxa"/>
            <w:vAlign w:val="bottom"/>
            <w:tcBorders>
              <w:top w:val="single" w:sz="8" w:color="0000EE"/>
            </w:tcBorders>
            <w:gridSpan w:val="1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DESCRIPTION OF UNITS</w:t>
              </w:r>
            </w:hyperlink>
          </w:p>
        </w:tc>
        <w:tc>
          <w:tcPr>
            <w:tcW w:w="6020" w:type="dxa"/>
            <w:vAlign w:val="bottom"/>
            <w:gridSpan w:val="6"/>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20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PLAN OF DISTRIBUTION</w:t>
              </w:r>
            </w:hyperlink>
          </w:p>
        </w:tc>
        <w:tc>
          <w:tcPr>
            <w:tcW w:w="6440" w:type="dxa"/>
            <w:vAlign w:val="bottom"/>
            <w:gridSpan w:val="9"/>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4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LEGAL MATTERS</w:t>
              </w:r>
            </w:hyperlink>
          </w:p>
        </w:tc>
        <w:tc>
          <w:tcPr>
            <w:tcW w:w="7040" w:type="dxa"/>
            <w:vAlign w:val="bottom"/>
            <w:gridSpan w:val="12"/>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780" w:type="dxa"/>
            <w:vAlign w:val="bottom"/>
            <w:tcBorders>
              <w:bottom w:val="single" w:sz="8" w:color="0000EE"/>
            </w:tcBorders>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EXPERTS</w:t>
              </w:r>
            </w:hyperlink>
          </w:p>
        </w:tc>
        <w:tc>
          <w:tcPr>
            <w:tcW w:w="7720" w:type="dxa"/>
            <w:vAlign w:val="bottom"/>
            <w:gridSpan w:val="15"/>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382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WHERE YOU CAN FIND MORE INFORMATION</w:t>
              </w:r>
            </w:hyperlink>
          </w:p>
        </w:tc>
        <w:tc>
          <w:tcPr>
            <w:tcW w:w="4680" w:type="dxa"/>
            <w:vAlign w:val="bottom"/>
            <w:gridSpan w:val="2"/>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INCORPORATION BY REFERENCE</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8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31 of this prospectus.</w:t>
      </w:r>
    </w:p>
    <w:p>
      <w:pPr>
        <w:spacing w:after="0" w:line="15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4" w:lineRule="exact"/>
        <w:rPr>
          <w:sz w:val="20"/>
          <w:szCs w:val="20"/>
          <w:color w:val="auto"/>
        </w:rPr>
      </w:pPr>
    </w:p>
    <w:p>
      <w:pPr>
        <w:ind w:left="200" w:right="960" w:firstLine="441"/>
        <w:spacing w:after="0" w:line="282" w:lineRule="auto"/>
        <w:rPr>
          <w:sz w:val="20"/>
          <w:szCs w:val="20"/>
          <w:color w:val="auto"/>
        </w:rPr>
      </w:pPr>
      <w:r>
        <w:rPr>
          <w:rFonts w:ascii="Arial" w:cs="Arial" w:eastAsia="Arial" w:hAnsi="Arial"/>
          <w:sz w:val="18"/>
          <w:szCs w:val="18"/>
          <w:b w:val="1"/>
          <w:bCs w:val="1"/>
          <w:color w:val="auto"/>
        </w:rPr>
        <w:t>THIS PROSPECTUS MAY NOT BE USED TO OFFER AND SELL SECURITIES UNLESS IT IS ACCOMPANIED BY AN ADDITIONAL PROSPECTUS OR A PROSPECTUS SUPPLEMENT.</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used in this prospectus, unless the context otherwise requires, references to the “company,” “we,” “us” and “our” refer to AVROBIO, Inc. and, where appropriate, our subsidiaries.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or by other risks that are not currently known to us.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2018, which is on file with the SEC and is incorporated herein by reference, (ii) our Quarterly Reports on Form 10-Q for the quarters ended March 31, 2019, June 30, 2019 and September 30, 2019, which are on file with the SEC and are incorporated herein by reference and (iii) other documents we file with the SEC that are deemed incorporated by reference into this prospectus.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prospectus, including the documents that we incorporate by reference, contains forward-looking statements within the meaning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27A of the Securities Act of 1933, as amended, or the Securities Act, and Section 21E of the Securities Exchange Act of 1934, as amended,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Exchange Act. Any statements about our expectations, beliefs, plans, objectives, assumptions or future events or performance are not historical facts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may be forward-looking. These statements are often, but are not always, made through the use of words or phrases such as “may,” “will,”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“should,” “expects,” “intends,” “plans,” “anticipates,” “believes,” “estimates,” “predicts,” “projects,” “potential,” “continue,” and similar expressions,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negative of these terms, or similar expressions. Accordingly, these statements involve estimates, assumptions, risks and uncertainties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cause actual results to differ materially from those expressed in them. Any forward-looking statements are qualified in their entirety by reference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discussed throughout this prospectus, and in particular those factors referenced in the section “Risk Factors.”</w:t>
      </w:r>
    </w:p>
    <w:p>
      <w:pPr>
        <w:spacing w:after="0" w:line="211"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94" w:lineRule="exact"/>
        <w:rPr>
          <w:sz w:val="20"/>
          <w:szCs w:val="20"/>
          <w:color w:val="auto"/>
        </w:rPr>
      </w:pPr>
    </w:p>
    <w:p>
      <w:pPr>
        <w:ind w:left="1180" w:hanging="436"/>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180" w:right="100" w:hanging="436"/>
        <w:spacing w:after="0" w:line="342"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180" w:right="840" w:hanging="436"/>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 xml:space="preserve">We are a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16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typically an inherent part of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treatment procedure and is administered prior to the gene therapy. The conditioning regimen creates a risk of toxicity, which we believe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16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the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their characteristics, most ERTs typically remain in the plasma only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plato: Our Commercial-Scale Platform</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w:t>
      </w:r>
      <w:r>
        <w:rPr>
          <w:rFonts w:ascii="Arial" w:cs="Arial" w:eastAsia="Arial" w:hAnsi="Arial"/>
          <w:sz w:val="14"/>
          <w:szCs w:val="14"/>
          <w:color w:val="auto"/>
        </w:rPr>
        <w:t>™</w:t>
      </w:r>
      <w:r>
        <w:rPr>
          <w:rFonts w:ascii="Arial" w:cs="Arial" w:eastAsia="Arial" w:hAnsi="Arial"/>
          <w:sz w:val="17"/>
          <w:szCs w:val="17"/>
          <w:color w:val="auto"/>
        </w:rPr>
        <w:t xml:space="preserve">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 In December 2019, we announced that we dosed the first patient in our ongoing Fabry Phase 2 clinical trial using our plato platform.</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but such references should not be construed as any indicator that their respective owners will not assert, to the fullest extent under applicable law, their rights thereto. Our common stock trades on The Nasdaq Global Select Market under the symbol “AVRO”.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180" w:right="360" w:hanging="436"/>
        <w:spacing w:after="0" w:line="308"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180" w:right="140" w:hanging="436"/>
        <w:spacing w:after="0" w:line="308"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of (i) the last day of the fiscal year in which we have total annual gross revenues of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31,667,661 shares of our common stock were outstanding and held by 12 stockholders of record.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4"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When we issue shares of common stock under this prospectus, the shares will be fully paid and non-assessable and will not have, or be subject to, any preemptive or similar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 purpose of authorizing our board of directors to issue preferred stock in one or more series and determine the number of shares in the series and its rights and preferences is to eliminate delays associated with a stockholder vote on specific issuances. In addition, the issuance of preferred stock could have the effect of delaying, deferring or preventing a change in control of our company or other corporate action. When we issue shares of preferred stock under this prospectus, the shares will be fully paid and non-assessable and will not be subject to any preemptive or similar rights.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there were outstanding options to purchase an aggregate of 3,145,428 shares of our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September 30, 2019, the holders of 5,567,289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holders of 5,567,289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00" w:right="300" w:firstLine="4"/>
        <w:spacing w:after="0" w:line="261" w:lineRule="auto"/>
        <w:tabs>
          <w:tab w:leader="none" w:pos="4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deemed liquidation event, as defined in the investors’ rights agreement, (ii) the fifth anniversary of the completion of our IPO and (iii) when the holders’ shares may be sold without restriction pursuant to Rule 144 within a three month period.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amended and restated bylaws establishes advance notice procedures with regard to stockholder proposals relating to the nomination of candidates for election as directors or new business to be brought before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amended and restated bylaws provides that, unless we consent in writing to the selection of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6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In addition, our amended and restated bylaws contains a provision by virtue of which unless we consent in writing to the selection of an alternative forum, the United States District Court for the District of Massachusetts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5" w:lineRule="auto"/>
        <w:rPr>
          <w:sz w:val="20"/>
          <w:szCs w:val="20"/>
          <w:color w:val="auto"/>
        </w:rPr>
      </w:pPr>
      <w:r>
        <w:rPr>
          <w:rFonts w:ascii="Arial" w:cs="Arial" w:eastAsia="Arial" w:hAnsi="Arial"/>
          <w:sz w:val="16"/>
          <w:szCs w:val="16"/>
          <w:color w:val="auto"/>
        </w:rPr>
        <w:t>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0" w:lineRule="exact"/>
        <w:rPr>
          <w:sz w:val="20"/>
          <w:szCs w:val="20"/>
          <w:color w:val="auto"/>
        </w:rPr>
      </w:pPr>
    </w:p>
    <w:p>
      <w:pPr>
        <w:ind w:left="1180" w:hanging="436"/>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180" w:right="60" w:hanging="436"/>
        <w:spacing w:after="0" w:line="279"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jc w:val="both"/>
        <w:ind w:left="1180" w:right="140" w:hanging="436"/>
        <w:spacing w:after="0" w:line="264"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auto"/>
        </w:rPr>
      </w:pPr>
    </w:p>
    <w:p>
      <w:pPr>
        <w:ind w:left="1180" w:right="540" w:hanging="436"/>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hanging="436"/>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Select Market under the trading symbol “AVRO.”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459"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allow us to reopen a series to issue additional debt securities without the consent of the holders of the debt securities of such series.</w:t>
      </w:r>
    </w:p>
    <w:p>
      <w:pPr>
        <w:spacing w:after="0" w:line="23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5620" w:right="4680" w:hanging="4876"/>
        <w:spacing w:after="0" w:line="536" w:lineRule="auto"/>
        <w:tabs>
          <w:tab w:leader="none" w:pos="117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title of the debt securities and whether they are senior or subordinated; 16</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1180" w:right="240" w:hanging="436"/>
        <w:spacing w:after="0" w:line="259"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92" w:lineRule="exact"/>
        <w:rPr>
          <w:rFonts w:ascii="Arial" w:cs="Arial" w:eastAsia="Arial" w:hAnsi="Arial"/>
          <w:sz w:val="18"/>
          <w:szCs w:val="18"/>
          <w:color w:val="auto"/>
        </w:rPr>
      </w:pPr>
    </w:p>
    <w:p>
      <w:pPr>
        <w:ind w:left="1180" w:right="38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86" w:lineRule="exact"/>
        <w:rPr>
          <w:rFonts w:ascii="Arial" w:cs="Arial" w:eastAsia="Arial" w:hAnsi="Arial"/>
          <w:sz w:val="18"/>
          <w:szCs w:val="18"/>
          <w:color w:val="auto"/>
        </w:rPr>
      </w:pPr>
    </w:p>
    <w:p>
      <w:pPr>
        <w:jc w:val="both"/>
        <w:ind w:left="1180" w:right="8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 the fixed or variable interest rate or rates of the debt securities, or the method by which the interest rate or rates is determined; the date or dates, or the method for determining the date or dates, from which interest will accrue;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ind w:left="1180" w:right="32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86" w:lineRule="exact"/>
        <w:rPr>
          <w:rFonts w:ascii="Arial" w:cs="Arial" w:eastAsia="Arial" w:hAnsi="Arial"/>
          <w:sz w:val="18"/>
          <w:szCs w:val="18"/>
          <w:color w:val="auto"/>
        </w:rPr>
      </w:pPr>
    </w:p>
    <w:p>
      <w:pPr>
        <w:ind w:left="1180" w:right="160" w:hanging="436"/>
        <w:spacing w:after="0" w:line="255"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 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98"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92" w:lineRule="exact"/>
        <w:rPr>
          <w:rFonts w:ascii="Arial" w:cs="Arial" w:eastAsia="Arial" w:hAnsi="Arial"/>
          <w:sz w:val="18"/>
          <w:szCs w:val="18"/>
          <w:color w:val="auto"/>
        </w:rPr>
      </w:pPr>
    </w:p>
    <w:p>
      <w:pPr>
        <w:ind w:left="1180" w:right="160" w:hanging="436"/>
        <w:spacing w:after="0" w:line="342" w:lineRule="auto"/>
        <w:tabs>
          <w:tab w:leader="none" w:pos="1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auto"/>
        </w:rPr>
      </w:pPr>
    </w:p>
    <w:p>
      <w:pPr>
        <w:ind w:left="1180" w:right="180" w:hanging="436"/>
        <w:spacing w:after="0" w:line="259"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153" w:lineRule="exact"/>
        <w:rPr>
          <w:rFonts w:ascii="Arial" w:cs="Arial" w:eastAsia="Arial" w:hAnsi="Arial"/>
          <w:sz w:val="16"/>
          <w:szCs w:val="16"/>
          <w:color w:val="auto"/>
        </w:rPr>
      </w:pPr>
    </w:p>
    <w:p>
      <w:pPr>
        <w:ind w:left="1180" w:right="48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7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4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on the debt securities shall be computed on the basis of a 360-day year composed of twelve 30-day months.</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jc w:val="both"/>
        <w:ind w:left="1180" w:right="220" w:hanging="436"/>
        <w:spacing w:after="0" w:line="264"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1180" w:right="20" w:hanging="436"/>
        <w:spacing w:after="0" w:line="26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76" w:lineRule="exact"/>
        <w:rPr>
          <w:sz w:val="20"/>
          <w:szCs w:val="20"/>
          <w:color w:val="auto"/>
        </w:rPr>
      </w:pPr>
    </w:p>
    <w:p>
      <w:pPr>
        <w:ind w:left="1180" w:right="300" w:hanging="436"/>
        <w:spacing w:after="0" w:line="264"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the applicable indenture;</w:t>
      </w:r>
    </w:p>
    <w:p>
      <w:pPr>
        <w:spacing w:after="0" w:line="86"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 Notice and Waiver</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1180" w:right="22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90 days unless such date has been extended or deferred;</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when due and payable unless such date has been extended or deferred;</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90 days after written notice described below;</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8" w:lineRule="exact"/>
        <w:rPr>
          <w:sz w:val="20"/>
          <w:szCs w:val="20"/>
          <w:color w:val="auto"/>
        </w:rPr>
      </w:pPr>
    </w:p>
    <w:p>
      <w:pPr>
        <w:jc w:val="both"/>
        <w:ind w:left="1180" w:right="10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indentures require each trustee to give notice to the holders of debt securities within the later of 90 days after an event of default and 30 days after the event of default is actually known to a responsible officer of such trustee, unless such default has been cured or waived. However, the trustee may withhold notice if specified persons of such trustee consider such withholding to be in the interest of the holders of debt securities.</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9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the time, method and place of conducting any proceeding for any remedy available to the applicable trustee, or of exercising any trust or power conferred upon such trustee. However, a trustee may refuse to follow any direction which:</w:t>
      </w:r>
    </w:p>
    <w:p>
      <w:pPr>
        <w:spacing w:after="0" w:line="76" w:lineRule="exact"/>
        <w:rPr>
          <w:sz w:val="20"/>
          <w:szCs w:val="20"/>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1180" w:right="68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 or</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1180" w:hanging="436"/>
        <w:spacing w:after="0" w:line="272" w:lineRule="auto"/>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83" w:lineRule="exact"/>
        <w:rPr>
          <w:rFonts w:ascii="Arial" w:cs="Arial" w:eastAsia="Arial" w:hAnsi="Arial"/>
          <w:sz w:val="17"/>
          <w:szCs w:val="17"/>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Rights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Recourse</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line="279" w:lineRule="auto"/>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 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76" w:lineRule="exact"/>
        <w:rPr>
          <w:rFonts w:ascii="Arial" w:cs="Arial" w:eastAsia="Arial" w:hAnsi="Arial"/>
          <w:sz w:val="17"/>
          <w:szCs w:val="17"/>
          <w:color w:val="auto"/>
        </w:rPr>
      </w:pPr>
    </w:p>
    <w:p>
      <w:pPr>
        <w:ind w:left="1180" w:right="24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 the terms of any rights to redeem or call the warrants;</w:t>
      </w:r>
    </w:p>
    <w:p>
      <w:pPr>
        <w:spacing w:after="0" w:line="75"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 the periods during which, and places at which, the warrants are exercisable;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 federal income tax consequences of holding or exercising the warrants;</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 any other specific terms, preferences, rights or limitations of or restrictions on the warrants.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2" w:lineRule="exact"/>
        <w:rPr>
          <w:sz w:val="20"/>
          <w:szCs w:val="20"/>
          <w:color w:val="auto"/>
        </w:rPr>
      </w:pPr>
    </w:p>
    <w:p>
      <w:pPr>
        <w:ind w:left="1180" w:right="26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 Agreements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180" w:hanging="436"/>
        <w:spacing w:after="0"/>
        <w:tabs>
          <w:tab w:leader="none" w:pos="11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cure any ambiguity, including modifying any provisions of the governing unit agreement that differ from those described below;</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1180" w:right="160" w:hanging="436"/>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180" w:right="400" w:hanging="436"/>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1180" w:right="140" w:hanging="436"/>
        <w:spacing w:after="0" w:line="342"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Therefore, holders of units issued under unit agreements will not have the protections of the Trust Indenture Act with respect to their units.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52" w:lineRule="exact"/>
        <w:rPr>
          <w:sz w:val="20"/>
          <w:szCs w:val="20"/>
          <w:color w:val="auto"/>
        </w:rPr>
      </w:pPr>
    </w:p>
    <w:p>
      <w:pPr>
        <w:ind w:left="1180" w:right="260" w:hanging="436"/>
        <w:spacing w:after="0" w:line="308" w:lineRule="auto"/>
        <w:tabs>
          <w:tab w:leader="none" w:pos="1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Arial" w:cs="Arial" w:eastAsia="Arial" w:hAnsi="Arial"/>
          <w:sz w:val="17"/>
          <w:szCs w:val="17"/>
          <w:color w:val="auto"/>
        </w:rPr>
      </w:pPr>
    </w:p>
    <w:p>
      <w:pPr>
        <w:ind w:left="1180" w:right="20" w:hanging="436"/>
        <w:spacing w:after="0" w:line="259"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2" w:lineRule="exact"/>
        <w:rPr>
          <w:rFonts w:ascii="Arial" w:cs="Arial" w:eastAsia="Arial" w:hAnsi="Arial"/>
          <w:sz w:val="18"/>
          <w:szCs w:val="18"/>
          <w:color w:val="auto"/>
        </w:rPr>
      </w:pPr>
    </w:p>
    <w:p>
      <w:pPr>
        <w:ind w:left="1180" w:right="20" w:hanging="436"/>
        <w:spacing w:after="0" w:line="273" w:lineRule="auto"/>
        <w:tabs>
          <w:tab w:leader="none" w:pos="1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In making payments and giving notices with respect to our units, we will follow the procedures as described in the applicable prospectus supplement.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420" w:firstLine="441"/>
        <w:spacing w:after="0" w:line="291" w:lineRule="auto"/>
        <w:rPr>
          <w:sz w:val="20"/>
          <w:szCs w:val="20"/>
          <w:color w:val="auto"/>
        </w:rPr>
      </w:pPr>
      <w:r>
        <w:rPr>
          <w:rFonts w:ascii="Arial" w:cs="Arial" w:eastAsia="Arial" w:hAnsi="Arial"/>
          <w:sz w:val="16"/>
          <w:szCs w:val="16"/>
          <w:color w:val="auto"/>
        </w:rPr>
        <w:t>We may sell the securities offered through this prospectus and any accompanying prospectus supplement, if required, in any of the following ways: (1) to or through underwriters or dealers, (2) directly to purchasers, including our affiliates, or to a single purchaser (3) through agents, or</w:t>
      </w:r>
    </w:p>
    <w:p>
      <w:pPr>
        <w:ind w:left="200" w:right="460" w:firstLine="4"/>
        <w:spacing w:after="0" w:line="261" w:lineRule="auto"/>
        <w:tabs>
          <w:tab w:leader="none" w:pos="4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through a combination of any these methods. The securities may be distributed at a fixed price or prices, which may be changed, market prices prevailing at the time of sale, prices related to the prevailing market prices, or negotiated prices, either:</w:t>
      </w:r>
    </w:p>
    <w:p>
      <w:pPr>
        <w:spacing w:after="0" w:line="89" w:lineRule="exact"/>
        <w:rPr>
          <w:rFonts w:ascii="Arial" w:cs="Arial" w:eastAsia="Arial" w:hAnsi="Arial"/>
          <w:sz w:val="18"/>
          <w:szCs w:val="18"/>
          <w:color w:val="auto"/>
        </w:rPr>
      </w:pPr>
    </w:p>
    <w:p>
      <w:pPr>
        <w:ind w:left="1180" w:right="120" w:hanging="436"/>
        <w:spacing w:after="0" w:line="277" w:lineRule="auto"/>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75" w:lineRule="exact"/>
        <w:rPr>
          <w:rFonts w:ascii="Arial" w:cs="Arial" w:eastAsia="Arial" w:hAnsi="Arial"/>
          <w:sz w:val="18"/>
          <w:szCs w:val="18"/>
          <w:color w:val="auto"/>
        </w:rPr>
      </w:pPr>
    </w:p>
    <w:p>
      <w:pPr>
        <w:ind w:left="1180" w:right="480" w:hanging="436"/>
        <w:spacing w:after="0" w:line="277" w:lineRule="auto"/>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or through a market maker otherwise than on The Nasdaq Global Select Market or such other securities exchanges or quotation or trading services.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 holders.</w:t>
      </w:r>
    </w:p>
    <w:p>
      <w:pPr>
        <w:spacing w:after="0" w:line="23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type and amount of securities we are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discounts and commissions to be allowed or paid to the agent or underwriters; all other items constituting underwriting compensation;</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defined in the Securities Act, may then resell such securities to the public at varying prices to be determined by such dealer at the time of resale.</w:t>
      </w:r>
    </w:p>
    <w:p>
      <w:pPr>
        <w:spacing w:after="0" w:line="23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180" w:right="12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93"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 for any of the securities.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and our website is located at </w:t>
      </w:r>
      <w:r>
        <w:rPr>
          <w:rFonts w:ascii="Arial" w:cs="Arial" w:eastAsia="Arial" w:hAnsi="Arial"/>
          <w:sz w:val="18"/>
          <w:szCs w:val="18"/>
          <w:i w:val="1"/>
          <w:iCs w:val="1"/>
          <w:color w:val="auto"/>
        </w:rPr>
        <w:t xml:space="preserve">www.avrobio.com. </w:t>
      </w:r>
      <w:r>
        <w:rPr>
          <w:rFonts w:ascii="Arial" w:cs="Arial" w:eastAsia="Arial" w:hAnsi="Arial"/>
          <w:sz w:val="18"/>
          <w:szCs w:val="18"/>
          <w:color w:val="auto"/>
        </w:rPr>
        <w:t>Information contained on our website is not incorporated by reference into this prospectus and, therefore, is not part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or any accompanying prospectus supplement.</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95"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130"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8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which was filed with the SEC on April 26, 2019;</w:t>
      </w:r>
    </w:p>
    <w:p>
      <w:pPr>
        <w:spacing w:after="0" w:line="86"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filed with the SEC on </w:t>
      </w:r>
      <w:hyperlink r:id="rId85">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our Quarterly Report on Form 10-Q for the quarter ended June 30, 2019, filed with the SEC on </w:t>
      </w:r>
      <w:hyperlink r:id="rId86">
        <w:r>
          <w:rPr>
            <w:rFonts w:ascii="Arial" w:cs="Arial" w:eastAsia="Arial" w:hAnsi="Arial"/>
            <w:sz w:val="18"/>
            <w:szCs w:val="18"/>
            <w:u w:val="single" w:color="auto"/>
            <w:color w:val="0000EE"/>
          </w:rPr>
          <w:t>August 8, 2019</w:t>
        </w:r>
      </w:hyperlink>
      <w:r>
        <w:rPr>
          <w:rFonts w:ascii="Arial" w:cs="Arial" w:eastAsia="Arial" w:hAnsi="Arial"/>
          <w:sz w:val="18"/>
          <w:szCs w:val="18"/>
          <w:color w:val="auto"/>
        </w:rPr>
        <w:t xml:space="preserve">; our Quarterly Report on Form 10-Q for the quarter ended September 30, 2019, filed with the SEC on </w:t>
      </w:r>
      <w:hyperlink r:id="rId87">
        <w:r>
          <w:rPr>
            <w:rFonts w:ascii="Arial" w:cs="Arial" w:eastAsia="Arial" w:hAnsi="Arial"/>
            <w:sz w:val="18"/>
            <w:szCs w:val="18"/>
            <w:u w:val="single" w:color="auto"/>
            <w:color w:val="0000EE"/>
          </w:rPr>
          <w:t>November 7,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80" w:right="380" w:hanging="436"/>
        <w:spacing w:after="0" w:line="259" w:lineRule="auto"/>
        <w:tabs>
          <w:tab w:leader="none" w:pos="1180" w:val="left"/>
        </w:tabs>
        <w:numPr>
          <w:ilvl w:val="0"/>
          <w:numId w:val="64"/>
        </w:numPr>
        <w:rPr>
          <w:rFonts w:ascii="Arial" w:cs="Arial" w:eastAsia="Arial" w:hAnsi="Arial"/>
          <w:sz w:val="18"/>
          <w:szCs w:val="18"/>
          <w:color w:val="0000EE"/>
        </w:rPr>
      </w:pPr>
      <w:r>
        <w:rPr>
          <w:rFonts w:ascii="Arial" w:cs="Arial" w:eastAsia="Arial" w:hAnsi="Arial"/>
          <w:sz w:val="18"/>
          <w:szCs w:val="18"/>
          <w:color w:val="auto"/>
        </w:rPr>
        <w:t xml:space="preserve">our Current Report on Form 8-K filed with the SEC on </w:t>
      </w:r>
      <w:hyperlink r:id="rId130">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xml:space="preserve">, our Current Report on Form 8-K/A filed with the SEC on </w:t>
      </w:r>
      <w:hyperlink r:id="rId88">
        <w:r>
          <w:rPr>
            <w:rFonts w:ascii="Arial" w:cs="Arial" w:eastAsia="Arial" w:hAnsi="Arial"/>
            <w:sz w:val="18"/>
            <w:szCs w:val="18"/>
            <w:u w:val="single" w:color="auto"/>
            <w:color w:val="0000EE"/>
          </w:rPr>
          <w:t>January 11, 2019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our Current Reports on Form 8-K filed with the SEC on</w:t>
      </w:r>
      <w:r>
        <w:rPr>
          <w:rFonts w:ascii="Arial" w:cs="Arial" w:eastAsia="Arial" w:hAnsi="Arial"/>
          <w:sz w:val="18"/>
          <w:szCs w:val="18"/>
          <w:color w:val="0000EE"/>
        </w:rPr>
        <w:t xml:space="preserve"> </w:t>
      </w:r>
      <w:hyperlink r:id="rId131">
        <w:r>
          <w:rPr>
            <w:rFonts w:ascii="Arial" w:cs="Arial" w:eastAsia="Arial" w:hAnsi="Arial"/>
            <w:sz w:val="18"/>
            <w:szCs w:val="18"/>
            <w:u w:val="single" w:color="auto"/>
            <w:color w:val="0000EE"/>
          </w:rPr>
          <w:t>January 22,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32">
        <w:r>
          <w:rPr>
            <w:rFonts w:ascii="Arial" w:cs="Arial" w:eastAsia="Arial" w:hAnsi="Arial"/>
            <w:sz w:val="18"/>
            <w:szCs w:val="18"/>
            <w:u w:val="single" w:color="auto"/>
            <w:color w:val="0000EE"/>
          </w:rPr>
          <w:t>February 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33">
        <w:r>
          <w:rPr>
            <w:rFonts w:ascii="Arial" w:cs="Arial" w:eastAsia="Arial" w:hAnsi="Arial"/>
            <w:sz w:val="18"/>
            <w:szCs w:val="18"/>
            <w:u w:val="single" w:color="auto"/>
            <w:color w:val="0000EE"/>
          </w:rPr>
          <w:t>April 29,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34">
        <w:r>
          <w:rPr>
            <w:rFonts w:ascii="Arial" w:cs="Arial" w:eastAsia="Arial" w:hAnsi="Arial"/>
            <w:sz w:val="18"/>
            <w:szCs w:val="18"/>
            <w:u w:val="single" w:color="auto"/>
            <w:color w:val="0000EE"/>
          </w:rPr>
          <w:t>June 12,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9">
        <w:r>
          <w:rPr>
            <w:rFonts w:ascii="Arial" w:cs="Arial" w:eastAsia="Arial" w:hAnsi="Arial"/>
            <w:sz w:val="18"/>
            <w:szCs w:val="18"/>
            <w:u w:val="single" w:color="auto"/>
            <w:color w:val="0000EE"/>
          </w:rPr>
          <w:t xml:space="preserve">July 15,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90">
        <w:r>
          <w:rPr>
            <w:rFonts w:ascii="Arial" w:cs="Arial" w:eastAsia="Arial" w:hAnsi="Arial"/>
            <w:sz w:val="18"/>
            <w:szCs w:val="18"/>
            <w:u w:val="single" w:color="auto"/>
            <w:color w:val="0000EE"/>
          </w:rPr>
          <w:t>July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 each case, except for information contained therein which is furnished rather than</w:t>
      </w:r>
      <w:r>
        <w:rPr>
          <w:rFonts w:ascii="Arial" w:cs="Arial" w:eastAsia="Arial" w:hAnsi="Arial"/>
          <w:sz w:val="18"/>
          <w:szCs w:val="18"/>
          <w:color w:val="0000EE"/>
        </w:rPr>
        <w:t xml:space="preserve"> </w:t>
      </w:r>
      <w:r>
        <w:rPr>
          <w:rFonts w:ascii="Arial" w:cs="Arial" w:eastAsia="Arial" w:hAnsi="Arial"/>
          <w:sz w:val="18"/>
          <w:szCs w:val="18"/>
          <w:color w:val="000000"/>
        </w:rPr>
        <w:t>filed); and</w:t>
      </w:r>
    </w:p>
    <w:p>
      <w:pPr>
        <w:spacing w:after="0" w:line="92" w:lineRule="exact"/>
        <w:rPr>
          <w:rFonts w:ascii="Arial" w:cs="Arial" w:eastAsia="Arial" w:hAnsi="Arial"/>
          <w:sz w:val="18"/>
          <w:szCs w:val="18"/>
          <w:color w:val="0000EE"/>
        </w:rPr>
      </w:pPr>
    </w:p>
    <w:p>
      <w:pPr>
        <w:ind w:left="1180" w:right="16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9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170" w:lineRule="exact"/>
        <w:rPr>
          <w:rFonts w:ascii="Arial" w:cs="Arial" w:eastAsia="Arial" w:hAnsi="Arial"/>
          <w:sz w:val="18"/>
          <w:szCs w:val="18"/>
          <w:color w:val="0000EE"/>
        </w:rPr>
      </w:pPr>
    </w:p>
    <w:p>
      <w:pPr>
        <w:ind w:left="200" w:right="20" w:firstLine="441"/>
        <w:spacing w:after="0" w:line="257" w:lineRule="auto"/>
        <w:rPr>
          <w:sz w:val="20"/>
          <w:szCs w:val="20"/>
          <w:color w:val="auto"/>
        </w:rPr>
      </w:pPr>
      <w:r>
        <w:rPr>
          <w:rFonts w:ascii="Arial" w:cs="Arial" w:eastAsia="Arial" w:hAnsi="Arial"/>
          <w:sz w:val="18"/>
          <w:szCs w:val="18"/>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188" w:lineRule="exact"/>
        <w:rPr>
          <w:rFonts w:ascii="Arial" w:cs="Arial" w:eastAsia="Arial" w:hAnsi="Arial"/>
          <w:sz w:val="18"/>
          <w:szCs w:val="18"/>
          <w:color w:val="0000EE"/>
        </w:rPr>
      </w:pPr>
    </w:p>
    <w:p>
      <w:pPr>
        <w:ind w:left="200" w:right="480" w:firstLine="441"/>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rFonts w:ascii="Arial" w:cs="Arial" w:eastAsia="Arial" w:hAnsi="Arial"/>
          <w:sz w:val="18"/>
          <w:szCs w:val="18"/>
          <w:color w:val="0000EE"/>
        </w:rPr>
      </w:pPr>
    </w:p>
    <w:p>
      <w:pPr>
        <w:ind w:left="200" w:right="40" w:firstLine="441"/>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rFonts w:ascii="Arial" w:cs="Arial" w:eastAsia="Arial" w:hAnsi="Arial"/>
          <w:sz w:val="18"/>
          <w:szCs w:val="18"/>
          <w:color w:val="0000EE"/>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Arial" w:cs="Arial" w:eastAsia="Arial" w:hAnsi="Arial"/>
          <w:sz w:val="32"/>
          <w:szCs w:val="32"/>
          <w:i w:val="1"/>
          <w:iCs w:val="1"/>
          <w:color w:val="auto"/>
        </w:rPr>
        <w:t>4,350,000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653415</wp:posOffset>
            </wp:positionV>
            <wp:extent cx="1440815" cy="3346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60"/>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32"/>
          <w:szCs w:val="32"/>
          <w:i w:val="1"/>
          <w:iCs w:val="1"/>
          <w:color w:val="auto"/>
        </w:rPr>
        <w:t>MORGAN STANLEY</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32"/>
          <w:szCs w:val="32"/>
          <w:i w:val="1"/>
          <w:iCs w:val="1"/>
          <w:color w:val="auto"/>
        </w:rPr>
        <w:t>COWEN</w:t>
      </w:r>
    </w:p>
    <w:p>
      <w:pPr>
        <w:jc w:val="center"/>
        <w:ind w:right="-1220"/>
        <w:spacing w:after="0"/>
        <w:rPr>
          <w:sz w:val="20"/>
          <w:szCs w:val="20"/>
          <w:color w:val="auto"/>
        </w:rPr>
      </w:pPr>
      <w:r>
        <w:rPr>
          <w:rFonts w:ascii="Arial" w:cs="Arial" w:eastAsia="Arial" w:hAnsi="Arial"/>
          <w:sz w:val="29"/>
          <w:szCs w:val="29"/>
          <w:i w:val="1"/>
          <w:iCs w:val="1"/>
          <w:color w:val="auto"/>
        </w:rPr>
        <w:t>WELLS FARGO SECURITIES</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30"/>
          <w:szCs w:val="30"/>
          <w:i w:val="1"/>
          <w:iCs w:val="1"/>
          <w:color w:val="auto"/>
        </w:rPr>
        <w:t>GUGGENHEIM SECURITIES</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32"/>
          <w:szCs w:val="32"/>
          <w:i w:val="1"/>
          <w:iCs w:val="1"/>
          <w:color w:val="auto"/>
        </w:rPr>
        <w:t>WEDBUSH PACGROW</w:t>
      </w:r>
    </w:p>
    <w:p>
      <w:pPr>
        <w:jc w:val="center"/>
        <w:ind w:right="-1220"/>
        <w:spacing w:after="0"/>
        <w:rPr>
          <w:sz w:val="20"/>
          <w:szCs w:val="20"/>
          <w:color w:val="auto"/>
        </w:rPr>
      </w:pPr>
      <w:r>
        <w:rPr>
          <w:rFonts w:ascii="Arial" w:cs="Arial" w:eastAsia="Arial" w:hAnsi="Arial"/>
          <w:sz w:val="32"/>
          <w:szCs w:val="32"/>
          <w:i w:val="1"/>
          <w:iCs w:val="1"/>
          <w:color w:val="auto"/>
        </w:rPr>
        <w:t>NOMURA</w:t>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40"/>
        <w:spacing w:after="0"/>
        <w:rPr>
          <w:sz w:val="20"/>
          <w:szCs w:val="20"/>
          <w:color w:val="auto"/>
        </w:rPr>
      </w:pPr>
      <w:r>
        <w:rPr>
          <w:rFonts w:ascii="Arial" w:cs="Arial" w:eastAsia="Arial" w:hAnsi="Arial"/>
          <w:sz w:val="16"/>
          <w:szCs w:val="16"/>
          <w:i w:val="1"/>
          <w:iCs w:val="1"/>
          <w:color w:val="auto"/>
        </w:rPr>
        <w:t>February 12, 2020</w:t>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lvl w:ilvl="1">
      <w:lvlJc w:val="left"/>
      <w:lvlText w:val="•"/>
      <w:numFmt w:val="bullet"/>
      <w:start w:val="1"/>
    </w:lvl>
  </w:abstractNum>
  <w:abstractNum w:abstractNumId="11">
    <w:nsid w:val="5C482A97"/>
    <w:multiLevelType w:val="hybridMultilevel"/>
    <w:lvl w:ilvl="0">
      <w:lvlJc w:val="left"/>
      <w:lvlText w:val="•"/>
      <w:numFmt w:val="bullet"/>
      <w:start w:val="1"/>
    </w:lvl>
    <w:lvl w:ilvl="1">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lowerRoman"/>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4"/>
    </w:lvl>
    <w:lvl w:ilvl="1">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jpe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jpeg"/><Relationship Id="rId83" Type="http://schemas.openxmlformats.org/officeDocument/2006/relationships/hyperlink" Target="http://www.sec.gov/Archives/edgar/data/1681087/000119312519085321/d677215d10k.htm" TargetMode="External"/><Relationship Id="rId84" Type="http://schemas.openxmlformats.org/officeDocument/2006/relationships/hyperlink" Target="http://www.sec.gov/Archives/edgar/data/1681087/000119312519120864/d677210ddef14a.htm" TargetMode="External"/><Relationship Id="rId85" Type="http://schemas.openxmlformats.org/officeDocument/2006/relationships/hyperlink" Target="http://www.sec.gov/Archives/edgar/data/1681087/000119312519145337/d704561d10q.htm" TargetMode="External"/><Relationship Id="rId86" Type="http://schemas.openxmlformats.org/officeDocument/2006/relationships/hyperlink" Target="http://www.sec.gov/Archives/edgar/data/1681087/000156459019030417/avro-10q_20190630.htm" TargetMode="External"/><Relationship Id="rId87" Type="http://schemas.openxmlformats.org/officeDocument/2006/relationships/hyperlink" Target="http://www.sec.gov/Archives/edgar/data/1681087/000156459019041704/avro-10q_20190930.htm" TargetMode="External"/><Relationship Id="rId88" Type="http://schemas.openxmlformats.org/officeDocument/2006/relationships/hyperlink" Target="http://www.sec.gov/Archives/edgar/data/1681087/000119312519007398/d666627d8ka.htm" TargetMode="External"/><Relationship Id="rId89" Type="http://schemas.openxmlformats.org/officeDocument/2006/relationships/hyperlink" Target="http://www.sec.gov/Archives/edgar/data/1681087/000119312519193574/d753129d8k.htm" TargetMode="External"/><Relationship Id="rId90" Type="http://schemas.openxmlformats.org/officeDocument/2006/relationships/hyperlink" Target="http://www.sec.gov/Archives/edgar/data/1681087/000119312519195748/d775231d8k.htm" TargetMode="External"/><Relationship Id="rId91" Type="http://schemas.openxmlformats.org/officeDocument/2006/relationships/hyperlink" Target="http://www.sec.gov/Archives/edgar/data/1681087/000119312520029771/d882927d8k.htm" TargetMode="External"/><Relationship Id="rId92" Type="http://schemas.openxmlformats.org/officeDocument/2006/relationships/hyperlink" Target="http://www.sec.gov/Archives/edgar/data/1681087/000119312518195637/d562006d8a12b.htm" TargetMode="External"/><Relationship Id="rId130" Type="http://schemas.openxmlformats.org/officeDocument/2006/relationships/hyperlink" Target="http://www.sec.gov/Archives/edgar/data/1681087/000119312519003876/d667521d8k.htm" TargetMode="External"/><Relationship Id="rId131" Type="http://schemas.openxmlformats.org/officeDocument/2006/relationships/hyperlink" Target="http://www.sec.gov/Archives/edgar/data/1681087/000119312519013423/d688889d8k.htm" TargetMode="External"/><Relationship Id="rId132" Type="http://schemas.openxmlformats.org/officeDocument/2006/relationships/hyperlink" Target="http://www.sec.gov/Archives/edgar/data/1681087/000119312519028978/d664592d8k.htm" TargetMode="External"/><Relationship Id="rId133" Type="http://schemas.openxmlformats.org/officeDocument/2006/relationships/hyperlink" Target="http://www.sec.gov/Archives/edgar/data/1681087/000119312519123672/d668056d8k.htm" TargetMode="External"/><Relationship Id="rId134" Type="http://schemas.openxmlformats.org/officeDocument/2006/relationships/hyperlink" Target="http://www.sec.gov/Archives/edgar/data/1681087/000119312519170745/d76611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2020-02-13T16:21:54Z</dcterms:created>
  <dcterms:modified xsi:type="dcterms:W3CDTF">2020-02-13T16:21:54Z</dcterms:modified>
</cp:coreProperties>
</file>