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21, 2024</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4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83-0710585</w:t>
            </w:r>
          </w:p>
        </w:tc>
      </w:tr>
      <w:tr>
        <w:trPr>
          <w:trHeight w:val="148"/>
        </w:trPr>
        <w:tc>
          <w:tcPr>
            <w:tcW w:w="2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840" w:type="dxa"/>
            <w:vAlign w:val="bottom"/>
          </w:tcPr>
          <w:p>
            <w:pPr>
              <w:jc w:val="center"/>
              <w:ind w:left="363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840" w:type="dxa"/>
            <w:vAlign w:val="bottom"/>
          </w:tcPr>
          <w:p>
            <w:pPr>
              <w:jc w:val="center"/>
              <w:ind w:left="363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490 Arsenal Way</w:t>
            </w:r>
          </w:p>
        </w:tc>
        <w:tc>
          <w:tcPr>
            <w:tcW w:w="4840" w:type="dxa"/>
            <w:vAlign w:val="bottom"/>
          </w:tcPr>
          <w:p>
            <w:pPr>
              <w:spacing w:after="0"/>
              <w:rPr>
                <w:sz w:val="24"/>
                <w:szCs w:val="24"/>
                <w:color w:val="auto"/>
              </w:rPr>
            </w:pPr>
          </w:p>
        </w:tc>
      </w:tr>
      <w:tr>
        <w:trPr>
          <w:trHeight w:val="216"/>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Suite 210</w:t>
            </w:r>
          </w:p>
        </w:tc>
        <w:tc>
          <w:tcPr>
            <w:tcW w:w="4840" w:type="dxa"/>
            <w:vAlign w:val="bottom"/>
          </w:tcPr>
          <w:p>
            <w:pPr>
              <w:spacing w:after="0"/>
              <w:rPr>
                <w:sz w:val="18"/>
                <w:szCs w:val="18"/>
                <w:color w:val="auto"/>
              </w:rPr>
            </w:pPr>
          </w:p>
        </w:tc>
      </w:tr>
      <w:tr>
        <w:trPr>
          <w:trHeight w:val="227"/>
        </w:trPr>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Watertown, MA</w:t>
            </w:r>
          </w:p>
        </w:tc>
        <w:tc>
          <w:tcPr>
            <w:tcW w:w="4840" w:type="dxa"/>
            <w:vAlign w:val="bottom"/>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40" w:type="dxa"/>
            <w:vAlign w:val="bottom"/>
          </w:tcPr>
          <w:p>
            <w:pPr>
              <w:jc w:val="center"/>
              <w:ind w:left="363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3"/>
        </w:trPr>
        <w:tc>
          <w:tcPr>
            <w:tcW w:w="2520" w:type="dxa"/>
            <w:vAlign w:val="bottom"/>
          </w:tcPr>
          <w:p>
            <w:pPr>
              <w:spacing w:after="0"/>
              <w:rPr>
                <w:sz w:val="24"/>
                <w:szCs w:val="24"/>
                <w:color w:val="auto"/>
              </w:rPr>
            </w:pPr>
          </w:p>
        </w:tc>
        <w:tc>
          <w:tcPr>
            <w:tcW w:w="4840" w:type="dxa"/>
            <w:vAlign w:val="bottom"/>
          </w:tcPr>
          <w:p>
            <w:pPr>
              <w:jc w:val="center"/>
              <w:ind w:right="1878"/>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tc>
      </w:tr>
      <w:tr>
        <w:trPr>
          <w:trHeight w:val="216"/>
        </w:trPr>
        <w:tc>
          <w:tcPr>
            <w:tcW w:w="2520" w:type="dxa"/>
            <w:vAlign w:val="bottom"/>
          </w:tcPr>
          <w:p>
            <w:pPr>
              <w:spacing w:after="0"/>
              <w:rPr>
                <w:sz w:val="18"/>
                <w:szCs w:val="18"/>
                <w:color w:val="auto"/>
              </w:rPr>
            </w:pPr>
          </w:p>
        </w:tc>
        <w:tc>
          <w:tcPr>
            <w:tcW w:w="4840" w:type="dxa"/>
            <w:vAlign w:val="bottom"/>
          </w:tcPr>
          <w:p>
            <w:pPr>
              <w:jc w:val="center"/>
              <w:ind w:right="1878"/>
              <w:spacing w:after="0"/>
              <w:rPr>
                <w:sz w:val="20"/>
                <w:szCs w:val="20"/>
                <w:color w:val="auto"/>
              </w:rPr>
            </w:pPr>
            <w:r>
              <w:rPr>
                <w:rFonts w:ascii="Times New Roman" w:cs="Times New Roman" w:eastAsia="Times New Roman" w:hAnsi="Times New Roman"/>
                <w:sz w:val="18"/>
                <w:szCs w:val="18"/>
                <w:b w:val="1"/>
                <w:bCs w:val="1"/>
                <w:color w:val="auto"/>
              </w:rPr>
              <w:t>2024 Equity Incentive Plan</w:t>
            </w:r>
          </w:p>
        </w:tc>
      </w:tr>
      <w:tr>
        <w:trPr>
          <w:trHeight w:val="214"/>
        </w:trPr>
        <w:tc>
          <w:tcPr>
            <w:tcW w:w="2520" w:type="dxa"/>
            <w:vAlign w:val="bottom"/>
          </w:tcPr>
          <w:p>
            <w:pPr>
              <w:spacing w:after="0"/>
              <w:rPr>
                <w:sz w:val="18"/>
                <w:szCs w:val="18"/>
                <w:color w:val="auto"/>
              </w:rPr>
            </w:pPr>
          </w:p>
        </w:tc>
        <w:tc>
          <w:tcPr>
            <w:tcW w:w="4840" w:type="dxa"/>
            <w:vAlign w:val="bottom"/>
          </w:tcPr>
          <w:p>
            <w:pPr>
              <w:jc w:val="center"/>
              <w:ind w:right="1858"/>
              <w:spacing w:after="0"/>
              <w:rPr>
                <w:sz w:val="20"/>
                <w:szCs w:val="20"/>
                <w:color w:val="auto"/>
              </w:rPr>
            </w:pPr>
            <w:r>
              <w:rPr>
                <w:rFonts w:ascii="Times New Roman" w:cs="Times New Roman" w:eastAsia="Times New Roman" w:hAnsi="Times New Roman"/>
                <w:sz w:val="18"/>
                <w:szCs w:val="18"/>
                <w:b w:val="1"/>
                <w:bCs w:val="1"/>
                <w:color w:val="auto"/>
                <w:w w:val="99"/>
              </w:rPr>
              <w:t>2024 Employee Stock Purchase Plan</w:t>
            </w:r>
          </w:p>
        </w:tc>
      </w:tr>
      <w:tr>
        <w:trPr>
          <w:trHeight w:val="190"/>
        </w:trPr>
        <w:tc>
          <w:tcPr>
            <w:tcW w:w="2520" w:type="dxa"/>
            <w:vAlign w:val="bottom"/>
          </w:tcPr>
          <w:p>
            <w:pPr>
              <w:spacing w:after="0"/>
              <w:rPr>
                <w:sz w:val="16"/>
                <w:szCs w:val="16"/>
                <w:color w:val="auto"/>
              </w:rPr>
            </w:pPr>
          </w:p>
        </w:tc>
        <w:tc>
          <w:tcPr>
            <w:tcW w:w="4840" w:type="dxa"/>
            <w:vAlign w:val="bottom"/>
          </w:tcPr>
          <w:p>
            <w:pPr>
              <w:jc w:val="center"/>
              <w:ind w:right="1858"/>
              <w:spacing w:after="0"/>
              <w:rPr>
                <w:sz w:val="20"/>
                <w:szCs w:val="20"/>
                <w:color w:val="auto"/>
              </w:rPr>
            </w:pPr>
            <w:r>
              <w:rPr>
                <w:rFonts w:ascii="Times New Roman" w:cs="Times New Roman" w:eastAsia="Times New Roman" w:hAnsi="Times New Roman"/>
                <w:sz w:val="14"/>
                <w:szCs w:val="14"/>
                <w:b w:val="1"/>
                <w:bCs w:val="1"/>
                <w:color w:val="auto"/>
              </w:rPr>
              <w:t>(Full titles of the plans)</w:t>
            </w:r>
          </w:p>
        </w:tc>
      </w:tr>
    </w:tbl>
    <w:p>
      <w:pPr>
        <w:spacing w:after="0" w:line="1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Daniel Lochner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490 Arsenal Way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210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(339) 666-3320</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 A. Recht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Courtney T. Thorne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Katherine Denby</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Cooley LLP</w:t>
      </w:r>
    </w:p>
    <w:p>
      <w:pPr>
        <w:jc w:val="center"/>
        <w:ind w:right="-19"/>
        <w:spacing w:after="0" w:line="181" w:lineRule="auto"/>
        <w:rPr>
          <w:sz w:val="20"/>
          <w:szCs w:val="20"/>
          <w:color w:val="auto"/>
        </w:rPr>
      </w:pPr>
      <w:r>
        <w:rPr>
          <w:rFonts w:ascii="Times New Roman" w:cs="Times New Roman" w:eastAsia="Times New Roman" w:hAnsi="Times New Roman"/>
          <w:sz w:val="18"/>
          <w:szCs w:val="18"/>
          <w:b w:val="1"/>
          <w:bCs w:val="1"/>
          <w:color w:val="auto"/>
        </w:rPr>
        <w:t>500 Boylston Street, 14</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Boston, MA 02116</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937-2300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1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80"/>
          </w:cols>
          <w:pgMar w:left="440" w:top="225" w:right="479" w:bottom="959"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On June 20, 2024 (the “Closing Date”), Tectonic Therapeutic, Inc., a Delaware corporation (previously named AVROBIO, Inc. and our predecessor company (“AVROBIO”)), consummated the previously announced merger (the “Merger”) pursuant to the terms of the Agreement and Plan of Merger and Reorganization, dated as of January 30, 2024 (the “Merger Agreement”), by and among AVROBIO, Alpine Merger Subsidiary, Inc., a Delaware corporation and direct wholly owned subsidiary of AVROBIO (“Merger Sub”), and Tectonic Operating Company, Inc., a Delaware corporation (previously named Tectonic Therapeutic, Inc. (“Legacy Tectonic”)).</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Merger Agreement, on the Closing Date, each outstanding stock option to purchase shares of Legacy Tectonic common stock (each a “Legacy Tectonic Option”) originally granted under the Legacy Tectonic 2019 Equity Incentive Plan (the “2019 Plan”) was assumed by the Registrant and was converted into, and became, a stock option to purchase shares of common stock of the Registrant and the Registrant assumed the 2019 Plan.</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Registrant is filing this Registration Statement on Form S-8 for the purpose of registering: (i) 696,907 shares of common stock under the 2019 Plan; (ii) 1,938,799 shares of common stock under the Registrant’s 2024 Equity Incentive Plan; and (iii) 147,343 shares of common stock under the Registrant’s 2024 Employee Stock Purchase Plan.</w:t>
      </w:r>
    </w:p>
    <w:p>
      <w:pPr>
        <w:sectPr>
          <w:pgSz w:w="11900" w:h="16838" w:orient="portrait"/>
          <w:cols w:equalWidth="0" w:num="1">
            <w:col w:w="11000"/>
          </w:cols>
          <w:pgMar w:left="440" w:top="266" w:right="4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PLAN INFORMATION.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required to be filed with this Registration Statement.</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REGISTRANT INFORMATION AND EMPLOYEE PLAN ANNUAL INFORMATION.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required to be filed with this Registration Statement.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by the Registrant with the Securities and Exchange Commission (“SEC”):</w:t>
      </w:r>
    </w:p>
    <w:p>
      <w:pPr>
        <w:spacing w:after="0" w:line="54" w:lineRule="exact"/>
        <w:rPr>
          <w:sz w:val="20"/>
          <w:szCs w:val="20"/>
          <w:color w:val="auto"/>
        </w:rPr>
      </w:pPr>
    </w:p>
    <w:p>
      <w:pPr>
        <w:ind w:left="680" w:hanging="244"/>
        <w:spacing w:after="0"/>
        <w:tabs>
          <w:tab w:leader="none" w:pos="6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1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14, 2024;</w:t>
      </w:r>
    </w:p>
    <w:p>
      <w:pPr>
        <w:spacing w:after="0" w:line="225"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1"/>
        </w:numPr>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auto"/>
          </w:rPr>
          <w:t xml:space="preserve">Quarterly Reports on Form 10-Q for the periods ended March 31, 2024 and June 30, 2024, filed with the SEC on </w:t>
        </w:r>
        <w:r>
          <w:rPr>
            <w:rFonts w:ascii="Times New Roman" w:cs="Times New Roman" w:eastAsia="Times New Roman" w:hAnsi="Times New Roman"/>
            <w:sz w:val="18"/>
            <w:szCs w:val="18"/>
            <w:u w:val="single" w:color="auto"/>
            <w:color w:val="0000EE"/>
          </w:rPr>
          <w:t>May 9, 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August 14,</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 respectively;</w:t>
        </w:r>
      </w:hyperlink>
    </w:p>
    <w:p>
      <w:pPr>
        <w:spacing w:after="0" w:line="161" w:lineRule="exact"/>
        <w:rPr>
          <w:rFonts w:ascii="Times New Roman" w:cs="Times New Roman" w:eastAsia="Times New Roman" w:hAnsi="Times New Roman"/>
          <w:sz w:val="18"/>
          <w:szCs w:val="18"/>
          <w:color w:val="0000EE"/>
        </w:rPr>
      </w:pPr>
    </w:p>
    <w:p>
      <w:pPr>
        <w:ind w:right="200" w:firstLine="436"/>
        <w:spacing w:after="0" w:line="266" w:lineRule="auto"/>
        <w:tabs>
          <w:tab w:leader="none" w:pos="685" w:val="left"/>
        </w:tabs>
        <w:numPr>
          <w:ilvl w:val="0"/>
          <w:numId w:val="1"/>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auto"/>
          </w:rPr>
          <w:t xml:space="preserve">Current Reports on Form 8-K, which were filed with the SEC on </w:t>
        </w:r>
        <w:r>
          <w:rPr>
            <w:rFonts w:ascii="Times New Roman" w:cs="Times New Roman" w:eastAsia="Times New Roman" w:hAnsi="Times New Roman"/>
            <w:sz w:val="18"/>
            <w:szCs w:val="18"/>
            <w:u w:val="single" w:color="auto"/>
            <w:color w:val="0000EE"/>
          </w:rPr>
          <w:t>January 30,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11,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18,</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2">
        <w:r>
          <w:rPr>
            <w:rFonts w:ascii="Times New Roman" w:cs="Times New Roman" w:eastAsia="Times New Roman" w:hAnsi="Times New Roman"/>
            <w:sz w:val="18"/>
            <w:szCs w:val="18"/>
            <w:u w:val="single" w:color="auto"/>
            <w:color w:val="0000EE"/>
          </w:rPr>
          <w:t>June 20, 2024</w:t>
        </w:r>
      </w:hyperlink>
      <w:hyperlink r:id="rId2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3">
        <w:r>
          <w:rPr>
            <w:rFonts w:ascii="Times New Roman" w:cs="Times New Roman" w:eastAsia="Times New Roman" w:hAnsi="Times New Roman"/>
            <w:sz w:val="18"/>
            <w:szCs w:val="18"/>
            <w:u w:val="single" w:color="auto"/>
            <w:color w:val="0000EE"/>
          </w:rPr>
          <w:t>June 26, 2024</w:t>
        </w:r>
      </w:hyperlink>
      <w:hyperlink r:id="rId2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4">
        <w:r>
          <w:rPr>
            <w:rFonts w:ascii="Times New Roman" w:cs="Times New Roman" w:eastAsia="Times New Roman" w:hAnsi="Times New Roman"/>
            <w:sz w:val="18"/>
            <w:szCs w:val="18"/>
            <w:u w:val="single" w:color="auto"/>
            <w:color w:val="0000EE"/>
          </w:rPr>
          <w:t xml:space="preserve">July 5, 2024 </w:t>
        </w:r>
      </w:hyperlink>
      <w:hyperlink r:id="rId21">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5">
        <w:r>
          <w:rPr>
            <w:rFonts w:ascii="Times New Roman" w:cs="Times New Roman" w:eastAsia="Times New Roman" w:hAnsi="Times New Roman"/>
            <w:sz w:val="18"/>
            <w:szCs w:val="18"/>
            <w:u w:val="single" w:color="auto"/>
            <w:color w:val="0000EE"/>
          </w:rPr>
          <w:t xml:space="preserve">July 30, 2024 </w:t>
        </w:r>
      </w:hyperlink>
      <w:hyperlink r:id="rId21">
        <w:r>
          <w:rPr>
            <w:rFonts w:ascii="Times New Roman" w:cs="Times New Roman" w:eastAsia="Times New Roman" w:hAnsi="Times New Roman"/>
            <w:sz w:val="18"/>
            <w:szCs w:val="18"/>
            <w:color w:val="000000"/>
          </w:rPr>
          <w:t>(except that, with respect to the foregoing Current Reports, any portions thereof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which are furnished and not filed shall not be deemed incorporated by reference); and</w:t>
      </w:r>
    </w:p>
    <w:p>
      <w:pPr>
        <w:spacing w:after="0" w:line="175" w:lineRule="exact"/>
        <w:rPr>
          <w:rFonts w:ascii="Times New Roman" w:cs="Times New Roman" w:eastAsia="Times New Roman" w:hAnsi="Times New Roman"/>
          <w:sz w:val="18"/>
          <w:szCs w:val="18"/>
          <w:color w:val="0000EE"/>
        </w:rPr>
      </w:pPr>
    </w:p>
    <w:p>
      <w:pPr>
        <w:ind w:right="120" w:firstLine="436"/>
        <w:spacing w:after="0" w:line="266" w:lineRule="auto"/>
        <w:tabs>
          <w:tab w:leader="none" w:pos="6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in the Registrant’s registration statement on </w:t>
      </w:r>
      <w:hyperlink r:id="rId2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June 11, 2018, including any amendments or reports filed for the purpose of updating such description, including as </w:t>
      </w:r>
      <w:hyperlink r:id="rId27">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fiscal year ended December 31, 2019.</w:t>
      </w:r>
    </w:p>
    <w:p>
      <w:pPr>
        <w:spacing w:after="0" w:line="176" w:lineRule="exact"/>
        <w:rPr>
          <w:rFonts w:ascii="Times New Roman" w:cs="Times New Roman" w:eastAsia="Times New Roman" w:hAnsi="Times New Roman"/>
          <w:sz w:val="18"/>
          <w:szCs w:val="18"/>
          <w:color w:val="auto"/>
        </w:rPr>
      </w:pPr>
    </w:p>
    <w:p>
      <w:pPr>
        <w:ind w:right="20" w:firstLine="440"/>
        <w:spacing w:after="0" w:line="270" w:lineRule="auto"/>
        <w:rPr>
          <w:sz w:val="20"/>
          <w:szCs w:val="20"/>
          <w:color w:val="auto"/>
        </w:rPr>
      </w:pPr>
      <w:r>
        <w:rPr>
          <w:rFonts w:ascii="Times New Roman" w:cs="Times New Roman" w:eastAsia="Times New Roman" w:hAnsi="Times New Roman"/>
          <w:sz w:val="17"/>
          <w:szCs w:val="17"/>
          <w:color w:val="auto"/>
        </w:rPr>
        <w:t>All documents, reports and definitive proxy or information statements filed pursuant to Section 13(a), 13(c), 14 or 15(d) of the Securities Exchange Act of 1934, as amended (the “Exchange Act”), other than current reports furnished under Item 2.02 or Item 7.01 of Form 8-K and exhibits furnished on such form that relate to such items,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reports and definitive proxy or information statements, or portions thereof, which are furnished and not filed in accordance with the rules of the SEC shall not be deemed incorporated by reference into this Registration Statement. Any statement contained in a document incorporated or deemed to be incorporated herein by reference shall be deemed to be modified or superseded for purposes of this Registration Statement to the extent that a statement herein or in any other subsequently filed document which also is or is deemed to be incorporated by reference herein modifies or supersedes that statement. Any such statement so modified or superseded shall not constitute a part of this Registration Statement, except as so modified or superseded.</w:t>
      </w:r>
    </w:p>
    <w:p>
      <w:pPr>
        <w:spacing w:after="0" w:line="321" w:lineRule="exact"/>
        <w:rPr>
          <w:rFonts w:ascii="Times New Roman" w:cs="Times New Roman" w:eastAsia="Times New Roman" w:hAnsi="Times New Roman"/>
          <w:sz w:val="18"/>
          <w:szCs w:val="18"/>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DESCRIPTION OF SECURITIES.</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INTERESTS OF NAMED EXPERTS AND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-203835</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640" w:space="440"/>
            <w:col w:w="9920"/>
          </w:cols>
          <w:pgMar w:left="440" w:top="266" w:right="459" w:bottom="1440" w:gutter="0" w:footer="0" w:header="0"/>
        </w:sect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00"/>
          </w:cols>
          <w:pgMar w:left="440" w:top="266" w:right="45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OF DIRECTORS AND OFFICERS.</w:t>
      </w:r>
    </w:p>
    <w:p>
      <w:pPr>
        <w:spacing w:after="0" w:line="133" w:lineRule="exact"/>
        <w:rPr>
          <w:sz w:val="20"/>
          <w:szCs w:val="20"/>
          <w:color w:val="auto"/>
        </w:rPr>
      </w:pPr>
    </w:p>
    <w:p>
      <w:pPr>
        <w:sectPr>
          <w:pgSz w:w="11900" w:h="16838" w:orient="portrait"/>
          <w:cols w:equalWidth="0" w:num="2">
            <w:col w:w="640" w:space="440"/>
            <w:col w:w="9920"/>
          </w:cols>
          <w:pgMar w:left="440" w:top="266" w:right="459" w:bottom="1440" w:gutter="0" w:footer="0" w:header="0"/>
          <w:type w:val="continuous"/>
        </w:sect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92"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Section 102(b)(7) of the DGCL provides that a corporation’s certificate of incorporation may contain a provision eliminating or limiting the personal liability of a director or officer to the corporation or its stockholders for monetary damages for breach of fiduciary duty, provided that such provision shall not eliminate or limit the liability (i) for any breach of the duty of loyalty to the corporation or its stockholders, (ii) for acts or omissions not in good faith or that involve intentional misconduct or a knowing violation of law, (iii) under Section 174 of the DGCL, or (iv) for any transaction from which an improper personal benefit was derived. Our Amended and Restated Bylaws (the “Bylaws”) provide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The Bylaws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20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type w:val="continuous"/>
        </w:sectPr>
      </w:pPr>
    </w:p>
    <w:bookmarkStart w:id="4" w:name="page5"/>
    <w:bookmarkEnd w:id="4"/>
    <w:p>
      <w:pPr>
        <w:ind w:left="4" w:right="5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also maintain general liability insurance that covers certain liabilities of our directors and officers arising out of claims based on acts or omissions in their capacities as directors or officers, including liabilities under the Securities Act.</w:t>
      </w:r>
    </w:p>
    <w:p>
      <w:pPr>
        <w:spacing w:after="0" w:line="162" w:lineRule="exact"/>
        <w:rPr>
          <w:sz w:val="20"/>
          <w:szCs w:val="20"/>
          <w:color w:val="auto"/>
        </w:rPr>
      </w:pPr>
    </w:p>
    <w:p>
      <w:pPr>
        <w:ind w:left="4" w:right="140" w:firstLine="440"/>
        <w:spacing w:after="0" w:line="256" w:lineRule="auto"/>
        <w:rPr>
          <w:sz w:val="20"/>
          <w:szCs w:val="20"/>
          <w:color w:val="auto"/>
        </w:rPr>
      </w:pPr>
      <w:r>
        <w:rPr>
          <w:rFonts w:ascii="Times New Roman" w:cs="Times New Roman" w:eastAsia="Times New Roman" w:hAnsi="Times New Roman"/>
          <w:sz w:val="18"/>
          <w:szCs w:val="18"/>
          <w:color w:val="auto"/>
        </w:rPr>
        <w:t>Under the Merger Agreement, from the effective time of the Merger through the sixth anniversary of the date of the effective time, we agreed to indemnify and hold harmless each person who was, as of January 30, 2024, the signing date of the Merger Agreement, or had been at any time prior, or who becomes prior to the effective time of the Merger, a director or officer of our company or Legacy Tectonic, against all claims, losses, liabilities, damages, judgments, fines and reasonable fees, costs and expenses, including attorneys’ fees and disbursements, pertaining to claims arising out of the fact that such person was a director or officer of our company or Legacy Tectonic, at or prior to the effective time of the merger, to the fullest extent permitted under the DGCL.</w:t>
      </w:r>
    </w:p>
    <w:p>
      <w:pPr>
        <w:spacing w:after="0" w:line="187"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Under the Merger Agreement, we agreed not to amend, modify or repeal provisions in the Fourth Amended and Restated Certificate of Incorporation and the Bylaws that were in effect as of January 30, 2024, the date of the Merger Agreement, with respect to indemnification, advancement of expenses and exculpation of our present and former directors and officers for a period of six years from the effective time of the Merger in a manner that would adversely affect the rights of such individuals who at the effective time of the Merger were our officers or directors.</w:t>
      </w:r>
    </w:p>
    <w:p>
      <w:pPr>
        <w:spacing w:after="0" w:line="180" w:lineRule="exact"/>
        <w:rPr>
          <w:sz w:val="20"/>
          <w:szCs w:val="20"/>
          <w:color w:val="auto"/>
        </w:rPr>
      </w:pPr>
    </w:p>
    <w:p>
      <w:pPr>
        <w:ind w:left="4" w:right="22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the Merger, we purchased an insurance policy in effect for six years from the effective time of the Merger, providing no less favorable coverage as the current directors’ and officers’ liability insurance policies maintained by us with respect to any actual or alleged error, misstatement, misleading statement, act, omission, neglect, breach of duty or any matter claimed against our current and former officers and directors.</w:t>
      </w:r>
    </w:p>
    <w:p>
      <w:pPr>
        <w:spacing w:after="0" w:line="302"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1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EXEMPTION FROM REGISTRATION CLAIMED.</w:t>
            </w:r>
          </w:p>
        </w:tc>
        <w:tc>
          <w:tcPr>
            <w:tcW w:w="0" w:type="dxa"/>
            <w:vAlign w:val="bottom"/>
          </w:tcPr>
          <w:p>
            <w:pPr>
              <w:spacing w:after="0"/>
              <w:rPr>
                <w:sz w:val="1"/>
                <w:szCs w:val="1"/>
                <w:color w:val="auto"/>
              </w:rPr>
            </w:pPr>
          </w:p>
        </w:tc>
      </w:tr>
      <w:tr>
        <w:trPr>
          <w:trHeight w:val="324"/>
        </w:trPr>
        <w:tc>
          <w:tcPr>
            <w:tcW w:w="110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581"/>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1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7"/>
        </w:trPr>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00" w:type="dxa"/>
            <w:vAlign w:val="bottom"/>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924" w:right="80" w:hanging="924"/>
        <w:spacing w:after="0" w:line="282" w:lineRule="auto"/>
        <w:tabs>
          <w:tab w:leader="none" w:pos="83" w:val="left"/>
        </w:tabs>
        <w:numPr>
          <w:ilvl w:val="0"/>
          <w:numId w:val="2"/>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w:t>
      </w:r>
      <w:hyperlink r:id="rId30">
        <w:r>
          <w:rPr>
            <w:rFonts w:ascii="Times New Roman" w:cs="Times New Roman" w:eastAsia="Times New Roman" w:hAnsi="Times New Roman"/>
            <w:sz w:val="18"/>
            <w:szCs w:val="18"/>
            <w:u w:val="single" w:color="auto"/>
            <w:color w:val="0000EE"/>
          </w:rPr>
          <w:t>Fourth Amended and Restated Certificate of Incorporation, as amended through June 20, 2024 (incorporated by reference to Exhibit 3.1 to</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the Registrant’s Quarterly Report on Form 10-Q (File No. 001-38537), filed with the SEC on August 14, 2024).</w:t>
        </w:r>
      </w:hyperlink>
    </w:p>
    <w:p>
      <w:pPr>
        <w:spacing w:after="0" w:line="53"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6"/>
          <w:szCs w:val="16"/>
          <w:color w:val="auto"/>
        </w:rPr>
        <w:t>  4.2</w:t>
      </w:r>
      <w:hyperlink r:id="rId31">
        <w:r>
          <w:rPr>
            <w:rFonts w:ascii="Times New Roman" w:cs="Times New Roman" w:eastAsia="Times New Roman" w:hAnsi="Times New Roman"/>
            <w:sz w:val="17"/>
            <w:szCs w:val="17"/>
            <w:u w:val="single" w:color="auto"/>
            <w:color w:val="0000EE"/>
          </w:rPr>
          <w:t>Amended and Restated Bylaws (incorporated by reference to Exhibit 3.2 to the Registrant’s Current Report on Form 8-K (File</w:t>
        </w:r>
      </w:hyperlink>
    </w:p>
    <w:p>
      <w:pPr>
        <w:spacing w:after="0" w:line="39" w:lineRule="exact"/>
        <w:rPr>
          <w:rFonts w:ascii="Times New Roman" w:cs="Times New Roman" w:eastAsia="Times New Roman" w:hAnsi="Times New Roman"/>
          <w:sz w:val="18"/>
          <w:szCs w:val="18"/>
          <w:u w:val="single" w:color="auto"/>
          <w:color w:val="0000EE"/>
        </w:rPr>
      </w:pPr>
    </w:p>
    <w:p>
      <w:pPr>
        <w:ind w:left="924"/>
        <w:spacing w:after="0"/>
        <w:rPr>
          <w:rFonts w:ascii="Times New Roman" w:cs="Times New Roman" w:eastAsia="Times New Roman" w:hAnsi="Times New Roman"/>
          <w:sz w:val="18"/>
          <w:szCs w:val="18"/>
          <w:u w:val="single" w:color="auto"/>
          <w:color w:val="0000EE"/>
        </w:rPr>
      </w:pPr>
      <w:hyperlink r:id="rId31">
        <w:r>
          <w:rPr>
            <w:rFonts w:ascii="Times New Roman" w:cs="Times New Roman" w:eastAsia="Times New Roman" w:hAnsi="Times New Roman"/>
            <w:sz w:val="18"/>
            <w:szCs w:val="18"/>
            <w:u w:val="single" w:color="auto"/>
            <w:color w:val="0000EE"/>
          </w:rPr>
          <w:t>No. 001-38537), filed with the SEC on June 25, 2018).</w:t>
        </w:r>
      </w:hyperlink>
    </w:p>
    <w:p>
      <w:pPr>
        <w:spacing w:after="0" w:line="99" w:lineRule="exact"/>
        <w:rPr>
          <w:rFonts w:ascii="Times New Roman" w:cs="Times New Roman" w:eastAsia="Times New Roman" w:hAnsi="Times New Roman"/>
          <w:sz w:val="18"/>
          <w:szCs w:val="18"/>
          <w:u w:val="single" w:color="auto"/>
          <w:color w:val="0000EE"/>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5.1</w:t>
      </w:r>
      <w:r>
        <w:rPr>
          <w:rFonts w:ascii="Times New Roman" w:cs="Times New Roman" w:eastAsia="Times New Roman" w:hAnsi="Times New Roman"/>
          <w:sz w:val="17"/>
          <w:szCs w:val="17"/>
          <w:u w:val="single" w:color="auto"/>
          <w:color w:val="0000EE"/>
        </w:rPr>
        <w:t>Opinion of Cooley LLP.</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23.1</w:t>
      </w:r>
      <w:r>
        <w:rPr>
          <w:rFonts w:ascii="Times New Roman" w:cs="Times New Roman" w:eastAsia="Times New Roman" w:hAnsi="Times New Roman"/>
          <w:sz w:val="17"/>
          <w:szCs w:val="17"/>
          <w:u w:val="single" w:color="auto"/>
          <w:color w:val="0000EE"/>
        </w:rPr>
        <w:t>Consent of Deloitte &amp; Touche LLP, independent registered public accounting firm of Tectonic Therapeutic, Inc.</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23.2</w:t>
      </w:r>
      <w:r>
        <w:rPr>
          <w:rFonts w:ascii="Times New Roman" w:cs="Times New Roman" w:eastAsia="Times New Roman" w:hAnsi="Times New Roman"/>
          <w:sz w:val="17"/>
          <w:szCs w:val="17"/>
          <w:u w:val="single" w:color="auto"/>
          <w:color w:val="0000EE"/>
        </w:rPr>
        <w:t>Consent of Cooley LLP. Reference is made to Exhibit 5.1.</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24.1</w:t>
      </w:r>
      <w:r>
        <w:rPr>
          <w:rFonts w:ascii="Times New Roman" w:cs="Times New Roman" w:eastAsia="Times New Roman" w:hAnsi="Times New Roman"/>
          <w:sz w:val="18"/>
          <w:szCs w:val="18"/>
          <w:u w:val="single" w:color="auto"/>
          <w:color w:val="0000EE"/>
        </w:rPr>
        <w:t>Power of Attorney. Reference is made to the signature page hereto.</w:t>
      </w:r>
    </w:p>
    <w:p>
      <w:pPr>
        <w:spacing w:after="0" w:line="117" w:lineRule="exact"/>
        <w:rPr>
          <w:rFonts w:ascii="Times New Roman" w:cs="Times New Roman" w:eastAsia="Times New Roman" w:hAnsi="Times New Roman"/>
          <w:sz w:val="16"/>
          <w:szCs w:val="16"/>
          <w:color w:val="auto"/>
        </w:rPr>
      </w:pPr>
    </w:p>
    <w:p>
      <w:pPr>
        <w:ind w:left="924" w:right="360" w:hanging="924"/>
        <w:spacing w:after="0" w:line="282" w:lineRule="auto"/>
        <w:tabs>
          <w:tab w:leader="none" w:pos="83"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hyperlink r:id="rId32">
        <w:r>
          <w:rPr>
            <w:rFonts w:ascii="Times New Roman" w:cs="Times New Roman" w:eastAsia="Times New Roman" w:hAnsi="Times New Roman"/>
            <w:sz w:val="18"/>
            <w:szCs w:val="18"/>
            <w:u w:val="single" w:color="auto"/>
            <w:color w:val="0000EE"/>
          </w:rPr>
          <w:t>Tectonic Therapeutic, Inc. 2019 Equity Incentive Plan and forms of award agreements thereunder (incorporated by reference to Exhibit</w:t>
        </w:r>
      </w:hyperlink>
      <w:r>
        <w:rPr>
          <w:rFonts w:ascii="Times New Roman" w:cs="Times New Roman" w:eastAsia="Times New Roman" w:hAnsi="Times New Roman"/>
          <w:sz w:val="18"/>
          <w:szCs w:val="18"/>
          <w:u w:val="single" w:color="auto"/>
          <w:color w:val="0000EE"/>
        </w:rPr>
        <w:t xml:space="preserve"> </w:t>
      </w:r>
      <w:hyperlink r:id="rId32">
        <w:r>
          <w:rPr>
            <w:rFonts w:ascii="Times New Roman" w:cs="Times New Roman" w:eastAsia="Times New Roman" w:hAnsi="Times New Roman"/>
            <w:sz w:val="18"/>
            <w:szCs w:val="18"/>
            <w:u w:val="single" w:color="auto"/>
            <w:color w:val="0000EE"/>
          </w:rPr>
          <w:t>10.42 to the Registrant’s Registration Statement on Form S-4, filed with the SEC on February 14, 2024).</w:t>
        </w:r>
      </w:hyperlink>
    </w:p>
    <w:p>
      <w:pPr>
        <w:spacing w:after="0" w:line="94" w:lineRule="exact"/>
        <w:rPr>
          <w:rFonts w:ascii="Times New Roman" w:cs="Times New Roman" w:eastAsia="Times New Roman" w:hAnsi="Times New Roman"/>
          <w:sz w:val="18"/>
          <w:szCs w:val="18"/>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161"/>
        </w:trPr>
        <w:tc>
          <w:tcPr>
            <w:tcW w:w="306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6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90"/>
        </w:trPr>
        <w:tc>
          <w:tcPr>
            <w:tcW w:w="306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-10160</wp:posOffset>
            </wp:positionV>
            <wp:extent cx="64033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6403340" cy="8255"/>
                    </a:xfrm>
                    <a:prstGeom prst="rect">
                      <a:avLst/>
                    </a:prstGeom>
                    <a:noFill/>
                  </pic:spPr>
                </pic:pic>
              </a:graphicData>
            </a:graphic>
          </wp:anchor>
        </w:drawing>
      </w:r>
    </w:p>
    <w:p>
      <w:pPr>
        <w:spacing w:after="0" w:line="53" w:lineRule="exact"/>
        <w:rPr>
          <w:sz w:val="20"/>
          <w:szCs w:val="20"/>
          <w:color w:val="auto"/>
        </w:rPr>
      </w:pPr>
    </w:p>
    <w:p>
      <w:pPr>
        <w:ind w:left="924" w:right="380" w:hanging="924"/>
        <w:spacing w:after="0" w:line="282" w:lineRule="auto"/>
        <w:tabs>
          <w:tab w:leader="none" w:pos="83"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99.2</w:t>
      </w:r>
      <w:hyperlink r:id="rId35">
        <w:r>
          <w:rPr>
            <w:rFonts w:ascii="Times New Roman" w:cs="Times New Roman" w:eastAsia="Times New Roman" w:hAnsi="Times New Roman"/>
            <w:sz w:val="18"/>
            <w:szCs w:val="18"/>
            <w:u w:val="single" w:color="auto"/>
            <w:color w:val="0000EE"/>
          </w:rPr>
          <w:t>Tectonic Therapeutic, Inc. 2024 Equity Incentive Plan (incorporated by reference to Exhibit 10.6 to the Registrant’s Current Report on</w:t>
        </w:r>
      </w:hyperlink>
      <w:r>
        <w:rPr>
          <w:rFonts w:ascii="Times New Roman" w:cs="Times New Roman" w:eastAsia="Times New Roman" w:hAnsi="Times New Roman"/>
          <w:sz w:val="18"/>
          <w:szCs w:val="18"/>
          <w:u w:val="single" w:color="auto"/>
          <w:color w:val="0000EE"/>
        </w:rPr>
        <w:t xml:space="preserve"> </w:t>
      </w:r>
      <w:hyperlink r:id="rId35">
        <w:r>
          <w:rPr>
            <w:rFonts w:ascii="Times New Roman" w:cs="Times New Roman" w:eastAsia="Times New Roman" w:hAnsi="Times New Roman"/>
            <w:sz w:val="18"/>
            <w:szCs w:val="18"/>
            <w:u w:val="single" w:color="auto"/>
            <w:color w:val="0000EE"/>
          </w:rPr>
          <w:t>Form 8-K (File No. 001-38537), filed with the SEC on June 20, 2024).</w:t>
        </w:r>
      </w:hyperlink>
    </w:p>
    <w:p>
      <w:pPr>
        <w:spacing w:after="0" w:line="53" w:lineRule="exact"/>
        <w:rPr>
          <w:rFonts w:ascii="Times New Roman" w:cs="Times New Roman" w:eastAsia="Times New Roman" w:hAnsi="Times New Roman"/>
          <w:sz w:val="18"/>
          <w:szCs w:val="18"/>
          <w:u w:val="single" w:color="auto"/>
          <w:color w:val="0000EE"/>
        </w:rPr>
      </w:pPr>
    </w:p>
    <w:p>
      <w:pPr>
        <w:ind w:left="924" w:right="320" w:hanging="924"/>
        <w:spacing w:after="0" w:line="266" w:lineRule="auto"/>
        <w:tabs>
          <w:tab w:leader="none" w:pos="83"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99.3</w:t>
      </w:r>
      <w:hyperlink r:id="rId36">
        <w:r>
          <w:rPr>
            <w:rFonts w:ascii="Times New Roman" w:cs="Times New Roman" w:eastAsia="Times New Roman" w:hAnsi="Times New Roman"/>
            <w:sz w:val="18"/>
            <w:szCs w:val="18"/>
            <w:u w:val="single" w:color="auto"/>
            <w:color w:val="0000EE"/>
          </w:rPr>
          <w:t>Forms of Option Grant Notice, Option Agreement and Notice of Exercise under Tectonic Therapeutic, Inc. 2024 Equity Incentive Plan</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(incorporated by reference to Exhibit 10.7 to the Registrant’s Current Report on Form 8-K (File No. 001-38537), filed with the SEC on</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June 20, 2024).</w:t>
        </w:r>
      </w:hyperlink>
    </w:p>
    <w:p>
      <w:pPr>
        <w:spacing w:after="0" w:line="67" w:lineRule="exact"/>
        <w:rPr>
          <w:rFonts w:ascii="Times New Roman" w:cs="Times New Roman" w:eastAsia="Times New Roman" w:hAnsi="Times New Roman"/>
          <w:sz w:val="18"/>
          <w:szCs w:val="18"/>
          <w:u w:val="single" w:color="auto"/>
          <w:color w:val="0000EE"/>
        </w:rPr>
      </w:pPr>
    </w:p>
    <w:p>
      <w:pPr>
        <w:ind w:left="924" w:right="460" w:hanging="924"/>
        <w:spacing w:after="0" w:line="282" w:lineRule="auto"/>
        <w:tabs>
          <w:tab w:leader="none" w:pos="83" w:val="left"/>
        </w:tabs>
        <w:numPr>
          <w:ilvl w:val="0"/>
          <w:numId w:val="4"/>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99.4</w:t>
      </w:r>
      <w:hyperlink r:id="rId37">
        <w:r>
          <w:rPr>
            <w:rFonts w:ascii="Times New Roman" w:cs="Times New Roman" w:eastAsia="Times New Roman" w:hAnsi="Times New Roman"/>
            <w:sz w:val="18"/>
            <w:szCs w:val="18"/>
            <w:u w:val="single" w:color="auto"/>
            <w:color w:val="0000EE"/>
          </w:rPr>
          <w:t>Tectonic Therapeutic, Inc. 2024 Employee Stock Purchase Plan (incorporated by reference to Exhibit 10.8 to the Registrant’s Current</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Report on Form 8-K (File No. 001-38537), filed with the SEC on June 20, 2024).</w:t>
        </w:r>
      </w:hyperlink>
    </w:p>
    <w:p>
      <w:pPr>
        <w:spacing w:after="0" w:line="54" w:lineRule="exact"/>
        <w:rPr>
          <w:rFonts w:ascii="Times New Roman" w:cs="Times New Roman" w:eastAsia="Times New Roman" w:hAnsi="Times New Roman"/>
          <w:sz w:val="18"/>
          <w:szCs w:val="18"/>
          <w:color w:val="auto"/>
        </w:rPr>
      </w:pPr>
    </w:p>
    <w:p>
      <w:pPr>
        <w:ind w:left="924" w:hanging="924"/>
        <w:spacing w:after="0"/>
        <w:tabs>
          <w:tab w:leader="none" w:pos="9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370" w:lineRule="exact"/>
        <w:rPr>
          <w:rFonts w:ascii="Times New Roman" w:cs="Times New Roman" w:eastAsia="Times New Roman" w:hAnsi="Times New Roman"/>
          <w:sz w:val="18"/>
          <w:szCs w:val="18"/>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 “Securities Act”);</w:t>
      </w:r>
    </w:p>
    <w:p>
      <w:pPr>
        <w:spacing w:after="0" w:line="225" w:lineRule="exact"/>
        <w:rPr>
          <w:rFonts w:ascii="Times New Roman" w:cs="Times New Roman" w:eastAsia="Times New Roman" w:hAnsi="Times New Roman"/>
          <w:sz w:val="18"/>
          <w:szCs w:val="18"/>
          <w:color w:val="auto"/>
        </w:rPr>
      </w:pPr>
    </w:p>
    <w:p>
      <w:pPr>
        <w:ind w:left="4" w:right="200" w:firstLine="1428"/>
        <w:spacing w:after="0" w:line="255" w:lineRule="auto"/>
        <w:tabs>
          <w:tab w:leader="none" w:pos="1701"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4" w:right="680" w:firstLine="1428"/>
        <w:spacing w:after="0" w:line="282" w:lineRule="auto"/>
        <w:tabs>
          <w:tab w:leader="none" w:pos="1751"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rFonts w:ascii="Times New Roman" w:cs="Times New Roman" w:eastAsia="Times New Roman" w:hAnsi="Times New Roman"/>
          <w:sz w:val="18"/>
          <w:szCs w:val="18"/>
          <w:color w:val="auto"/>
        </w:rPr>
      </w:pPr>
    </w:p>
    <w:p>
      <w:pPr>
        <w:ind w:left="4"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do not apply if the Registration Statement is on Form S-8, and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SEC by the Registrant pursuant to Section 13 or Section 15(d) of the Exchange Act that are incorporated by reference in the Registration Statement; and</w:t>
      </w:r>
    </w:p>
    <w:p>
      <w:pPr>
        <w:spacing w:after="0" w:line="175"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25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16" w:lineRule="exact"/>
        <w:rPr>
          <w:rFonts w:ascii="Times New Roman" w:cs="Times New Roman" w:eastAsia="Times New Roman" w:hAnsi="Times New Roman"/>
          <w:sz w:val="18"/>
          <w:szCs w:val="18"/>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51" w:right="479" w:bottom="1440" w:gutter="0" w:footer="0" w:header="0"/>
        </w:sectPr>
      </w:pPr>
    </w:p>
    <w:bookmarkStart w:id="6" w:name="page7"/>
    <w:bookmarkEnd w:id="6"/>
    <w:p>
      <w:pPr>
        <w:ind w:left="-120" w:firstLine="436"/>
        <w:spacing w:after="0" w:line="254" w:lineRule="auto"/>
        <w:tabs>
          <w:tab w:leader="none" w:pos="5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60"/>
          </w:cols>
          <w:pgMar w:left="560" w:top="270" w:right="5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Watertown, Commonwealth of Massachusetts, on August 21,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Alise Reicin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18415</wp:posOffset>
            </wp:positionV>
            <wp:extent cx="26574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9"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Alise Reicin</w:t>
      </w:r>
    </w:p>
    <w:p>
      <w:pPr>
        <w:spacing w:after="0" w:line="23"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20" w:firstLine="4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Alise Reicin and Daniel Lochner, and each of them, as true and lawful attorneys-in-fact and agents, with full powers of substitution and resubstitution, for them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and generally to do all such things in their names and behalf in their capacities as officers and directors to enable Tectonic Therapeutic, Inc. to comply with the provisions of the Securities Act of 1933, as amended, and all requirements of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ratifying and confirming all that said attorneys-in-fact and agents, or any of them, or their or his substitutes or substitute, may lawfully do or cause to be done by virtue hereof.</w:t>
      </w:r>
    </w:p>
    <w:p>
      <w:pPr>
        <w:spacing w:after="0" w:line="188"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Alise Reicin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Alise Reicin</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 Lochner</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Daniel Lochner</w:t>
            </w:r>
          </w:p>
        </w:tc>
        <w:tc>
          <w:tcPr>
            <w:tcW w:w="120" w:type="dxa"/>
            <w:vAlign w:val="bottom"/>
          </w:tcPr>
          <w:p>
            <w:pPr>
              <w:spacing w:after="0"/>
              <w:rPr>
                <w:sz w:val="19"/>
                <w:szCs w:val="19"/>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Terrance McGuire</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Terrance McGuire</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Stefan Vitorovic</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Stefan Vitorovic</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Timothy A. Springer</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Timothy A. Springer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Praveen Tipirneni</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Praveen Tipirneni</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Phillip B. Donenberg</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21, 2024</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Phillip B. Donenberg</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Recht</w:t>
      </w:r>
    </w:p>
    <w:p>
      <w:pPr>
        <w:spacing w:after="0" w:line="27" w:lineRule="exact"/>
        <w:rPr>
          <w:sz w:val="20"/>
          <w:szCs w:val="20"/>
          <w:color w:val="auto"/>
        </w:rPr>
      </w:pPr>
    </w:p>
    <w:p>
      <w:pPr>
        <w:ind w:right="9540"/>
        <w:spacing w:after="0" w:line="290" w:lineRule="auto"/>
        <w:tabs>
          <w:tab w:leader="none" w:pos="1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+1 617 937 2316 mrecht@cooley.com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Tectonic Therapeutic,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490 Arsenal Way, Suite 210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acted as counsel to Tectonic Therapeutic,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filing of a Registration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S-8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covering the offering of 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2,783,049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consisting of (a) 1,938,799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Common Stock issuable pursuant to the Company’s 2024 Equity Incentive Plan (the “</w:t>
      </w:r>
      <w:r>
        <w:rPr>
          <w:rFonts w:ascii="Times New Roman" w:cs="Times New Roman" w:eastAsia="Times New Roman" w:hAnsi="Times New Roman"/>
          <w:sz w:val="18"/>
          <w:szCs w:val="18"/>
          <w:b w:val="1"/>
          <w:bCs w:val="1"/>
          <w:i w:val="1"/>
          <w:iCs w:val="1"/>
          <w:color w:val="auto"/>
        </w:rPr>
        <w:t>2024 EIP</w:t>
      </w:r>
      <w:r>
        <w:rPr>
          <w:rFonts w:ascii="Times New Roman" w:cs="Times New Roman" w:eastAsia="Times New Roman" w:hAnsi="Times New Roman"/>
          <w:sz w:val="18"/>
          <w:szCs w:val="18"/>
          <w:color w:val="auto"/>
        </w:rPr>
        <w:t>”), (b) 147,343 shares of Common Stock issuable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Company’s 2024 Employee Stock Purchase Plan (together with 2024 EIP, the “</w:t>
      </w:r>
      <w:r>
        <w:rPr>
          <w:rFonts w:ascii="Times New Roman" w:cs="Times New Roman" w:eastAsia="Times New Roman" w:hAnsi="Times New Roman"/>
          <w:sz w:val="18"/>
          <w:szCs w:val="18"/>
          <w:b w:val="1"/>
          <w:bCs w:val="1"/>
          <w:i w:val="1"/>
          <w:iCs w:val="1"/>
          <w:color w:val="auto"/>
        </w:rPr>
        <w:t>2024 Plans</w:t>
      </w:r>
      <w:r>
        <w:rPr>
          <w:rFonts w:ascii="Times New Roman" w:cs="Times New Roman" w:eastAsia="Times New Roman" w:hAnsi="Times New Roman"/>
          <w:sz w:val="18"/>
          <w:szCs w:val="18"/>
          <w:color w:val="auto"/>
        </w:rPr>
        <w:t>”) and (c) 696,907 shares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issuable pursuant to awards granted under the Tectonic Therapeutic, Inc. 2019 Equity Incentive Plan, as amended (together with the 2024 Plans,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Plans</w:t>
      </w:r>
      <w:r>
        <w:rPr>
          <w:rFonts w:ascii="Times New Roman" w:cs="Times New Roman" w:eastAsia="Times New Roman" w:hAnsi="Times New Roman"/>
          <w:sz w:val="18"/>
          <w:szCs w:val="18"/>
          <w:color w:val="auto"/>
        </w:rPr>
        <w:t>”), which awards were assumed by the Company pursuant to the Agreement and Plan of Merger and Reorganization, dated January 30, 2024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by and among the Company, Alpine Merger Subsidiary, Inc. and Tectonic Operating Company, Inc. (formerly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Tectonic Therapeutic, Inc.).</w:t>
      </w:r>
    </w:p>
    <w:p>
      <w:pPr>
        <w:spacing w:after="0" w:line="20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connection with this opinion, we have examined and relied upon (a) the Registration Statement and related prospectuses, (b) the Plans, (c) the Company’s certificate of incorporation and bylaws, each as currently in effect, (d) the Merger Agreement and (e) such other documents, records,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execution and delivery of all documents by all persons other than the Company where execution and delivery are prerequisites to the effectiveness thereof. As to certain factual matters, we have relied upon a certificate executed by an officer of the Company and have not independently verified such matters.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sold and issued in accordance with the Plans and the Registration Statement and related prospectuses, will be validly issued, fully paid, and nonassessable (except as to shares issued pursuant to deferred payment arrangements, which will be fully paid and nonassessable when such deferred payments are made in full).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500 Boylston Street   Boston, MA   02116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(617) 937 2300   f: (617) 937 2400   cooley.com</w:t>
      </w:r>
    </w:p>
    <w:p>
      <w:pPr>
        <w:sectPr>
          <w:pgSz w:w="11900" w:h="16838" w:orient="portrait"/>
          <w:cols w:equalWidth="0" w:num="1">
            <w:col w:w="11020"/>
          </w:cols>
          <w:pgMar w:left="440" w:top="117"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August 21,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23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opinion is limited to the matters expressly set forth in this letter, and no opinion has been or should be implied, or may be inferred, beyond the matters expressly stated. This opinion speaks only as to law and facts in effect or existing as of the date hereof and we undertake no obligation or responsibility to update or supplement this letter to reflect any facts or circumstances that may hereafter come to our attention or any changes in law that may hereafter occur.</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Cooley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Marc 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Marc Recht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Cooley LLP   500 Boylston Street   Boston, MA   02116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 (617) 937 2300   f: (617) 937 2400   cooley.com</w:t>
      </w:r>
    </w:p>
    <w:p>
      <w:pPr>
        <w:sectPr>
          <w:pgSz w:w="11900" w:h="16838" w:orient="portrait"/>
          <w:cols w:equalWidth="0" w:num="1">
            <w:col w:w="11000"/>
          </w:cols>
          <w:pgMar w:left="440" w:top="1080" w:right="45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21"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We consent to the incorporation by reference in this Registration Statement on Form S-8 of our report dated April 12, 2024 relating to the financial statements of Tectonic Therapeutic, Inc. appearing in the Current Report on Form 8-K filed on June 20, 2024 for the year ended December 31, 2023.</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21, 2024</w:t>
      </w:r>
    </w:p>
    <w:p>
      <w:pPr>
        <w:sectPr>
          <w:pgSz w:w="11900" w:h="16838" w:orient="portrait"/>
          <w:cols w:equalWidth="0" w:num="1">
            <w:col w:w="11020"/>
          </w:cols>
          <w:pgMar w:left="440" w:top="117" w:right="4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42"/>
        </w:trPr>
        <w:tc>
          <w:tcPr>
            <w:tcW w:w="1400" w:type="dxa"/>
            <w:vAlign w:val="bottom"/>
            <w:tcBorders>
              <w:top w:val="single" w:sz="8" w:color="auto"/>
              <w:left w:val="single" w:sz="8" w:color="auto"/>
              <w:right w:val="single" w:sz="8" w:color="auto"/>
            </w:tcBorders>
          </w:tcPr>
          <w:p>
            <w:pPr>
              <w:spacing w:after="0"/>
              <w:rPr>
                <w:sz w:val="12"/>
                <w:szCs w:val="12"/>
                <w:color w:val="auto"/>
              </w:rPr>
            </w:pPr>
          </w:p>
        </w:tc>
        <w:tc>
          <w:tcPr>
            <w:tcW w:w="640" w:type="dxa"/>
            <w:vAlign w:val="bottom"/>
            <w:tcBorders>
              <w:top w:val="single" w:sz="8" w:color="auto"/>
              <w:right w:val="single" w:sz="8" w:color="auto"/>
            </w:tcBorders>
          </w:tcPr>
          <w:p>
            <w:pPr>
              <w:spacing w:after="0"/>
              <w:rPr>
                <w:sz w:val="12"/>
                <w:szCs w:val="12"/>
                <w:color w:val="auto"/>
              </w:rPr>
            </w:pPr>
          </w:p>
        </w:tc>
        <w:tc>
          <w:tcPr>
            <w:tcW w:w="240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400" w:type="dxa"/>
            <w:vAlign w:val="bottom"/>
            <w:tcBorders>
              <w:top w:val="single" w:sz="8" w:color="auto"/>
              <w:right w:val="single" w:sz="8" w:color="auto"/>
            </w:tcBorders>
          </w:tcPr>
          <w:p>
            <w:pPr>
              <w:spacing w:after="0"/>
              <w:rPr>
                <w:sz w:val="12"/>
                <w:szCs w:val="12"/>
                <w:color w:val="auto"/>
              </w:rPr>
            </w:pPr>
          </w:p>
        </w:tc>
        <w:tc>
          <w:tcPr>
            <w:tcW w:w="1200" w:type="dxa"/>
            <w:vAlign w:val="bottom"/>
            <w:tcBorders>
              <w:top w:val="single" w:sz="8" w:color="auto"/>
              <w:right w:val="single" w:sz="8" w:color="auto"/>
            </w:tcBorders>
          </w:tcPr>
          <w:p>
            <w:pPr>
              <w:spacing w:after="0"/>
              <w:rPr>
                <w:sz w:val="12"/>
                <w:szCs w:val="12"/>
                <w:color w:val="auto"/>
              </w:rPr>
            </w:pPr>
          </w:p>
        </w:tc>
        <w:tc>
          <w:tcPr>
            <w:tcW w:w="8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40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400" w:type="dxa"/>
            <w:vAlign w:val="bottom"/>
            <w:tcBorders>
              <w:right w:val="single" w:sz="8" w:color="auto"/>
            </w:tcBorders>
          </w:tcPr>
          <w:p>
            <w:pPr>
              <w:jc w:val="center"/>
              <w:ind w:left="4"/>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2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24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10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4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12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0" w:type="dxa"/>
            <w:vAlign w:val="bottom"/>
          </w:tcPr>
          <w:p>
            <w:pPr>
              <w:spacing w:after="0"/>
              <w:rPr>
                <w:sz w:val="1"/>
                <w:szCs w:val="1"/>
                <w:color w:val="auto"/>
              </w:rPr>
            </w:pPr>
          </w:p>
        </w:tc>
      </w:tr>
      <w:tr>
        <w:trPr>
          <w:trHeight w:val="135"/>
        </w:trPr>
        <w:tc>
          <w:tcPr>
            <w:tcW w:w="1400" w:type="dxa"/>
            <w:vAlign w:val="bottom"/>
            <w:tcBorders>
              <w:left w:val="single" w:sz="8" w:color="auto"/>
              <w:right w:val="single" w:sz="8" w:color="auto"/>
            </w:tcBorders>
          </w:tcPr>
          <w:p>
            <w:pPr>
              <w:spacing w:after="0"/>
              <w:rPr>
                <w:sz w:val="11"/>
                <w:szCs w:val="11"/>
                <w:color w:val="auto"/>
              </w:rPr>
            </w:pPr>
          </w:p>
        </w:tc>
        <w:tc>
          <w:tcPr>
            <w:tcW w:w="6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24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Class</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4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2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8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Registration</w:t>
            </w:r>
          </w:p>
        </w:tc>
        <w:tc>
          <w:tcPr>
            <w:tcW w:w="0" w:type="dxa"/>
            <w:vAlign w:val="bottom"/>
          </w:tcPr>
          <w:p>
            <w:pPr>
              <w:spacing w:after="0"/>
              <w:rPr>
                <w:sz w:val="1"/>
                <w:szCs w:val="1"/>
                <w:color w:val="auto"/>
              </w:rPr>
            </w:pPr>
          </w:p>
        </w:tc>
      </w:tr>
      <w:tr>
        <w:trPr>
          <w:trHeight w:val="182"/>
        </w:trPr>
        <w:tc>
          <w:tcPr>
            <w:tcW w:w="1400" w:type="dxa"/>
            <w:vAlign w:val="bottom"/>
            <w:tcBorders>
              <w:left w:val="single" w:sz="8" w:color="auto"/>
              <w:bottom w:val="single" w:sz="8" w:color="auto"/>
              <w:right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108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3"/>
                <w:szCs w:val="13"/>
                <w:b w:val="1"/>
                <w:bCs w:val="1"/>
                <w:color w:val="auto"/>
                <w:w w:val="92"/>
              </w:rPr>
              <w:t>Registered</w:t>
            </w:r>
            <w:r>
              <w:rPr>
                <w:rFonts w:ascii="Times New Roman" w:cs="Times New Roman" w:eastAsia="Times New Roman" w:hAnsi="Times New Roman"/>
                <w:sz w:val="18"/>
                <w:szCs w:val="18"/>
                <w:b w:val="1"/>
                <w:bCs w:val="1"/>
                <w:color w:val="auto"/>
                <w:w w:val="92"/>
                <w:vertAlign w:val="superscript"/>
              </w:rPr>
              <w:t>(1)</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4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Fee</w:t>
            </w: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Newly Registered Securities</w:t>
            </w:r>
          </w:p>
        </w:tc>
        <w:tc>
          <w:tcPr>
            <w:tcW w:w="8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140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w:t>
            </w:r>
          </w:p>
        </w:tc>
        <w:tc>
          <w:tcPr>
            <w:tcW w:w="10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per share to be issued</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Rule</w:t>
            </w:r>
          </w:p>
        </w:tc>
        <w:tc>
          <w:tcPr>
            <w:tcW w:w="10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400" w:type="dxa"/>
            <w:vAlign w:val="bottom"/>
            <w:tcBorders>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Fees to Be Paid</w:t>
            </w: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pursuant to the Tectonic</w:t>
            </w:r>
          </w:p>
        </w:tc>
        <w:tc>
          <w:tcPr>
            <w:tcW w:w="108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17"/>
                <w:szCs w:val="17"/>
                <w:color w:val="auto"/>
                <w:w w:val="99"/>
              </w:rPr>
              <w:t>696,907</w:t>
            </w:r>
            <w:r>
              <w:rPr>
                <w:rFonts w:ascii="Times New Roman" w:cs="Times New Roman" w:eastAsia="Times New Roman" w:hAnsi="Times New Roman"/>
                <w:sz w:val="25"/>
                <w:szCs w:val="25"/>
                <w:color w:val="auto"/>
                <w:w w:val="99"/>
                <w:vertAlign w:val="superscript"/>
              </w:rPr>
              <w:t>(2)</w:t>
            </w:r>
          </w:p>
        </w:tc>
        <w:tc>
          <w:tcPr>
            <w:tcW w:w="86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17"/>
                <w:szCs w:val="17"/>
                <w:color w:val="auto"/>
                <w:w w:val="96"/>
              </w:rPr>
              <w:t>$3.37</w:t>
            </w:r>
            <w:r>
              <w:rPr>
                <w:rFonts w:ascii="Times New Roman" w:cs="Times New Roman" w:eastAsia="Times New Roman" w:hAnsi="Times New Roman"/>
                <w:sz w:val="25"/>
                <w:szCs w:val="25"/>
                <w:color w:val="auto"/>
                <w:w w:val="96"/>
                <w:vertAlign w:val="superscript"/>
              </w:rPr>
              <w:t>(5)</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$2,348,576.59</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$0.00014760</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$346.65</w:t>
            </w: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right w:val="single" w:sz="8" w:color="auto"/>
            </w:tcBorders>
            <w:vMerge w:val="continue"/>
          </w:tcPr>
          <w:p>
            <w:pPr>
              <w:spacing w:after="0"/>
              <w:rPr>
                <w:sz w:val="10"/>
                <w:szCs w:val="10"/>
                <w:color w:val="auto"/>
              </w:rPr>
            </w:pPr>
          </w:p>
        </w:tc>
        <w:tc>
          <w:tcPr>
            <w:tcW w:w="640" w:type="dxa"/>
            <w:vAlign w:val="bottom"/>
            <w:tcBorders>
              <w:right w:val="single" w:sz="8" w:color="auto"/>
            </w:tcBorders>
            <w:vMerge w:val="continue"/>
          </w:tcPr>
          <w:p>
            <w:pPr>
              <w:spacing w:after="0"/>
              <w:rPr>
                <w:sz w:val="10"/>
                <w:szCs w:val="10"/>
                <w:color w:val="auto"/>
              </w:rPr>
            </w:pPr>
          </w:p>
        </w:tc>
        <w:tc>
          <w:tcPr>
            <w:tcW w:w="240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457(h)(1)</w:t>
            </w:r>
          </w:p>
        </w:tc>
        <w:tc>
          <w:tcPr>
            <w:tcW w:w="108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400" w:type="dxa"/>
            <w:vAlign w:val="bottom"/>
            <w:tcBorders>
              <w:left w:val="single" w:sz="8" w:color="auto"/>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2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Therapeutic, Inc. 2019 Equity</w:t>
            </w:r>
          </w:p>
        </w:tc>
        <w:tc>
          <w:tcPr>
            <w:tcW w:w="108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400" w:type="dxa"/>
            <w:vAlign w:val="bottom"/>
            <w:tcBorders>
              <w:left w:val="single" w:sz="8" w:color="auto"/>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240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Incentive Plan</w:t>
            </w:r>
          </w:p>
        </w:tc>
        <w:tc>
          <w:tcPr>
            <w:tcW w:w="10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40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w:t>
            </w:r>
          </w:p>
        </w:tc>
        <w:tc>
          <w:tcPr>
            <w:tcW w:w="10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per share to be issued</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Rule 457(c)</w:t>
            </w:r>
          </w:p>
        </w:tc>
        <w:tc>
          <w:tcPr>
            <w:tcW w:w="10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400" w:type="dxa"/>
            <w:vAlign w:val="bottom"/>
            <w:tcBorders>
              <w:left w:val="single" w:sz="8" w:color="auto"/>
              <w:right w:val="single" w:sz="8" w:color="auto"/>
            </w:tcBorders>
          </w:tcPr>
          <w:p>
            <w:pPr>
              <w:spacing w:after="0"/>
              <w:rPr>
                <w:sz w:val="8"/>
                <w:szCs w:val="8"/>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pursuant to the Tectonic</w:t>
            </w:r>
          </w:p>
        </w:tc>
        <w:tc>
          <w:tcPr>
            <w:tcW w:w="108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17"/>
                <w:szCs w:val="17"/>
                <w:color w:val="auto"/>
              </w:rPr>
              <w:t>1,938,799</w:t>
            </w:r>
            <w:r>
              <w:rPr>
                <w:rFonts w:ascii="Times New Roman" w:cs="Times New Roman" w:eastAsia="Times New Roman" w:hAnsi="Times New Roman"/>
                <w:sz w:val="25"/>
                <w:szCs w:val="25"/>
                <w:color w:val="auto"/>
                <w:vertAlign w:val="superscript"/>
              </w:rPr>
              <w:t>(3)</w:t>
            </w:r>
          </w:p>
        </w:tc>
        <w:tc>
          <w:tcPr>
            <w:tcW w:w="860" w:type="dxa"/>
            <w:vAlign w:val="bottom"/>
            <w:tcBorders>
              <w:right w:val="single" w:sz="8" w:color="auto"/>
            </w:tcBorders>
            <w:vMerge w:val="restart"/>
          </w:tcPr>
          <w:p>
            <w:pPr>
              <w:jc w:val="center"/>
              <w:ind w:left="8"/>
              <w:spacing w:after="0" w:line="216" w:lineRule="exact"/>
              <w:rPr>
                <w:sz w:val="20"/>
                <w:szCs w:val="20"/>
                <w:color w:val="auto"/>
              </w:rPr>
            </w:pPr>
            <w:r>
              <w:rPr>
                <w:rFonts w:ascii="Times New Roman" w:cs="Times New Roman" w:eastAsia="Times New Roman" w:hAnsi="Times New Roman"/>
                <w:sz w:val="17"/>
                <w:szCs w:val="17"/>
                <w:color w:val="auto"/>
              </w:rPr>
              <w:t>$16.85</w:t>
            </w:r>
            <w:r>
              <w:rPr>
                <w:rFonts w:ascii="Times New Roman" w:cs="Times New Roman" w:eastAsia="Times New Roman" w:hAnsi="Times New Roman"/>
                <w:sz w:val="25"/>
                <w:szCs w:val="25"/>
                <w:color w:val="auto"/>
                <w:vertAlign w:val="superscript"/>
              </w:rPr>
              <w:t>(6)</w:t>
            </w:r>
            <w:r>
              <w:rPr>
                <w:rFonts w:ascii="Times New Roman" w:cs="Times New Roman" w:eastAsia="Times New Roman" w:hAnsi="Times New Roman"/>
                <w:sz w:val="17"/>
                <w:szCs w:val="17"/>
                <w:color w:val="auto"/>
              </w:rPr>
              <w:t xml:space="preserve"> </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$32,668,763.15</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$0.00014760</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$4,821.91</w:t>
            </w: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right w:val="single" w:sz="8" w:color="auto"/>
            </w:tcBorders>
          </w:tcPr>
          <w:p>
            <w:pPr>
              <w:spacing w:after="0"/>
              <w:rPr>
                <w:sz w:val="10"/>
                <w:szCs w:val="10"/>
                <w:color w:val="auto"/>
              </w:rPr>
            </w:pPr>
          </w:p>
        </w:tc>
        <w:tc>
          <w:tcPr>
            <w:tcW w:w="640" w:type="dxa"/>
            <w:vAlign w:val="bottom"/>
            <w:tcBorders>
              <w:right w:val="single" w:sz="8" w:color="auto"/>
            </w:tcBorders>
            <w:vMerge w:val="continue"/>
          </w:tcPr>
          <w:p>
            <w:pPr>
              <w:spacing w:after="0"/>
              <w:rPr>
                <w:sz w:val="10"/>
                <w:szCs w:val="10"/>
                <w:color w:val="auto"/>
              </w:rPr>
            </w:pPr>
          </w:p>
        </w:tc>
        <w:tc>
          <w:tcPr>
            <w:tcW w:w="240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and (h)(1)</w:t>
            </w:r>
          </w:p>
        </w:tc>
        <w:tc>
          <w:tcPr>
            <w:tcW w:w="108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400" w:type="dxa"/>
            <w:vAlign w:val="bottom"/>
            <w:tcBorders>
              <w:left w:val="single" w:sz="8" w:color="auto"/>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2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Therapeutic, Inc. 2024 Equity</w:t>
            </w:r>
          </w:p>
        </w:tc>
        <w:tc>
          <w:tcPr>
            <w:tcW w:w="108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400" w:type="dxa"/>
            <w:vAlign w:val="bottom"/>
            <w:tcBorders>
              <w:left w:val="single" w:sz="8" w:color="auto"/>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240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Incentive Plan</w:t>
            </w:r>
          </w:p>
        </w:tc>
        <w:tc>
          <w:tcPr>
            <w:tcW w:w="10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40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w:t>
            </w:r>
          </w:p>
        </w:tc>
        <w:tc>
          <w:tcPr>
            <w:tcW w:w="108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2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value per share to be issued</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Rule 457(c)</w:t>
            </w:r>
          </w:p>
        </w:tc>
        <w:tc>
          <w:tcPr>
            <w:tcW w:w="108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400" w:type="dxa"/>
            <w:vAlign w:val="bottom"/>
            <w:tcBorders>
              <w:left w:val="single" w:sz="8" w:color="auto"/>
              <w:right w:val="single" w:sz="8" w:color="auto"/>
            </w:tcBorders>
          </w:tcPr>
          <w:p>
            <w:pPr>
              <w:spacing w:after="0"/>
              <w:rPr>
                <w:sz w:val="8"/>
                <w:szCs w:val="8"/>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pursuant to the Tectonic</w:t>
            </w:r>
          </w:p>
        </w:tc>
        <w:tc>
          <w:tcPr>
            <w:tcW w:w="108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17"/>
                <w:szCs w:val="17"/>
                <w:color w:val="auto"/>
                <w:w w:val="99"/>
              </w:rPr>
              <w:t>147,343</w:t>
            </w:r>
            <w:r>
              <w:rPr>
                <w:rFonts w:ascii="Times New Roman" w:cs="Times New Roman" w:eastAsia="Times New Roman" w:hAnsi="Times New Roman"/>
                <w:sz w:val="25"/>
                <w:szCs w:val="25"/>
                <w:color w:val="auto"/>
                <w:w w:val="99"/>
                <w:vertAlign w:val="superscript"/>
              </w:rPr>
              <w:t>(4)</w:t>
            </w:r>
          </w:p>
        </w:tc>
        <w:tc>
          <w:tcPr>
            <w:tcW w:w="860" w:type="dxa"/>
            <w:vAlign w:val="bottom"/>
            <w:tcBorders>
              <w:right w:val="single" w:sz="8" w:color="auto"/>
            </w:tcBorders>
            <w:vMerge w:val="restart"/>
          </w:tcPr>
          <w:p>
            <w:pPr>
              <w:jc w:val="center"/>
              <w:ind w:left="8"/>
              <w:spacing w:after="0" w:line="216" w:lineRule="exact"/>
              <w:rPr>
                <w:sz w:val="20"/>
                <w:szCs w:val="20"/>
                <w:color w:val="auto"/>
              </w:rPr>
            </w:pPr>
            <w:r>
              <w:rPr>
                <w:rFonts w:ascii="Times New Roman" w:cs="Times New Roman" w:eastAsia="Times New Roman" w:hAnsi="Times New Roman"/>
                <w:sz w:val="17"/>
                <w:szCs w:val="17"/>
                <w:color w:val="auto"/>
              </w:rPr>
              <w:t>$14.32</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7"/>
                <w:szCs w:val="17"/>
                <w:color w:val="auto"/>
              </w:rPr>
              <w:t xml:space="preserve"> </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$2,110,320.12</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$0.00014760</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$311.49</w:t>
            </w:r>
          </w:p>
        </w:tc>
        <w:tc>
          <w:tcPr>
            <w:tcW w:w="0" w:type="dxa"/>
            <w:vAlign w:val="bottom"/>
          </w:tcPr>
          <w:p>
            <w:pPr>
              <w:spacing w:after="0"/>
              <w:rPr>
                <w:sz w:val="1"/>
                <w:szCs w:val="1"/>
                <w:color w:val="auto"/>
              </w:rPr>
            </w:pPr>
          </w:p>
        </w:tc>
      </w:tr>
      <w:tr>
        <w:trPr>
          <w:trHeight w:val="121"/>
        </w:trPr>
        <w:tc>
          <w:tcPr>
            <w:tcW w:w="1400" w:type="dxa"/>
            <w:vAlign w:val="bottom"/>
            <w:tcBorders>
              <w:left w:val="single" w:sz="8" w:color="auto"/>
              <w:right w:val="single" w:sz="8" w:color="auto"/>
            </w:tcBorders>
          </w:tcPr>
          <w:p>
            <w:pPr>
              <w:spacing w:after="0"/>
              <w:rPr>
                <w:sz w:val="10"/>
                <w:szCs w:val="10"/>
                <w:color w:val="auto"/>
              </w:rPr>
            </w:pPr>
          </w:p>
        </w:tc>
        <w:tc>
          <w:tcPr>
            <w:tcW w:w="640" w:type="dxa"/>
            <w:vAlign w:val="bottom"/>
            <w:tcBorders>
              <w:right w:val="single" w:sz="8" w:color="auto"/>
            </w:tcBorders>
            <w:vMerge w:val="continue"/>
          </w:tcPr>
          <w:p>
            <w:pPr>
              <w:spacing w:after="0"/>
              <w:rPr>
                <w:sz w:val="10"/>
                <w:szCs w:val="10"/>
                <w:color w:val="auto"/>
              </w:rPr>
            </w:pPr>
          </w:p>
        </w:tc>
        <w:tc>
          <w:tcPr>
            <w:tcW w:w="240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and (h)(1)</w:t>
            </w:r>
          </w:p>
        </w:tc>
        <w:tc>
          <w:tcPr>
            <w:tcW w:w="108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continue"/>
          </w:tcPr>
          <w:p>
            <w:pPr>
              <w:spacing w:after="0"/>
              <w:rPr>
                <w:sz w:val="10"/>
                <w:szCs w:val="10"/>
                <w:color w:val="auto"/>
              </w:rPr>
            </w:pPr>
          </w:p>
        </w:tc>
        <w:tc>
          <w:tcPr>
            <w:tcW w:w="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400" w:type="dxa"/>
            <w:vAlign w:val="bottom"/>
            <w:tcBorders>
              <w:left w:val="single" w:sz="8" w:color="auto"/>
              <w:right w:val="single" w:sz="8" w:color="auto"/>
            </w:tcBorders>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2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Therapeutic, Inc. 2024</w:t>
            </w:r>
          </w:p>
        </w:tc>
        <w:tc>
          <w:tcPr>
            <w:tcW w:w="108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200" w:type="dxa"/>
            <w:vAlign w:val="bottom"/>
            <w:tcBorders>
              <w:right w:val="single" w:sz="8" w:color="auto"/>
            </w:tcBorders>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400" w:type="dxa"/>
            <w:vAlign w:val="bottom"/>
            <w:tcBorders>
              <w:left w:val="single" w:sz="8" w:color="auto"/>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2400" w:type="dxa"/>
            <w:vAlign w:val="bottom"/>
            <w:tcBorders>
              <w:right w:val="single" w:sz="8" w:color="auto"/>
            </w:tcBorders>
            <w:vMerge w:val="continue"/>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140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8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2"/>
          </w:tcPr>
          <w:p>
            <w:pPr>
              <w:jc w:val="center"/>
              <w:ind w:left="394"/>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10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$37,127,659.86</w:t>
            </w:r>
          </w:p>
        </w:tc>
        <w:tc>
          <w:tcPr>
            <w:tcW w:w="12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$5,480.05</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2"/>
          </w:tcPr>
          <w:p>
            <w:pPr>
              <w:jc w:val="center"/>
              <w:ind w:left="414"/>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10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2"/>
          </w:tcPr>
          <w:p>
            <w:pPr>
              <w:jc w:val="center"/>
              <w:ind w:left="414"/>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10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2"/>
          </w:tcPr>
          <w:p>
            <w:pPr>
              <w:jc w:val="center"/>
              <w:ind w:left="414"/>
              <w:spacing w:after="0"/>
              <w:rPr>
                <w:sz w:val="20"/>
                <w:szCs w:val="20"/>
                <w:color w:val="auto"/>
              </w:rPr>
            </w:pPr>
            <w:r>
              <w:rPr>
                <w:rFonts w:ascii="Times New Roman" w:cs="Times New Roman" w:eastAsia="Times New Roman" w:hAnsi="Times New Roman"/>
                <w:sz w:val="18"/>
                <w:szCs w:val="18"/>
                <w:b w:val="1"/>
                <w:bCs w:val="1"/>
                <w:color w:val="auto"/>
              </w:rPr>
              <w:t>Net Fees Due</w:t>
            </w:r>
          </w:p>
        </w:tc>
        <w:tc>
          <w:tcPr>
            <w:tcW w:w="108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$5,480.05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0" w:hanging="424"/>
        <w:spacing w:after="0" w:line="254"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shall also cover any additional shares of common stock of Tectonic Therapeutic, Inc. (formerly AVROBIO, Inc., the “Registrant”), par value $0.0001 per share (“Common Stock”), that become issuable under the Registrant’s 2019 Equity Incentive Plan, as amended (the “2019 Plan”), 2024 Equity Incentive Plan (the “2024 Plan”) and 2024 Employee Stock Purchase Plan (the “2024 ESPP”) by reason of any stock dividend, stock split, recapitalization or other similar transaction.</w:t>
      </w:r>
    </w:p>
    <w:p>
      <w:pPr>
        <w:spacing w:after="0" w:line="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issuance upon the exercise of outstanding stock options granted under the 2019 Plan.</w:t>
      </w:r>
    </w:p>
    <w:p>
      <w:pPr>
        <w:spacing w:after="0" w:line="9"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future grant under the 2024 Plan. The 2024 Plan provides that an additional number of shares will automatically be added annually to the shares authorized for issuance under the 2024 Plan on January 1 of each calendar year, from January 1, 2025 through (and including) January 1, 2034, in an amount equal to (a) 5% of the total number of shares of Common Stock of the Registrant issued and outstanding on December 31st of the preceding calendar year; or (b) a lesser number of shares of Common Stock determined by the registrant’s board of directors (the “Board”) prior to the date of increase.</w:t>
      </w:r>
    </w:p>
    <w:p>
      <w:pPr>
        <w:spacing w:after="0" w:line="1" w:lineRule="exact"/>
        <w:rPr>
          <w:rFonts w:ascii="Times New Roman" w:cs="Times New Roman" w:eastAsia="Times New Roman" w:hAnsi="Times New Roman"/>
          <w:sz w:val="18"/>
          <w:szCs w:val="18"/>
          <w:color w:val="auto"/>
        </w:rPr>
      </w:pPr>
    </w:p>
    <w:p>
      <w:pPr>
        <w:ind w:left="424" w:right="80" w:hanging="424"/>
        <w:spacing w:after="0" w:line="250"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reserved for future grant under the 2024 ESPP. The 2024 ESPP provides that an additional number of shares will automatically be added to the shares authorized for issuance under the 2024 ESPP on January 1st of each calendar year, from January 1, 2025 through (and including) January 1, 2034, in an amount equal to the lesser of: (a) 1% of the total number of shares of Common Stock issued and outstanding on December 31st of the preceding calendar year; (b) a number of shares equal to 442,029 shares; or (c) such lesser number of shares of Common Stock as determined by the Board.</w:t>
      </w:r>
    </w:p>
    <w:p>
      <w:pPr>
        <w:spacing w:after="0" w:line="1"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estimate is made pursuant to Rule 457(h)(1) of the Securities Act solely for purposes of calculating the registration fee. The proposed maximum aggregate offering price per unit and proposed maximum aggregate offering price for the 696,907 shares of Common Stock reserved for issuance upon the exercise of outstanding stock options granted under the 2019 Plan, as of the date of this Registration Statement, are calculated using the weighted-average exercise price of such stock options of $3.37 per share.</w:t>
      </w:r>
    </w:p>
    <w:p>
      <w:pPr>
        <w:spacing w:after="0" w:line="1"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estimate is made pursuant to Rule 457(h)(1) and Rule 457(c) of the Securities Act solely for purposes of calculating the registration fee. The price per share and aggregate offering price are based upon the average of the high and low prices of the Common Stock on August 16, 2024, as reported on The Nasdaq Stock Market, which date is within five business days prior to the filing of this Registration Statement.</w:t>
      </w:r>
    </w:p>
    <w:p>
      <w:pPr>
        <w:spacing w:after="0" w:line="1" w:lineRule="exact"/>
        <w:rPr>
          <w:rFonts w:ascii="Times New Roman" w:cs="Times New Roman" w:eastAsia="Times New Roman" w:hAnsi="Times New Roman"/>
          <w:sz w:val="18"/>
          <w:szCs w:val="18"/>
          <w:color w:val="auto"/>
        </w:rPr>
      </w:pPr>
    </w:p>
    <w:p>
      <w:pPr>
        <w:ind w:left="424" w:right="120" w:hanging="424"/>
        <w:spacing w:after="0" w:line="253"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estimate is made pursuant to Rule 457(h)(1) and Rule 457(c) of the Securities Act solely for purposes of calculating the registration fee. The price per share and aggregate offering price are based upon the average of the high and low prices of the Common Stock on August 16, 2024, as reported on The Nasdaq Stock Market, which date is within five business days prior to the filing of this Registration Statement, multiplied by 85%, which is the percentage of the trading price per share applicable to purchasers under the 2024 ESPP.</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 "/>
      <w:numFmt w:val="bullet"/>
      <w:start w:val="1"/>
    </w:lvl>
  </w:abstractNum>
  <w:abstractNum w:abstractNumId="2">
    <w:nsid w:val="41B71EFB"/>
    <w:multiLevelType w:val="hybridMultilevel"/>
    <w:lvl w:ilvl="0">
      <w:lvlJc w:val="left"/>
      <w:lvlText w:val=" "/>
      <w:numFmt w:val="bullet"/>
      <w:start w:val="1"/>
    </w:lvl>
  </w:abstractNum>
  <w:abstractNum w:abstractNumId="3">
    <w:nsid w:val="79E2A9E3"/>
    <w:multiLevelType w:val="hybridMultilevel"/>
    <w:lvl w:ilvl="0">
      <w:lvlJc w:val="left"/>
      <w:lvlText w:val=" "/>
      <w:numFmt w:val="bullet"/>
      <w:start w:val="1"/>
    </w:lvl>
  </w:abstractNum>
  <w:abstractNum w:abstractNumId="4">
    <w:nsid w:val="7545E146"/>
    <w:multiLevelType w:val="hybridMultilevel"/>
    <w:lvl w:ilvl="0">
      <w:lvlJc w:val="left"/>
      <w:lvlText w:val="%1"/>
      <w:numFmt w:val="decimal"/>
      <w:start w:val="107"/>
    </w:lvl>
  </w:abstractNum>
  <w:abstractNum w:abstractNumId="5">
    <w:nsid w:val="515F007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
    <w:nsid w:val="5BD062C2"/>
    <w:multiLevelType w:val="hybridMultilevel"/>
    <w:lvl w:ilvl="0">
      <w:lvlJc w:val="left"/>
      <w:lvlText w:val="%1"/>
      <w:numFmt w:val="lowerLetter"/>
      <w:start w:val="1"/>
    </w:lvl>
    <w:lvl w:ilvl="1">
      <w:lvlJc w:val="left"/>
      <w:lvlText w:val="(%2)"/>
      <w:numFmt w:val="decimal"/>
      <w:start w:val="2"/>
    </w:lvl>
  </w:abstractNum>
  <w:abstractNum w:abstractNumId="7">
    <w:nsid w:val="12200854"/>
    <w:multiLevelType w:val="hybridMultilevel"/>
    <w:lvl w:ilvl="0">
      <w:lvlJc w:val="left"/>
      <w:lvlText w:val="(%1)"/>
      <w:numFmt w:val="lowerLetter"/>
      <w:start w:val="2"/>
    </w:lvl>
    <w:lvl w:ilvl="1">
      <w:lvlJc w:val="left"/>
      <w:lvlText w:val="%2"/>
      <w:numFmt w:val="decimal"/>
      <w:start w:val="1"/>
    </w:lvl>
  </w:abstractNum>
  <w:abstractNum w:abstractNumId="8">
    <w:nsid w:val="4DB127F8"/>
    <w:multiLevelType w:val="hybridMultilevel"/>
    <w:lvl w:ilvl="0">
      <w:lvlJc w:val="left"/>
      <w:lvlText w:val="(%1)"/>
      <w:numFmt w:val="lowerLetter"/>
      <w:start w:val="3"/>
    </w:lvl>
  </w:abstractNum>
  <w:abstractNum w:abstractNumId="9">
    <w:nsid w:val="216231B"/>
    <w:multiLevelType w:val="hybridMultilevel"/>
    <w:lvl w:ilvl="0">
      <w:lvlJc w:val="left"/>
      <w:lvlText w:val="%1:"/>
      <w:numFmt w:val="upperLetter"/>
      <w:start w:val="20"/>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19" Type="http://schemas.openxmlformats.org/officeDocument/2006/relationships/hyperlink" Target="http://www.sec.gov/ix?doc=/Archives/edgar/data/1681087/000095017024031635/avro-20231231.htm" TargetMode="External"/><Relationship Id="rId20" Type="http://schemas.openxmlformats.org/officeDocument/2006/relationships/hyperlink" Target="http://www.sec.gov/ix?doc=/Archives/edgar/data/1681087/000119312524200609/d878693d10q.htm" TargetMode="External"/><Relationship Id="rId21" Type="http://schemas.openxmlformats.org/officeDocument/2006/relationships/hyperlink" Target="http://www.sec.gov/ix?doc=/Archives/edgar/data/1681087/000119312524163207/d834577d8ka.htm" TargetMode="External"/><Relationship Id="rId22" Type="http://schemas.openxmlformats.org/officeDocument/2006/relationships/hyperlink" Target="http://www.sec.gov/ix?doc=/Archives/edgar/data/1681087/000119312524164480/d852858d8k.htm" TargetMode="External"/><Relationship Id="rId23" Type="http://schemas.openxmlformats.org/officeDocument/2006/relationships/hyperlink" Target="http://www.sec.gov/ix?doc=/Archives/edgar/data/1681087/000119312524168273/d822923d8k.htm" TargetMode="External"/><Relationship Id="rId24" Type="http://schemas.openxmlformats.org/officeDocument/2006/relationships/hyperlink" Target="http://www.sec.gov/ix?doc=/Archives/edgar/data/1681087/000119312524175599/d859790d8k.htm" TargetMode="External"/><Relationship Id="rId25" Type="http://schemas.openxmlformats.org/officeDocument/2006/relationships/hyperlink" Target="http://www.sec.gov/ix?doc=/Archives/edgar/data/1681087/000119312524188881/d783068d8k.htm" TargetMode="External"/><Relationship Id="rId26" Type="http://schemas.openxmlformats.org/officeDocument/2006/relationships/hyperlink" Target="http://www.sec.gov/Archives/edgar/data/1681087/000119312518195637/d562006d8a12b.htm" TargetMode="External"/><Relationship Id="rId27" Type="http://schemas.openxmlformats.org/officeDocument/2006/relationships/hyperlink" Target="http://www.sec.gov/Archives/edgar/data/1681087/000156459020011144/avro-ex43_591.htm" TargetMode="External"/><Relationship Id="rId30" Type="http://schemas.openxmlformats.org/officeDocument/2006/relationships/hyperlink" Target="http://www.sec.gov/Archives/edgar/data/1681087/000119312524200609/d878693dex31.htm" TargetMode="External"/><Relationship Id="rId31" Type="http://schemas.openxmlformats.org/officeDocument/2006/relationships/hyperlink" Target="http://www.sec.gov/Archives/edgar/data/1681087/000119312518202460/d153924dex32.htm" TargetMode="External"/><Relationship Id="rId32" Type="http://schemas.openxmlformats.org/officeDocument/2006/relationships/hyperlink" Target="http://www.sec.gov/Archives/edgar/data/1681087/000119312524034461/d770053dex1042.htm" TargetMode="External"/><Relationship Id="rId35" Type="http://schemas.openxmlformats.org/officeDocument/2006/relationships/hyperlink" Target="http://www.sec.gov/Archives/edgar/data/1681087/000119312524164480/d852858dex106.htm" TargetMode="External"/><Relationship Id="rId36" Type="http://schemas.openxmlformats.org/officeDocument/2006/relationships/hyperlink" Target="http://www.sec.gov/Archives/edgar/data/1681087/000119312524164480/d852858dex107.htm" TargetMode="External"/><Relationship Id="rId37" Type="http://schemas.openxmlformats.org/officeDocument/2006/relationships/hyperlink" Target="http://www.sec.gov/Archives/edgar/data/1681087/000119312524164480/d852858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2024-08-21T16:24:17Z</dcterms:created>
  <dcterms:modified xsi:type="dcterms:W3CDTF">2024-08-21T16:24:17Z</dcterms:modified>
</cp:coreProperties>
</file>