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6"/>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215"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8"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32"/>
          <w:szCs w:val="32"/>
          <w:b w:val="1"/>
          <w:bCs w:val="1"/>
          <w:color w:val="auto"/>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878972 108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Jean-Philippe Kouakou-Zebouah</w:t>
      </w:r>
    </w:p>
    <w:p>
      <w:pPr>
        <w:spacing w:after="0" w:line="3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Vida Ventures II, LLC</w:t>
      </w:r>
    </w:p>
    <w:p>
      <w:pPr>
        <w:spacing w:after="0" w:line="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40 Broad Street, Suite 201</w:t>
      </w:r>
    </w:p>
    <w:p>
      <w:pPr>
        <w:spacing w:after="0" w:line="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Boston, MA 02109</w:t>
      </w:r>
    </w:p>
    <w:p>
      <w:pPr>
        <w:spacing w:after="0" w:line="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(857)-254-9500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636"/>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June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59" w:lineRule="exact"/>
        <w:rPr>
          <w:sz w:val="24"/>
          <w:szCs w:val="24"/>
          <w:color w:val="auto"/>
        </w:rPr>
      </w:pPr>
    </w:p>
    <w:p>
      <w:pPr>
        <w:ind w:left="4" w:hanging="4"/>
        <w:spacing w:after="0" w:line="282" w:lineRule="auto"/>
        <w:tabs>
          <w:tab w:leader="none" w:pos="1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766445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040" w:right="339" w:bottom="1440" w:gutter="0" w:footer="0" w:header="0"/>
        </w:sectPr>
      </w:pPr>
    </w:p>
    <w:bookmarkStart w:id="1" w:name="page2"/>
    <w:bookmarkEnd w:id="1"/>
    <w:p>
      <w:pPr>
        <w:ind w:left="100"/>
        <w:spacing w:after="0"/>
        <w:rPr>
          <w:sz w:val="20"/>
          <w:szCs w:val="20"/>
          <w:color w:val="auto"/>
        </w:rPr>
      </w:pPr>
      <w:r>
        <w:rPr>
          <w:rFonts w:ascii="Times New Roman" w:cs="Times New Roman" w:eastAsia="Times New Roman" w:hAnsi="Times New Roman"/>
          <w:sz w:val="18"/>
          <w:szCs w:val="18"/>
          <w:color w:val="auto"/>
        </w:rPr>
        <w:t>CUSIP No.  878972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40575" cy="5177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177790"/>
                    </a:xfrm>
                    <a:prstGeom prst="rect">
                      <a:avLst/>
                    </a:prstGeom>
                    <a:noFill/>
                  </pic:spPr>
                </pic:pic>
              </a:graphicData>
            </a:graphic>
          </wp:anchor>
        </w:drawing>
      </w:r>
    </w:p>
    <w:p>
      <w:pPr>
        <w:spacing w:after="0" w:line="111" w:lineRule="exact"/>
        <w:rPr>
          <w:sz w:val="20"/>
          <w:szCs w:val="20"/>
          <w:color w:val="auto"/>
        </w:rPr>
      </w:pPr>
    </w:p>
    <w:p>
      <w:pPr>
        <w:ind w:left="800" w:right="8400" w:hanging="577"/>
        <w:spacing w:after="0" w:line="397" w:lineRule="auto"/>
        <w:tabs>
          <w:tab w:leader="none" w:pos="8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Vida Ventures II, LLC</w:t>
      </w:r>
    </w:p>
    <w:p>
      <w:pPr>
        <w:spacing w:after="0" w:line="1" w:lineRule="exact"/>
        <w:rPr>
          <w:rFonts w:ascii="Times New Roman" w:cs="Times New Roman" w:eastAsia="Times New Roman" w:hAnsi="Times New Roman"/>
          <w:sz w:val="17"/>
          <w:szCs w:val="17"/>
          <w:color w:val="auto"/>
        </w:rPr>
      </w:pPr>
    </w:p>
    <w:p>
      <w:pPr>
        <w:ind w:left="800" w:hanging="577"/>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62" w:lineRule="exact"/>
        <w:rPr>
          <w:rFonts w:ascii="Times New Roman" w:cs="Times New Roman" w:eastAsia="Times New Roman" w:hAnsi="Times New Roman"/>
          <w:sz w:val="18"/>
          <w:szCs w:val="18"/>
          <w:color w:val="auto"/>
        </w:rPr>
      </w:pPr>
    </w:p>
    <w:p>
      <w:pPr>
        <w:ind w:left="8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71" w:lineRule="exact"/>
        <w:rPr>
          <w:rFonts w:ascii="Times New Roman" w:cs="Times New Roman" w:eastAsia="Times New Roman" w:hAnsi="Times New Roman"/>
          <w:sz w:val="18"/>
          <w:szCs w:val="18"/>
          <w:color w:val="auto"/>
        </w:rPr>
      </w:pPr>
    </w:p>
    <w:p>
      <w:pPr>
        <w:ind w:left="800" w:hanging="577"/>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0" w:lineRule="exact"/>
        <w:rPr>
          <w:rFonts w:ascii="Times New Roman" w:cs="Times New Roman" w:eastAsia="Times New Roman" w:hAnsi="Times New Roman"/>
          <w:sz w:val="18"/>
          <w:szCs w:val="18"/>
          <w:color w:val="auto"/>
        </w:rPr>
      </w:pPr>
    </w:p>
    <w:p>
      <w:pPr>
        <w:ind w:left="800" w:hanging="577"/>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10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90" w:lineRule="exact"/>
        <w:rPr>
          <w:sz w:val="20"/>
          <w:szCs w:val="20"/>
          <w:color w:val="auto"/>
        </w:rPr>
      </w:pPr>
    </w:p>
    <w:tbl>
      <w:tblPr>
        <w:tblLayout w:type="fixed"/>
        <w:tblInd w:w="220" w:type="dxa"/>
        <w:tblCellMar>
          <w:top w:w="0" w:type="dxa"/>
          <w:left w:w="0" w:type="dxa"/>
          <w:bottom w:w="0" w:type="dxa"/>
          <w:right w:w="0" w:type="dxa"/>
        </w:tblCellMar>
      </w:tblPr>
      <w:tr>
        <w:trPr>
          <w:trHeight w:val="303"/>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662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r>
    </w:tbl>
    <w:p>
      <w:pPr>
        <w:spacing w:after="0" w:line="75" w:lineRule="exact"/>
        <w:rPr>
          <w:sz w:val="20"/>
          <w:szCs w:val="20"/>
          <w:color w:val="auto"/>
        </w:rPr>
      </w:pPr>
    </w:p>
    <w:p>
      <w:pPr>
        <w:ind w:left="800" w:right="7840" w:hanging="577"/>
        <w:spacing w:after="0" w:line="375"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260" w:hanging="461"/>
        <w:spacing w:after="0"/>
        <w:tabs>
          <w:tab w:leader="none" w:pos="2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04"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Pr>
          <w:p>
            <w:pPr>
              <w:spacing w:after="0"/>
              <w:rPr>
                <w:sz w:val="20"/>
                <w:szCs w:val="20"/>
                <w:color w:val="auto"/>
              </w:rPr>
            </w:pP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vMerge w:val="continue"/>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1440" w:type="dxa"/>
            <w:vAlign w:val="bottom"/>
            <w:vMerge w:val="continue"/>
          </w:tcPr>
          <w:p>
            <w:pPr>
              <w:spacing w:after="0"/>
              <w:rPr>
                <w:sz w:val="6"/>
                <w:szCs w:val="6"/>
                <w:color w:val="auto"/>
              </w:rPr>
            </w:pPr>
          </w:p>
        </w:tc>
        <w:tc>
          <w:tcPr>
            <w:tcW w:w="5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2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20" w:type="dxa"/>
            <w:vAlign w:val="bottom"/>
          </w:tcPr>
          <w:p>
            <w:pPr>
              <w:spacing w:after="0"/>
              <w:rPr>
                <w:sz w:val="20"/>
                <w:szCs w:val="20"/>
                <w:color w:val="auto"/>
              </w:rPr>
            </w:pP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1,000,900 (1)</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20" w:type="dxa"/>
            <w:vAlign w:val="bottom"/>
            <w:tcBorders>
              <w:bottom w:val="single" w:sz="8" w:color="auto"/>
            </w:tcBorders>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440" w:type="dxa"/>
            <w:vAlign w:val="bottom"/>
            <w:vMerge w:val="continue"/>
          </w:tcPr>
          <w:p>
            <w:pPr>
              <w:spacing w:after="0"/>
              <w:rPr>
                <w:sz w:val="6"/>
                <w:szCs w:val="6"/>
                <w:color w:val="auto"/>
              </w:rPr>
            </w:pPr>
          </w:p>
        </w:tc>
        <w:tc>
          <w:tcPr>
            <w:tcW w:w="5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2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20" w:type="dxa"/>
            <w:vAlign w:val="bottom"/>
          </w:tcPr>
          <w:p>
            <w:pPr>
              <w:spacing w:after="0"/>
              <w:rPr>
                <w:sz w:val="20"/>
                <w:szCs w:val="20"/>
                <w:color w:val="auto"/>
              </w:rPr>
            </w:pP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line="177" w:lineRule="exact"/>
              <w:rPr>
                <w:sz w:val="20"/>
                <w:szCs w:val="20"/>
                <w:color w:val="auto"/>
              </w:rPr>
            </w:pPr>
            <w:r>
              <w:rPr>
                <w:rFonts w:ascii="Times New Roman" w:cs="Times New Roman" w:eastAsia="Times New Roman" w:hAnsi="Times New Roman"/>
                <w:sz w:val="18"/>
                <w:szCs w:val="18"/>
                <w:color w:val="auto"/>
              </w:rPr>
              <w:t>Person With</w:t>
            </w:r>
          </w:p>
        </w:tc>
        <w:tc>
          <w:tcPr>
            <w:tcW w:w="520" w:type="dxa"/>
            <w:vAlign w:val="bottom"/>
            <w:tcBorders>
              <w:bottom w:val="single" w:sz="8" w:color="auto"/>
            </w:tcBorders>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14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91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260" w:right="7120" w:hanging="461"/>
        <w:spacing w:after="0" w:line="364" w:lineRule="auto"/>
        <w:tabs>
          <w:tab w:leader="none" w:pos="2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1,000,900 (1)</w:t>
      </w:r>
    </w:p>
    <w:p>
      <w:pPr>
        <w:ind w:left="800" w:right="5660" w:hanging="577"/>
        <w:spacing w:after="0" w:line="35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1,000,900 (1)</w:t>
      </w:r>
    </w:p>
    <w:tbl>
      <w:tblPr>
        <w:tblLayout w:type="fixed"/>
        <w:tblInd w:w="220" w:type="dxa"/>
        <w:tblCellMar>
          <w:top w:w="0" w:type="dxa"/>
          <w:left w:w="0" w:type="dxa"/>
          <w:bottom w:w="0" w:type="dxa"/>
          <w:right w:w="0" w:type="dxa"/>
        </w:tblCellMar>
      </w:tblPr>
      <w:tr>
        <w:trPr>
          <w:trHeight w:val="303"/>
        </w:trPr>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12.</w:t>
            </w:r>
          </w:p>
        </w:tc>
        <w:tc>
          <w:tcPr>
            <w:tcW w:w="68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75" w:lineRule="exact"/>
        <w:rPr>
          <w:sz w:val="20"/>
          <w:szCs w:val="20"/>
          <w:color w:val="auto"/>
        </w:rPr>
      </w:pPr>
    </w:p>
    <w:p>
      <w:pPr>
        <w:ind w:left="800" w:hanging="577"/>
        <w:spacing w:after="0"/>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0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(2)</w:t>
      </w:r>
    </w:p>
    <w:p>
      <w:pPr>
        <w:spacing w:after="0" w:line="130" w:lineRule="exact"/>
        <w:rPr>
          <w:rFonts w:ascii="Times New Roman" w:cs="Times New Roman" w:eastAsia="Times New Roman" w:hAnsi="Times New Roman"/>
          <w:sz w:val="18"/>
          <w:szCs w:val="18"/>
          <w:color w:val="auto"/>
        </w:rPr>
      </w:pPr>
    </w:p>
    <w:p>
      <w:pPr>
        <w:ind w:left="800" w:hanging="577"/>
        <w:spacing w:after="0"/>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10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9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Vida II (as defined in Item 2(a) below). VV Manager II (as defined in Item 2(a) below) is the manager of Vida II and may be deemed to have voting, investment and dispositive power with respect to these securities.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14,734,323 shares of Common Stock outstanding as of June 20, 2024, as reported in the Issuer’s Current Report on Form 8-K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June 20, 2024.</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58" w:right="319" w:bottom="1440" w:gutter="0" w:footer="0" w:header="0"/>
        </w:sectPr>
      </w:pPr>
    </w:p>
    <w:bookmarkStart w:id="2" w:name="page3"/>
    <w:bookmarkEnd w:id="2"/>
    <w:p>
      <w:pPr>
        <w:ind w:left="100"/>
        <w:spacing w:after="0"/>
        <w:rPr>
          <w:sz w:val="20"/>
          <w:szCs w:val="20"/>
          <w:color w:val="auto"/>
        </w:rPr>
      </w:pPr>
      <w:r>
        <w:rPr>
          <w:rFonts w:ascii="Times New Roman" w:cs="Times New Roman" w:eastAsia="Times New Roman" w:hAnsi="Times New Roman"/>
          <w:sz w:val="18"/>
          <w:szCs w:val="18"/>
          <w:color w:val="auto"/>
        </w:rPr>
        <w:t>CUSIP No.  878972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40575" cy="5177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5177790"/>
                    </a:xfrm>
                    <a:prstGeom prst="rect">
                      <a:avLst/>
                    </a:prstGeom>
                    <a:noFill/>
                  </pic:spPr>
                </pic:pic>
              </a:graphicData>
            </a:graphic>
          </wp:anchor>
        </w:drawing>
      </w:r>
    </w:p>
    <w:p>
      <w:pPr>
        <w:spacing w:after="0" w:line="111" w:lineRule="exact"/>
        <w:rPr>
          <w:sz w:val="20"/>
          <w:szCs w:val="20"/>
          <w:color w:val="auto"/>
        </w:rPr>
      </w:pPr>
    </w:p>
    <w:p>
      <w:pPr>
        <w:ind w:left="800" w:right="8400" w:hanging="577"/>
        <w:spacing w:after="0" w:line="397" w:lineRule="auto"/>
        <w:tabs>
          <w:tab w:leader="none" w:pos="8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Vida Ventures II-A, LLC</w:t>
      </w:r>
    </w:p>
    <w:p>
      <w:pPr>
        <w:spacing w:after="0" w:line="1" w:lineRule="exact"/>
        <w:rPr>
          <w:rFonts w:ascii="Times New Roman" w:cs="Times New Roman" w:eastAsia="Times New Roman" w:hAnsi="Times New Roman"/>
          <w:sz w:val="17"/>
          <w:szCs w:val="17"/>
          <w:color w:val="auto"/>
        </w:rPr>
      </w:pPr>
    </w:p>
    <w:p>
      <w:pPr>
        <w:ind w:left="800" w:hanging="577"/>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62" w:lineRule="exact"/>
        <w:rPr>
          <w:rFonts w:ascii="Times New Roman" w:cs="Times New Roman" w:eastAsia="Times New Roman" w:hAnsi="Times New Roman"/>
          <w:sz w:val="18"/>
          <w:szCs w:val="18"/>
          <w:color w:val="auto"/>
        </w:rPr>
      </w:pPr>
    </w:p>
    <w:p>
      <w:pPr>
        <w:ind w:left="8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71" w:lineRule="exact"/>
        <w:rPr>
          <w:rFonts w:ascii="Times New Roman" w:cs="Times New Roman" w:eastAsia="Times New Roman" w:hAnsi="Times New Roman"/>
          <w:sz w:val="18"/>
          <w:szCs w:val="18"/>
          <w:color w:val="auto"/>
        </w:rPr>
      </w:pPr>
    </w:p>
    <w:p>
      <w:pPr>
        <w:ind w:left="800" w:hanging="577"/>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0" w:lineRule="exact"/>
        <w:rPr>
          <w:rFonts w:ascii="Times New Roman" w:cs="Times New Roman" w:eastAsia="Times New Roman" w:hAnsi="Times New Roman"/>
          <w:sz w:val="18"/>
          <w:szCs w:val="18"/>
          <w:color w:val="auto"/>
        </w:rPr>
      </w:pPr>
    </w:p>
    <w:p>
      <w:pPr>
        <w:ind w:left="800" w:hanging="577"/>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10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90" w:lineRule="exact"/>
        <w:rPr>
          <w:sz w:val="20"/>
          <w:szCs w:val="20"/>
          <w:color w:val="auto"/>
        </w:rPr>
      </w:pPr>
    </w:p>
    <w:tbl>
      <w:tblPr>
        <w:tblLayout w:type="fixed"/>
        <w:tblInd w:w="220" w:type="dxa"/>
        <w:tblCellMar>
          <w:top w:w="0" w:type="dxa"/>
          <w:left w:w="0" w:type="dxa"/>
          <w:bottom w:w="0" w:type="dxa"/>
          <w:right w:w="0" w:type="dxa"/>
        </w:tblCellMar>
      </w:tblPr>
      <w:tr>
        <w:trPr>
          <w:trHeight w:val="303"/>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662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r>
    </w:tbl>
    <w:p>
      <w:pPr>
        <w:spacing w:after="0" w:line="75" w:lineRule="exact"/>
        <w:rPr>
          <w:sz w:val="20"/>
          <w:szCs w:val="20"/>
          <w:color w:val="auto"/>
        </w:rPr>
      </w:pPr>
    </w:p>
    <w:p>
      <w:pPr>
        <w:ind w:left="800" w:right="7840" w:hanging="577"/>
        <w:spacing w:after="0" w:line="375"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260" w:hanging="461"/>
        <w:spacing w:after="0"/>
        <w:tabs>
          <w:tab w:leader="none" w:pos="2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04"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Pr>
          <w:p>
            <w:pPr>
              <w:spacing w:after="0"/>
              <w:rPr>
                <w:sz w:val="20"/>
                <w:szCs w:val="20"/>
                <w:color w:val="auto"/>
              </w:rPr>
            </w:pP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vMerge w:val="continue"/>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1440" w:type="dxa"/>
            <w:vAlign w:val="bottom"/>
            <w:vMerge w:val="continue"/>
          </w:tcPr>
          <w:p>
            <w:pPr>
              <w:spacing w:after="0"/>
              <w:rPr>
                <w:sz w:val="6"/>
                <w:szCs w:val="6"/>
                <w:color w:val="auto"/>
              </w:rPr>
            </w:pPr>
          </w:p>
        </w:tc>
        <w:tc>
          <w:tcPr>
            <w:tcW w:w="5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2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20" w:type="dxa"/>
            <w:vAlign w:val="bottom"/>
          </w:tcPr>
          <w:p>
            <w:pPr>
              <w:spacing w:after="0"/>
              <w:rPr>
                <w:sz w:val="20"/>
                <w:szCs w:val="20"/>
                <w:color w:val="auto"/>
              </w:rPr>
            </w:pP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27,774 (1)</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20" w:type="dxa"/>
            <w:vAlign w:val="bottom"/>
            <w:tcBorders>
              <w:bottom w:val="single" w:sz="8" w:color="auto"/>
            </w:tcBorders>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440" w:type="dxa"/>
            <w:vAlign w:val="bottom"/>
            <w:vMerge w:val="continue"/>
          </w:tcPr>
          <w:p>
            <w:pPr>
              <w:spacing w:after="0"/>
              <w:rPr>
                <w:sz w:val="6"/>
                <w:szCs w:val="6"/>
                <w:color w:val="auto"/>
              </w:rPr>
            </w:pPr>
          </w:p>
        </w:tc>
        <w:tc>
          <w:tcPr>
            <w:tcW w:w="5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2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20" w:type="dxa"/>
            <w:vAlign w:val="bottom"/>
          </w:tcPr>
          <w:p>
            <w:pPr>
              <w:spacing w:after="0"/>
              <w:rPr>
                <w:sz w:val="20"/>
                <w:szCs w:val="20"/>
                <w:color w:val="auto"/>
              </w:rPr>
            </w:pP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line="177" w:lineRule="exact"/>
              <w:rPr>
                <w:sz w:val="20"/>
                <w:szCs w:val="20"/>
                <w:color w:val="auto"/>
              </w:rPr>
            </w:pPr>
            <w:r>
              <w:rPr>
                <w:rFonts w:ascii="Times New Roman" w:cs="Times New Roman" w:eastAsia="Times New Roman" w:hAnsi="Times New Roman"/>
                <w:sz w:val="18"/>
                <w:szCs w:val="18"/>
                <w:color w:val="auto"/>
              </w:rPr>
              <w:t>Person With</w:t>
            </w:r>
          </w:p>
        </w:tc>
        <w:tc>
          <w:tcPr>
            <w:tcW w:w="520" w:type="dxa"/>
            <w:vAlign w:val="bottom"/>
            <w:tcBorders>
              <w:bottom w:val="single" w:sz="8" w:color="auto"/>
            </w:tcBorders>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14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91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260" w:right="7120" w:hanging="461"/>
        <w:spacing w:after="0" w:line="364" w:lineRule="auto"/>
        <w:tabs>
          <w:tab w:leader="none" w:pos="2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27,774 (1)</w:t>
      </w:r>
    </w:p>
    <w:p>
      <w:pPr>
        <w:ind w:left="800" w:right="5660" w:hanging="577"/>
        <w:spacing w:after="0" w:line="352"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27,774 (1)</w:t>
      </w:r>
    </w:p>
    <w:tbl>
      <w:tblPr>
        <w:tblLayout w:type="fixed"/>
        <w:tblInd w:w="220" w:type="dxa"/>
        <w:tblCellMar>
          <w:top w:w="0" w:type="dxa"/>
          <w:left w:w="0" w:type="dxa"/>
          <w:bottom w:w="0" w:type="dxa"/>
          <w:right w:w="0" w:type="dxa"/>
        </w:tblCellMar>
      </w:tblPr>
      <w:tr>
        <w:trPr>
          <w:trHeight w:val="303"/>
        </w:trPr>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12.</w:t>
            </w:r>
          </w:p>
        </w:tc>
        <w:tc>
          <w:tcPr>
            <w:tcW w:w="68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75" w:lineRule="exact"/>
        <w:rPr>
          <w:sz w:val="20"/>
          <w:szCs w:val="20"/>
          <w:color w:val="auto"/>
        </w:rPr>
      </w:pPr>
    </w:p>
    <w:p>
      <w:pPr>
        <w:ind w:left="800" w:hanging="577"/>
        <w:spacing w:after="0"/>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0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(2)</w:t>
      </w:r>
    </w:p>
    <w:p>
      <w:pPr>
        <w:spacing w:after="0" w:line="130" w:lineRule="exact"/>
        <w:rPr>
          <w:rFonts w:ascii="Times New Roman" w:cs="Times New Roman" w:eastAsia="Times New Roman" w:hAnsi="Times New Roman"/>
          <w:sz w:val="18"/>
          <w:szCs w:val="18"/>
          <w:color w:val="auto"/>
        </w:rPr>
      </w:pPr>
    </w:p>
    <w:p>
      <w:pPr>
        <w:ind w:left="800" w:hanging="577"/>
        <w:spacing w:after="0"/>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10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92"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Vida II-A (as defined in Item 2(a) below). VV Manager II is the manager of Vida II-A and may be deemed to have voting, investment and dispositive power with respect to these securities.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14,734,323 shares of Common Stock outstanding as of June 20, 2024, as reported in the Issuer’s Current Report on Form 8-K filed with the SEC on June 20, 2024.</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58" w:right="319" w:bottom="1440" w:gutter="0" w:footer="0" w:header="0"/>
        </w:sectPr>
      </w:pPr>
    </w:p>
    <w:bookmarkStart w:id="3" w:name="page4"/>
    <w:bookmarkEnd w:id="3"/>
    <w:p>
      <w:pPr>
        <w:ind w:left="100"/>
        <w:spacing w:after="0"/>
        <w:rPr>
          <w:sz w:val="20"/>
          <w:szCs w:val="20"/>
          <w:color w:val="auto"/>
        </w:rPr>
      </w:pPr>
      <w:r>
        <w:rPr>
          <w:rFonts w:ascii="Times New Roman" w:cs="Times New Roman" w:eastAsia="Times New Roman" w:hAnsi="Times New Roman"/>
          <w:sz w:val="18"/>
          <w:szCs w:val="18"/>
          <w:color w:val="auto"/>
        </w:rPr>
        <w:t>CUSIP No.  878972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40575" cy="5177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177790"/>
                    </a:xfrm>
                    <a:prstGeom prst="rect">
                      <a:avLst/>
                    </a:prstGeom>
                    <a:noFill/>
                  </pic:spPr>
                </pic:pic>
              </a:graphicData>
            </a:graphic>
          </wp:anchor>
        </w:drawing>
      </w:r>
    </w:p>
    <w:p>
      <w:pPr>
        <w:spacing w:after="0" w:line="111" w:lineRule="exact"/>
        <w:rPr>
          <w:sz w:val="20"/>
          <w:szCs w:val="20"/>
          <w:color w:val="auto"/>
        </w:rPr>
      </w:pPr>
    </w:p>
    <w:p>
      <w:pPr>
        <w:ind w:left="800" w:right="8400" w:hanging="577"/>
        <w:spacing w:after="0" w:line="397" w:lineRule="auto"/>
        <w:tabs>
          <w:tab w:leader="none" w:pos="8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VV Manager II, LLC</w:t>
      </w:r>
    </w:p>
    <w:p>
      <w:pPr>
        <w:spacing w:after="0" w:line="1" w:lineRule="exact"/>
        <w:rPr>
          <w:rFonts w:ascii="Times New Roman" w:cs="Times New Roman" w:eastAsia="Times New Roman" w:hAnsi="Times New Roman"/>
          <w:sz w:val="17"/>
          <w:szCs w:val="17"/>
          <w:color w:val="auto"/>
        </w:rPr>
      </w:pPr>
    </w:p>
    <w:p>
      <w:pPr>
        <w:ind w:left="800" w:hanging="577"/>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62" w:lineRule="exact"/>
        <w:rPr>
          <w:rFonts w:ascii="Times New Roman" w:cs="Times New Roman" w:eastAsia="Times New Roman" w:hAnsi="Times New Roman"/>
          <w:sz w:val="18"/>
          <w:szCs w:val="18"/>
          <w:color w:val="auto"/>
        </w:rPr>
      </w:pPr>
    </w:p>
    <w:p>
      <w:pPr>
        <w:ind w:left="80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71" w:lineRule="exact"/>
        <w:rPr>
          <w:rFonts w:ascii="Times New Roman" w:cs="Times New Roman" w:eastAsia="Times New Roman" w:hAnsi="Times New Roman"/>
          <w:sz w:val="18"/>
          <w:szCs w:val="18"/>
          <w:color w:val="auto"/>
        </w:rPr>
      </w:pPr>
    </w:p>
    <w:p>
      <w:pPr>
        <w:ind w:left="800" w:hanging="577"/>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0" w:lineRule="exact"/>
        <w:rPr>
          <w:rFonts w:ascii="Times New Roman" w:cs="Times New Roman" w:eastAsia="Times New Roman" w:hAnsi="Times New Roman"/>
          <w:sz w:val="18"/>
          <w:szCs w:val="18"/>
          <w:color w:val="auto"/>
        </w:rPr>
      </w:pPr>
    </w:p>
    <w:p>
      <w:pPr>
        <w:ind w:left="800" w:hanging="577"/>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10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90" w:lineRule="exact"/>
        <w:rPr>
          <w:sz w:val="20"/>
          <w:szCs w:val="20"/>
          <w:color w:val="auto"/>
        </w:rPr>
      </w:pPr>
    </w:p>
    <w:tbl>
      <w:tblPr>
        <w:tblLayout w:type="fixed"/>
        <w:tblInd w:w="220" w:type="dxa"/>
        <w:tblCellMar>
          <w:top w:w="0" w:type="dxa"/>
          <w:left w:w="0" w:type="dxa"/>
          <w:bottom w:w="0" w:type="dxa"/>
          <w:right w:w="0" w:type="dxa"/>
        </w:tblCellMar>
      </w:tblPr>
      <w:tr>
        <w:trPr>
          <w:trHeight w:val="303"/>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662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r>
    </w:tbl>
    <w:p>
      <w:pPr>
        <w:spacing w:after="0" w:line="75" w:lineRule="exact"/>
        <w:rPr>
          <w:sz w:val="20"/>
          <w:szCs w:val="20"/>
          <w:color w:val="auto"/>
        </w:rPr>
      </w:pPr>
    </w:p>
    <w:p>
      <w:pPr>
        <w:ind w:left="800" w:right="7840" w:hanging="577"/>
        <w:spacing w:after="0" w:line="375"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2260" w:hanging="461"/>
        <w:spacing w:after="0"/>
        <w:tabs>
          <w:tab w:leader="none" w:pos="2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04"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Pr>
          <w:p>
            <w:pPr>
              <w:spacing w:after="0"/>
              <w:rPr>
                <w:sz w:val="20"/>
                <w:szCs w:val="20"/>
                <w:color w:val="auto"/>
              </w:rPr>
            </w:pP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vMerge w:val="continue"/>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1440" w:type="dxa"/>
            <w:vAlign w:val="bottom"/>
            <w:vMerge w:val="continue"/>
          </w:tcPr>
          <w:p>
            <w:pPr>
              <w:spacing w:after="0"/>
              <w:rPr>
                <w:sz w:val="6"/>
                <w:szCs w:val="6"/>
                <w:color w:val="auto"/>
              </w:rPr>
            </w:pPr>
          </w:p>
        </w:tc>
        <w:tc>
          <w:tcPr>
            <w:tcW w:w="5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2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20" w:type="dxa"/>
            <w:vAlign w:val="bottom"/>
          </w:tcPr>
          <w:p>
            <w:pPr>
              <w:spacing w:after="0"/>
              <w:rPr>
                <w:sz w:val="20"/>
                <w:szCs w:val="20"/>
                <w:color w:val="auto"/>
              </w:rPr>
            </w:pP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1,028,674 (1)</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20" w:type="dxa"/>
            <w:vAlign w:val="bottom"/>
            <w:tcBorders>
              <w:bottom w:val="single" w:sz="8" w:color="auto"/>
            </w:tcBorders>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440" w:type="dxa"/>
            <w:vAlign w:val="bottom"/>
            <w:vMerge w:val="continue"/>
          </w:tcPr>
          <w:p>
            <w:pPr>
              <w:spacing w:after="0"/>
              <w:rPr>
                <w:sz w:val="6"/>
                <w:szCs w:val="6"/>
                <w:color w:val="auto"/>
              </w:rPr>
            </w:pPr>
          </w:p>
        </w:tc>
        <w:tc>
          <w:tcPr>
            <w:tcW w:w="5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2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520" w:type="dxa"/>
            <w:vAlign w:val="bottom"/>
          </w:tcPr>
          <w:p>
            <w:pPr>
              <w:spacing w:after="0"/>
              <w:rPr>
                <w:sz w:val="20"/>
                <w:szCs w:val="20"/>
                <w:color w:val="auto"/>
              </w:rPr>
            </w:pP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line="177" w:lineRule="exact"/>
              <w:rPr>
                <w:sz w:val="20"/>
                <w:szCs w:val="20"/>
                <w:color w:val="auto"/>
              </w:rPr>
            </w:pPr>
            <w:r>
              <w:rPr>
                <w:rFonts w:ascii="Times New Roman" w:cs="Times New Roman" w:eastAsia="Times New Roman" w:hAnsi="Times New Roman"/>
                <w:sz w:val="18"/>
                <w:szCs w:val="18"/>
                <w:color w:val="auto"/>
              </w:rPr>
              <w:t>Person With</w:t>
            </w:r>
          </w:p>
        </w:tc>
        <w:tc>
          <w:tcPr>
            <w:tcW w:w="520" w:type="dxa"/>
            <w:vAlign w:val="bottom"/>
            <w:tcBorders>
              <w:bottom w:val="single" w:sz="8" w:color="auto"/>
            </w:tcBorders>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14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91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260" w:right="7120" w:hanging="461"/>
        <w:spacing w:after="0" w:line="364" w:lineRule="auto"/>
        <w:tabs>
          <w:tab w:leader="none" w:pos="2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1,028,674 (1)</w:t>
      </w:r>
    </w:p>
    <w:p>
      <w:pPr>
        <w:ind w:left="800" w:right="5660" w:hanging="577"/>
        <w:spacing w:after="0" w:line="352"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1,028,674 (1)</w:t>
      </w:r>
    </w:p>
    <w:tbl>
      <w:tblPr>
        <w:tblLayout w:type="fixed"/>
        <w:tblInd w:w="220" w:type="dxa"/>
        <w:tblCellMar>
          <w:top w:w="0" w:type="dxa"/>
          <w:left w:w="0" w:type="dxa"/>
          <w:bottom w:w="0" w:type="dxa"/>
          <w:right w:w="0" w:type="dxa"/>
        </w:tblCellMar>
      </w:tblPr>
      <w:tr>
        <w:trPr>
          <w:trHeight w:val="303"/>
        </w:trPr>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12.</w:t>
            </w:r>
          </w:p>
        </w:tc>
        <w:tc>
          <w:tcPr>
            <w:tcW w:w="68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75" w:lineRule="exact"/>
        <w:rPr>
          <w:sz w:val="20"/>
          <w:szCs w:val="20"/>
          <w:color w:val="auto"/>
        </w:rPr>
      </w:pPr>
    </w:p>
    <w:p>
      <w:pPr>
        <w:ind w:left="800" w:hanging="577"/>
        <w:spacing w:after="0"/>
        <w:tabs>
          <w:tab w:leader="none" w:pos="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0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(2)</w:t>
      </w:r>
    </w:p>
    <w:p>
      <w:pPr>
        <w:spacing w:after="0" w:line="130" w:lineRule="exact"/>
        <w:rPr>
          <w:rFonts w:ascii="Times New Roman" w:cs="Times New Roman" w:eastAsia="Times New Roman" w:hAnsi="Times New Roman"/>
          <w:sz w:val="18"/>
          <w:szCs w:val="18"/>
          <w:color w:val="auto"/>
        </w:rPr>
      </w:pPr>
    </w:p>
    <w:p>
      <w:pPr>
        <w:ind w:left="800" w:hanging="577"/>
        <w:spacing w:after="0"/>
        <w:tabs>
          <w:tab w:leader="none" w:pos="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10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9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1,000,900 shares held of record by Vida II and (ii) 27,774 shares held of record by Vida II-A. VV Manager II is the manager of Vida II and Vida II-A and may be deemed to have voting, investment and dispositive power with respect to the shares held by each of Vida II and Vida II-A.</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14,734,323 shares of Common Stock outstanding as of June 20, 2024, as reported in the Issuer’s Current Report on Form 8-K filed with the SEC on June 20, 2024.</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58" w:right="31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of equity security to which this statement on Schedule 13D relates is the Common Stock, $0.0001 par value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Tectonic Therapeutic, Inc., a Delaware corporation, formerly AVROBIO,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address of the principal executive offices of the Issuer is 490 Arsenal Way, Suite 210, Watertown, MA 02472. Information given in response to each item shall be deemed incorporated by reference in all other items, as applicable.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jc w:val="both"/>
        <w:ind w:left="980" w:hanging="972"/>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Vida Ventures II, LLC (“</w:t>
      </w:r>
      <w:r>
        <w:rPr>
          <w:rFonts w:ascii="Times New Roman" w:cs="Times New Roman" w:eastAsia="Times New Roman" w:hAnsi="Times New Roman"/>
          <w:sz w:val="18"/>
          <w:szCs w:val="18"/>
          <w:u w:val="single" w:color="auto"/>
          <w:color w:val="auto"/>
        </w:rPr>
        <w:t>Vida II</w:t>
      </w:r>
      <w:r>
        <w:rPr>
          <w:rFonts w:ascii="Times New Roman" w:cs="Times New Roman" w:eastAsia="Times New Roman" w:hAnsi="Times New Roman"/>
          <w:sz w:val="18"/>
          <w:szCs w:val="18"/>
          <w:color w:val="auto"/>
        </w:rPr>
        <w:t>”), Vida Ventures II-A, LLC (“</w:t>
      </w:r>
      <w:r>
        <w:rPr>
          <w:rFonts w:ascii="Times New Roman" w:cs="Times New Roman" w:eastAsia="Times New Roman" w:hAnsi="Times New Roman"/>
          <w:sz w:val="18"/>
          <w:szCs w:val="18"/>
          <w:u w:val="single" w:color="auto"/>
          <w:color w:val="auto"/>
        </w:rPr>
        <w:t>Vida II-A</w:t>
      </w:r>
      <w:r>
        <w:rPr>
          <w:rFonts w:ascii="Times New Roman" w:cs="Times New Roman" w:eastAsia="Times New Roman" w:hAnsi="Times New Roman"/>
          <w:sz w:val="18"/>
          <w:szCs w:val="18"/>
          <w:color w:val="auto"/>
        </w:rPr>
        <w:t>”) and VV Manager II, LLC (“</w:t>
      </w:r>
      <w:r>
        <w:rPr>
          <w:rFonts w:ascii="Times New Roman" w:cs="Times New Roman" w:eastAsia="Times New Roman" w:hAnsi="Times New Roman"/>
          <w:sz w:val="18"/>
          <w:szCs w:val="18"/>
          <w:u w:val="single" w:color="auto"/>
          <w:color w:val="auto"/>
        </w:rPr>
        <w:t>VV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Manager II</w:t>
      </w:r>
      <w:r>
        <w:rPr>
          <w:rFonts w:ascii="Times New Roman" w:cs="Times New Roman" w:eastAsia="Times New Roman" w:hAnsi="Times New Roman"/>
          <w:sz w:val="18"/>
          <w:szCs w:val="18"/>
          <w:color w:val="auto"/>
        </w:rPr>
        <w:t>” and, with Vida II and Vida II-A,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The agreement among the Reporting Persons to file jointly in accordance with the provisions of Rule 13d-1(k)(1) under the Act is attached hereto as Exhibit A.</w:t>
      </w:r>
    </w:p>
    <w:p>
      <w:pPr>
        <w:spacing w:after="0" w:line="175"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office of the Reporting Persons is 40 Broad Street, Suite 201, Boston, MA 02109.</w:t>
      </w:r>
    </w:p>
    <w:p>
      <w:pPr>
        <w:spacing w:after="0" w:line="225"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the Reporting Persons is venture capital investments. VV Manager II is the manager of each of Vida II and Vida II-A.</w:t>
      </w:r>
    </w:p>
    <w:p>
      <w:pPr>
        <w:spacing w:after="0" w:line="161"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was a party to a civil proceeding of a judicial of administrative body of competent jurisdiction or were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Reporting Persons is a limited liability company organized in the state of Delaware.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Between March 31, 2021 and September 9, 2022, Vida II and Vida II-A purchased an aggregate of 1,284,322 and 35,638 of Series A preferred shares of Old Tectonic (as defined below) for an aggregate purchase price of $17,407,104. Between October 11, 2023 and December 22, 2023, Vida II and Vida II-A purchased SAFEs which converted into 465,144 and 12,907 shares of Old Tectonic at an aggregate purchase price of $5,927,399. On June 18, 2024, Vida II and Vida II-A purchased 123,407 and 3,424 common shares of Old Tectonic for an aggregate purchase price of 1,572,587. The source of funds for each of Vida II’s and Vida II-A’s purchases of shares of Old Tectonic securities was the contribution from its members.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30, 2024, the Issuer, Tectonic Therapeutic, Inc. (“</w:t>
      </w:r>
      <w:r>
        <w:rPr>
          <w:rFonts w:ascii="Times New Roman" w:cs="Times New Roman" w:eastAsia="Times New Roman" w:hAnsi="Times New Roman"/>
          <w:sz w:val="18"/>
          <w:szCs w:val="18"/>
          <w:u w:val="single" w:color="auto"/>
          <w:color w:val="auto"/>
        </w:rPr>
        <w:t>Old Tectonic</w:t>
      </w:r>
      <w:r>
        <w:rPr>
          <w:rFonts w:ascii="Times New Roman" w:cs="Times New Roman" w:eastAsia="Times New Roman" w:hAnsi="Times New Roman"/>
          <w:sz w:val="18"/>
          <w:szCs w:val="18"/>
          <w:color w:val="auto"/>
        </w:rPr>
        <w:t>”), and Alpine Merger Subsidiary, Inc., a direct wholly owned subsidiary of AVROBIO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entered into the Agreement and Plan of Merger and Reorganization, dated as of January 30,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merged with and into Old Tectonic, with Old Tectonic surviving as a direct wholly owned subsidiary of AVROBIO and the surviving corporation of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June 20, 2024, the Issuer, Merger Sub and Old Tectonic consummated the transactions contemplated by the Merger Agreement. Effective at 4:00 p.m. Eastern Time on June 20, 2024, AVROBIO effected a 1-for-12 reverse stock split of its common stock (the “</w:t>
      </w: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Effective at 4:02 p.m. Eastern Time on June 20, 2024, the Issuer completed the Merger, and effective at 4:03 p.m. Eastern Time on June 20, 2024, the Issuer changed its name to Tectonic Therapeutic, Inc.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Merger, immediately prior to the effective time of the Merger, each share of Old Tectonic’s preferred stock was converted into one share of Old Tectonic’s common stock. At the effective time of the Merger, each of these shares was converted into the right to receive 0.534419990 shares of the Issuer's common stock, after giving effect to the Reverse Stock Split.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the shares of the Issuer’s common stock to the former stockholders of Old Tectonic, other than the shares issued in a pre-closing financing transaction which closed on June 20, 2024, was registered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the Issuer’s Registration Statement on Form S-4 (File No. 333-277048), as amended.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Following the closing of the Merger, Vida II and Vida II-A directly owned 1,000,900 and 27,774 shares of Common Stock, respectively.</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Reporting Persons purchased the aforementioned securities for investment purposes with the aim of increasing the value of their investments and the Issuer. Subject to applicable legal requirements, one or more of the Reporting Persons may purchase additional securities of the Issuer from time to time in open market or private transactions, depending on its evaluation of the Issuer’s business, prospects and financial condition, the market for the Issuer’s securities, other developments concerning the Issuer, the reaction of the Issuer to the Reporting Persons’ ownership of the Issuer’s securities, other opportunities available to the Reporting Persons, and general economic, money market and stock market conditions. In addition, depending upon the factors referred to above, the Reporting Persons may dispose of all or a portion of their securities of the Issuer at any time (including by means of programs adopted pursuant to Rule 10b5-1 under the Securities Exchange Act of 1934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Each of the Reporting Persons reserve the right to increase or decrease its holdings on such terms and at such times as each may decide.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as set forth in this Item 4 and Item 6 below, none of the Reporting Persons have a present plan or proposal that relates to or would result in any of the actions specified in clauses (a) through (j) of Item 4 of Schedule 13D of the Act.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Act. The Reporting Persons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Reporting Persons may engage from time to time in ordinary course transactions with financial institutions with respect to the securities described herein.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Stefan Vitorovic, a managing director and member of the investment committee of VV Manager II, is a member of the board of directors of the Issuer. As a director of the Issuer, Mr. Vitorovic may have influence over the corporate activities of the Issuer, including activities which may relate to the transactions described in clauses (a) through (j) of Item 4 of Schedule 13D.</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 – (b)</w:t>
      </w:r>
      <w:r>
        <w:rPr>
          <w:sz w:val="20"/>
          <w:szCs w:val="20"/>
          <w:color w:val="auto"/>
        </w:rPr>
        <w:tab/>
      </w:r>
      <w:r>
        <w:rPr>
          <w:rFonts w:ascii="Times New Roman" w:cs="Times New Roman" w:eastAsia="Times New Roman" w:hAnsi="Times New Roman"/>
          <w:sz w:val="17"/>
          <w:szCs w:val="17"/>
          <w:color w:val="auto"/>
        </w:rPr>
        <w:t>See Items 7-11 of the cover pages of this Statement and Item 3 above.</w:t>
      </w:r>
    </w:p>
    <w:p>
      <w:pPr>
        <w:spacing w:after="0" w:line="225" w:lineRule="exact"/>
        <w:rPr>
          <w:sz w:val="20"/>
          <w:szCs w:val="20"/>
          <w:color w:val="auto"/>
        </w:rPr>
      </w:pPr>
    </w:p>
    <w:p>
      <w:pPr>
        <w:ind w:left="980" w:right="20" w:hanging="972"/>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reported in this Statement, none of the Reporting Entities has affected any transactions in the Issuer’s securities within the past 60 days.</w:t>
      </w:r>
    </w:p>
    <w:p>
      <w:pPr>
        <w:spacing w:after="0" w:line="161"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circumstances set forth in the limited liability company agreements of each of Vida II and Vida II-A, VV Manager II and the members of each of Vida II and Vida II-A may be deemed to have the right to receive dividends from, or the proceeds from, the sale of shares of the Issuer owned by such entity of which they are a partner.</w:t>
      </w:r>
    </w:p>
    <w:p>
      <w:pPr>
        <w:spacing w:after="0" w:line="175"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3 of this Statement is incorporated herein by reference.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Merger, Vida II and Vida II-A have entered into lock-up agreements, pursuant to which they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currently or hereafter owned, until 180 days after the effective time of the Merger.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lock-up agreements does not purport to be complete and is qualified in its entirety by the full text of the form of lock-up agreement, which is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229" w:lineRule="exact"/>
        <w:rPr>
          <w:sz w:val="20"/>
          <w:szCs w:val="20"/>
          <w:color w:val="auto"/>
        </w:rPr>
      </w:pPr>
    </w:p>
    <w:p>
      <w:pPr>
        <w:ind w:left="980" w:hanging="972"/>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as required by Rule 13d-1(k)(1) under the Securities Exchange Act of 1934, as amended.</w:t>
      </w:r>
    </w:p>
    <w:p>
      <w:pPr>
        <w:spacing w:after="0" w:line="225"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22"/>
        </w:numPr>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Form of Lock-Up Agreement, incorporated by reference to Annex E of the Issuer’s definitive proxy statement/prospectus (Reg. No. 333-</w:t>
        </w:r>
      </w:hyperlink>
      <w:hyperlink r:id="rId26">
        <w:r>
          <w:rPr>
            <w:rFonts w:ascii="Times New Roman" w:cs="Times New Roman" w:eastAsia="Times New Roman" w:hAnsi="Times New Roman"/>
            <w:sz w:val="18"/>
            <w:szCs w:val="18"/>
            <w:u w:val="single" w:color="auto"/>
            <w:color w:val="0000EE"/>
          </w:rPr>
          <w:t>277048), filed with the SEC on May 3, 2024.</w:t>
        </w:r>
      </w:hyperlink>
    </w:p>
    <w:p>
      <w:pPr>
        <w:spacing w:after="0" w:line="37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Vida Ventures II,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VV Manager II,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Stefan Vitorovic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Stefan Vitorovic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Vida Ventures II-A,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VV Manager II,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Stefan Vitorovic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Stefan Vitorovic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VV Manager II,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Stefan Vitorovic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Stefan Vitorovic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684"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Joint Filing Agreement</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hereby agree that a single Schedule 13D (or any amendment thereto) relating to the Common Stock of Tectonic Therapeutic, Inc. shall be filed on behalf of each of the undersigned and that this Agreement shall be filed as an exhibit to such Schedule 13D.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Vida Ventures II,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VV Manager II,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Stefan Vitorovic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Stefan Vitorovic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Vida Ventures II-A,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VV Manager II,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Stefan Vitorovic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Stefan Vitorovic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VV Manager II,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Stefan Vitorovic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Stefan Vitorovic</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6"/>
    </w:lvl>
    <w:lvl w:ilvl="1">
      <w:lvlJc w:val="left"/>
      <w:lvlText w:val="%2."/>
      <w:numFmt w:val="decimal"/>
      <w:start w:val="7"/>
    </w:lvl>
  </w:abstractNum>
  <w:abstractNum w:abstractNumId="3">
    <w:nsid w:val="109CF92E"/>
    <w:multiLevelType w:val="hybridMultilevel"/>
    <w:lvl w:ilvl="0">
      <w:lvlJc w:val="left"/>
      <w:lvlText w:val="%1"/>
      <w:numFmt w:val="decimal"/>
      <w:start w:val="1"/>
    </w:lvl>
    <w:lvl w:ilvl="1">
      <w:lvlJc w:val="left"/>
      <w:lvlText w:val="%2."/>
      <w:numFmt w:val="decimal"/>
      <w:start w:val="10"/>
    </w:lvl>
  </w:abstractNum>
  <w:abstractNum w:abstractNumId="4">
    <w:nsid w:val="DED7263"/>
    <w:multiLevelType w:val="hybridMultilevel"/>
    <w:lvl w:ilvl="0">
      <w:lvlJc w:val="left"/>
      <w:lvlText w:val="%1."/>
      <w:numFmt w:val="decimal"/>
      <w:start w:val="11"/>
    </w:lvl>
    <w:lvl w:ilvl="1">
      <w:lvlJc w:val="left"/>
      <w:lvlText w:val="%2"/>
      <w:numFmt w:val="decimal"/>
      <w:start w:val="1"/>
    </w:lvl>
  </w:abstractNum>
  <w:abstractNum w:abstractNumId="5">
    <w:nsid w:val="7FDCC233"/>
    <w:multiLevelType w:val="hybridMultilevel"/>
    <w:lvl w:ilvl="0">
      <w:lvlJc w:val="left"/>
      <w:lvlText w:val="%1"/>
      <w:numFmt w:val="decimal"/>
      <w:start w:val="1"/>
    </w:lvl>
    <w:lvl w:ilvl="1">
      <w:lvlJc w:val="left"/>
      <w:lvlText w:val="%2."/>
      <w:numFmt w:val="decimal"/>
      <w:start w:val="13"/>
    </w:lvl>
  </w:abstractNum>
  <w:abstractNum w:abstractNumId="6">
    <w:nsid w:val="1BEFD79F"/>
    <w:multiLevelType w:val="hybridMultilevel"/>
    <w:lvl w:ilvl="0">
      <w:lvlJc w:val="left"/>
      <w:lvlText w:val="(%1)"/>
      <w:numFmt w:val="decimal"/>
      <w:start w:val="1"/>
    </w:lvl>
    <w:lvl w:ilvl="1">
      <w:lvlJc w:val="left"/>
      <w:lvlText w:val="%2"/>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6"/>
    </w:lvl>
    <w:lvl w:ilvl="1">
      <w:lvlJc w:val="left"/>
      <w:lvlText w:val="%2."/>
      <w:numFmt w:val="decimal"/>
      <w:start w:val="7"/>
    </w:lvl>
  </w:abstractNum>
  <w:abstractNum w:abstractNumId="9">
    <w:nsid w:val="4E6AFB66"/>
    <w:multiLevelType w:val="hybridMultilevel"/>
    <w:lvl w:ilvl="0">
      <w:lvlJc w:val="left"/>
      <w:lvlText w:val="%1"/>
      <w:numFmt w:val="decimal"/>
      <w:start w:val="1"/>
    </w:lvl>
    <w:lvl w:ilvl="1">
      <w:lvlJc w:val="left"/>
      <w:lvlText w:val="%2."/>
      <w:numFmt w:val="decimal"/>
      <w:start w:val="10"/>
    </w:lvl>
  </w:abstractNum>
  <w:abstractNum w:abstractNumId="10">
    <w:nsid w:val="25E45D32"/>
    <w:multiLevelType w:val="hybridMultilevel"/>
    <w:lvl w:ilvl="0">
      <w:lvlJc w:val="left"/>
      <w:lvlText w:val="%1."/>
      <w:numFmt w:val="decimal"/>
      <w:start w:val="11"/>
    </w:lvl>
    <w:lvl w:ilvl="1">
      <w:lvlJc w:val="left"/>
      <w:lvlText w:val="%2"/>
      <w:numFmt w:val="decimal"/>
      <w:start w:val="1"/>
    </w:lvl>
  </w:abstractNum>
  <w:abstractNum w:abstractNumId="11">
    <w:nsid w:val="519B500D"/>
    <w:multiLevelType w:val="hybridMultilevel"/>
    <w:lvl w:ilvl="0">
      <w:lvlJc w:val="left"/>
      <w:lvlText w:val="%1"/>
      <w:numFmt w:val="decimal"/>
      <w:start w:val="1"/>
    </w:lvl>
    <w:lvl w:ilvl="1">
      <w:lvlJc w:val="left"/>
      <w:lvlText w:val="%2."/>
      <w:numFmt w:val="decimal"/>
      <w:start w:val="13"/>
    </w:lvl>
  </w:abstractNum>
  <w:abstractNum w:abstractNumId="12">
    <w:nsid w:val="431BD7B7"/>
    <w:multiLevelType w:val="hybridMultilevel"/>
    <w:lvl w:ilvl="0">
      <w:lvlJc w:val="left"/>
      <w:lvlText w:val="(%1)"/>
      <w:numFmt w:val="decimal"/>
      <w:start w:val="1"/>
    </w:lvl>
    <w:lvl w:ilvl="1">
      <w:lvlJc w:val="left"/>
      <w:lvlText w:val="%2"/>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6"/>
    </w:lvl>
    <w:lvl w:ilvl="1">
      <w:lvlJc w:val="left"/>
      <w:lvlText w:val="%2."/>
      <w:numFmt w:val="decimal"/>
      <w:start w:val="7"/>
    </w:lvl>
  </w:abstractNum>
  <w:abstractNum w:abstractNumId="15">
    <w:nsid w:val="257130A3"/>
    <w:multiLevelType w:val="hybridMultilevel"/>
    <w:lvl w:ilvl="0">
      <w:lvlJc w:val="left"/>
      <w:lvlText w:val="%1"/>
      <w:numFmt w:val="decimal"/>
      <w:start w:val="1"/>
    </w:lvl>
    <w:lvl w:ilvl="1">
      <w:lvlJc w:val="left"/>
      <w:lvlText w:val="%2."/>
      <w:numFmt w:val="decimal"/>
      <w:start w:val="10"/>
    </w:lvl>
  </w:abstractNum>
  <w:abstractNum w:abstractNumId="16">
    <w:nsid w:val="62BBD95A"/>
    <w:multiLevelType w:val="hybridMultilevel"/>
    <w:lvl w:ilvl="0">
      <w:lvlJc w:val="left"/>
      <w:lvlText w:val="%1."/>
      <w:numFmt w:val="decimal"/>
      <w:start w:val="11"/>
    </w:lvl>
    <w:lvl w:ilvl="1">
      <w:lvlJc w:val="left"/>
      <w:lvlText w:val="%2"/>
      <w:numFmt w:val="decimal"/>
      <w:start w:val="1"/>
    </w:lvl>
  </w:abstractNum>
  <w:abstractNum w:abstractNumId="17">
    <w:nsid w:val="436C6125"/>
    <w:multiLevelType w:val="hybridMultilevel"/>
    <w:lvl w:ilvl="0">
      <w:lvlJc w:val="left"/>
      <w:lvlText w:val="%1"/>
      <w:numFmt w:val="decimal"/>
      <w:start w:val="1"/>
    </w:lvl>
    <w:lvl w:ilvl="1">
      <w:lvlJc w:val="left"/>
      <w:lvlText w:val="%2."/>
      <w:numFmt w:val="decimal"/>
      <w:start w:val="13"/>
    </w:lvl>
  </w:abstractNum>
  <w:abstractNum w:abstractNumId="18">
    <w:nsid w:val="628C895D"/>
    <w:multiLevelType w:val="hybridMultilevel"/>
    <w:lvl w:ilvl="0">
      <w:lvlJc w:val="left"/>
      <w:lvlText w:val="(%1)"/>
      <w:numFmt w:val="decimal"/>
      <w:start w:val="1"/>
    </w:lvl>
    <w:lvl w:ilvl="1">
      <w:lvlJc w:val="left"/>
      <w:lvlText w:val="%2"/>
      <w:numFmt w:val="decimal"/>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3"/>
    </w:lvl>
  </w:abstractNum>
  <w:abstractNum w:abstractNumId="21">
    <w:nsid w:val="2443A858"/>
    <w:multiLevelType w:val="hybridMultilevel"/>
    <w:lvl w:ilvl="0">
      <w:lvlJc w:val="left"/>
      <w:lvlText w:val="%1."/>
      <w:numFmt w:val="upperLetter"/>
      <w:start w:val="1"/>
    </w:lvl>
  </w:abstractNum>
  <w:abstractNum w:abstractNumId="22">
    <w:nsid w:val="2D1D5AE9"/>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26" Type="http://schemas.openxmlformats.org/officeDocument/2006/relationships/hyperlink" Target="https://www.sec.gov/Archives/edgar/data/1681087/000119312524130818/d770053d424b3.htm#toc770053_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2024-06-27T15:42:37Z</dcterms:created>
  <dcterms:modified xsi:type="dcterms:W3CDTF">2024-06-27T15:42:37Z</dcterms:modified>
</cp:coreProperties>
</file>