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4164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41642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10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2"/>
          <w:szCs w:val="22"/>
          <w:u w:val="single" w:color="auto"/>
          <w:color w:val="0000EE"/>
        </w:rPr>
      </w:pPr>
      <w:hyperlink r:id="rId11">
        <w:r>
          <w:rPr>
            <w:rFonts w:ascii="Arial" w:cs="Arial" w:eastAsia="Arial" w:hAnsi="Arial"/>
            <w:sz w:val="22"/>
            <w:szCs w:val="22"/>
            <w:u w:val="single" w:color="auto"/>
            <w:color w:val="0000EE"/>
          </w:rPr>
          <w:t>CLARK IAN T</w:t>
        </w:r>
      </w:hyperlink>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ind w:left="8" w:hanging="8"/>
        <w:spacing w:after="0" w:line="262" w:lineRule="auto"/>
        <w:tabs>
          <w:tab w:leader="none" w:pos="158" w:val="left"/>
        </w:tabs>
        <w:numPr>
          <w:ilvl w:val="0"/>
          <w:numId w:val="1"/>
        </w:numPr>
        <w:rPr>
          <w:rFonts w:ascii="Arial" w:cs="Arial" w:eastAsia="Arial" w:hAnsi="Arial"/>
          <w:sz w:val="12"/>
          <w:szCs w:val="12"/>
          <w:color w:val="auto"/>
        </w:rPr>
      </w:pPr>
      <w:r>
        <w:rPr>
          <w:rFonts w:ascii="Arial" w:cs="Arial" w:eastAsia="Arial" w:hAnsi="Arial"/>
          <w:sz w:val="12"/>
          <w:szCs w:val="12"/>
          <w:color w:val="auto"/>
        </w:rPr>
        <w:t>Date of Event Requiring Statement (Month/Day/Year)</w:t>
      </w:r>
    </w:p>
    <w:p>
      <w:pPr>
        <w:jc w:val="center"/>
        <w:ind w:right="412"/>
        <w:spacing w:after="0"/>
        <w:rPr>
          <w:sz w:val="20"/>
          <w:szCs w:val="20"/>
          <w:color w:val="auto"/>
        </w:rPr>
      </w:pPr>
      <w:r>
        <w:rPr>
          <w:rFonts w:ascii="Arial" w:cs="Arial" w:eastAsia="Arial" w:hAnsi="Arial"/>
          <w:sz w:val="15"/>
          <w:szCs w:val="15"/>
          <w:color w:val="0000FF"/>
        </w:rPr>
        <w:t>06/20/2018</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AVROBIO,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AVRO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84" w:lineRule="exact"/>
        <w:rPr>
          <w:sz w:val="24"/>
          <w:szCs w:val="24"/>
          <w:color w:val="auto"/>
        </w:rPr>
      </w:pPr>
    </w:p>
    <w:p>
      <w:pPr>
        <w:sectPr>
          <w:pgSz w:w="11900" w:h="16838" w:orient="portrait"/>
          <w:cols w:equalWidth="0" w:num="3">
            <w:col w:w="2772" w:space="720"/>
            <w:col w:w="1228" w:space="480"/>
            <w:col w:w="6220"/>
          </w:cols>
          <w:pgMar w:left="240" w:top="226" w:right="239" w:bottom="1440" w:gutter="0" w:footer="0" w:header="0"/>
          <w:type w:val="continuous"/>
        </w:sectPr>
      </w:pPr>
    </w:p>
    <w:p>
      <w:pPr>
        <w:spacing w:after="0" w:line="13"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AVROBIO, INC.</w:t>
      </w:r>
    </w:p>
    <w:p>
      <w:pPr>
        <w:spacing w:after="0" w:line="63" w:lineRule="exact"/>
        <w:rPr>
          <w:sz w:val="24"/>
          <w:szCs w:val="24"/>
          <w:color w:val="auto"/>
        </w:rPr>
      </w:pPr>
    </w:p>
    <w:p>
      <w:pPr>
        <w:ind w:left="120" w:right="1354"/>
        <w:spacing w:after="0" w:line="268" w:lineRule="auto"/>
        <w:rPr>
          <w:sz w:val="20"/>
          <w:szCs w:val="20"/>
          <w:color w:val="auto"/>
        </w:rPr>
      </w:pPr>
      <w:r>
        <w:rPr>
          <w:rFonts w:ascii="Arial" w:cs="Arial" w:eastAsia="Arial" w:hAnsi="Arial"/>
          <w:sz w:val="18"/>
          <w:szCs w:val="18"/>
          <w:color w:val="0000FF"/>
        </w:rPr>
        <w:t>1 KENDALL SQUARE, BUILDING 300, STE 201</w:t>
      </w:r>
    </w:p>
    <w:p>
      <w:pPr>
        <w:spacing w:after="0" w:line="261"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40" w:type="dxa"/>
            <w:vAlign w:val="bottom"/>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r>
      <w:tr>
        <w:trPr>
          <w:trHeight w:val="242"/>
        </w:trPr>
        <w:tc>
          <w:tcPr>
            <w:tcW w:w="1840" w:type="dxa"/>
            <w:vAlign w:val="bottom"/>
          </w:tcPr>
          <w:p>
            <w:pPr>
              <w:ind w:left="40"/>
              <w:spacing w:after="0"/>
              <w:rPr>
                <w:sz w:val="20"/>
                <w:szCs w:val="20"/>
                <w:color w:val="auto"/>
              </w:rPr>
            </w:pPr>
            <w:r>
              <w:rPr>
                <w:rFonts w:ascii="Arial" w:cs="Arial" w:eastAsia="Arial" w:hAnsi="Arial"/>
                <w:sz w:val="18"/>
                <w:szCs w:val="18"/>
                <w:color w:val="0000FF"/>
              </w:rPr>
              <w:t>CAMBRIDGE MA</w:t>
            </w:r>
          </w:p>
        </w:tc>
        <w:tc>
          <w:tcPr>
            <w:tcW w:w="820" w:type="dxa"/>
            <w:vAlign w:val="bottom"/>
          </w:tcPr>
          <w:p>
            <w:pPr>
              <w:jc w:val="right"/>
              <w:spacing w:after="0"/>
              <w:rPr>
                <w:sz w:val="20"/>
                <w:szCs w:val="20"/>
                <w:color w:val="auto"/>
              </w:rPr>
            </w:pPr>
            <w:r>
              <w:rPr>
                <w:rFonts w:ascii="Arial" w:cs="Arial" w:eastAsia="Arial" w:hAnsi="Arial"/>
                <w:sz w:val="18"/>
                <w:szCs w:val="18"/>
                <w:color w:val="0000FF"/>
              </w:rPr>
              <w:t>02139</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4"/>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Pr>
          <w:p>
            <w:pPr>
              <w:ind w:left="380"/>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10/23/2027</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ind w:left="320"/>
              <w:spacing w:after="0"/>
              <w:rPr>
                <w:sz w:val="20"/>
                <w:szCs w:val="20"/>
                <w:color w:val="auto"/>
              </w:rPr>
            </w:pPr>
            <w:r>
              <w:rPr>
                <w:rFonts w:ascii="Arial" w:cs="Arial" w:eastAsia="Arial" w:hAnsi="Arial"/>
                <w:sz w:val="18"/>
                <w:szCs w:val="18"/>
                <w:color w:val="0000FF"/>
              </w:rPr>
              <w:t>48,740</w:t>
            </w:r>
          </w:p>
        </w:tc>
        <w:tc>
          <w:tcPr>
            <w:tcW w:w="880" w:type="dxa"/>
            <w:vAlign w:val="bottom"/>
          </w:tcPr>
          <w:p>
            <w:pPr>
              <w:jc w:val="right"/>
              <w:ind w:right="207"/>
              <w:spacing w:after="0"/>
              <w:rPr>
                <w:sz w:val="20"/>
                <w:szCs w:val="20"/>
                <w:color w:val="auto"/>
              </w:rPr>
            </w:pPr>
            <w:r>
              <w:rPr>
                <w:rFonts w:ascii="Arial" w:cs="Arial" w:eastAsia="Arial" w:hAnsi="Arial"/>
                <w:sz w:val="18"/>
                <w:szCs w:val="18"/>
                <w:color w:val="0000FF"/>
              </w:rPr>
              <w:t>0.91</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Pr>
          <w:p>
            <w:pPr>
              <w:ind w:left="380"/>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03/15/2028</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ind w:left="320"/>
              <w:spacing w:after="0"/>
              <w:rPr>
                <w:sz w:val="20"/>
                <w:szCs w:val="20"/>
                <w:color w:val="auto"/>
              </w:rPr>
            </w:pPr>
            <w:r>
              <w:rPr>
                <w:rFonts w:ascii="Arial" w:cs="Arial" w:eastAsia="Arial" w:hAnsi="Arial"/>
                <w:sz w:val="18"/>
                <w:szCs w:val="18"/>
                <w:color w:val="0000FF"/>
              </w:rPr>
              <w:t>30,282</w:t>
            </w:r>
          </w:p>
        </w:tc>
        <w:tc>
          <w:tcPr>
            <w:tcW w:w="880" w:type="dxa"/>
            <w:vAlign w:val="bottom"/>
          </w:tcPr>
          <w:p>
            <w:pPr>
              <w:jc w:val="right"/>
              <w:ind w:right="327"/>
              <w:spacing w:after="0"/>
              <w:rPr>
                <w:sz w:val="20"/>
                <w:szCs w:val="20"/>
                <w:color w:val="auto"/>
              </w:rPr>
            </w:pPr>
            <w:r>
              <w:rPr>
                <w:rFonts w:ascii="Arial" w:cs="Arial" w:eastAsia="Arial" w:hAnsi="Arial"/>
                <w:sz w:val="18"/>
                <w:szCs w:val="18"/>
                <w:color w:val="0000FF"/>
              </w:rPr>
              <w:t>5</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6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25% of the shares vest on October 24, 2018, and the remaining 75% vest in equal monthly installments thereafter over a three-year period.</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25% of the shares vest on March 16, 2019, and the remaining 75% shall vest in equal monthly installments thereafter over a three-year period.</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24 - Power of Attorney</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Arial" w:cs="Arial" w:eastAsia="Arial" w:hAnsi="Arial"/>
                <w:sz w:val="18"/>
                <w:szCs w:val="18"/>
                <w:color w:val="0000FF"/>
                <w:w w:val="88"/>
              </w:rPr>
              <w:t>/s/ Ian T. Clark</w:t>
            </w:r>
          </w:p>
        </w:tc>
        <w:tc>
          <w:tcPr>
            <w:tcW w:w="106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06/20/2018</w:t>
            </w:r>
          </w:p>
        </w:tc>
      </w:tr>
      <w:tr>
        <w:trPr>
          <w:trHeight w:val="20"/>
        </w:trPr>
        <w:tc>
          <w:tcPr>
            <w:tcW w:w="106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6"/>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1039"/>
        <w:spacing w:after="0"/>
        <w:rPr>
          <w:sz w:val="20"/>
          <w:szCs w:val="20"/>
          <w:color w:val="auto"/>
        </w:rPr>
      </w:pPr>
      <w:r>
        <w:rPr>
          <w:rFonts w:ascii="Courier New" w:cs="Courier New" w:eastAsia="Courier New" w:hAnsi="Courier New"/>
          <w:sz w:val="18"/>
          <w:szCs w:val="18"/>
          <w:color w:val="auto"/>
        </w:rPr>
        <w:t>LIMITED POWER OF ATTORNEY</w:t>
      </w:r>
    </w:p>
    <w:p>
      <w:pPr>
        <w:spacing w:after="0" w:line="207" w:lineRule="exact"/>
        <w:rPr>
          <w:sz w:val="20"/>
          <w:szCs w:val="20"/>
          <w:color w:val="auto"/>
        </w:rPr>
      </w:pPr>
    </w:p>
    <w:p>
      <w:pPr>
        <w:jc w:val="both"/>
        <w:ind w:right="2099" w:firstLine="843"/>
        <w:spacing w:after="0" w:line="279" w:lineRule="auto"/>
        <w:rPr>
          <w:sz w:val="20"/>
          <w:szCs w:val="20"/>
          <w:color w:val="auto"/>
        </w:rPr>
      </w:pPr>
      <w:r>
        <w:rPr>
          <w:rFonts w:ascii="Courier New" w:cs="Courier New" w:eastAsia="Courier New" w:hAnsi="Courier New"/>
          <w:sz w:val="16"/>
          <w:szCs w:val="16"/>
          <w:color w:val="auto"/>
        </w:rPr>
        <w:t>The undersigned hereby constitutes and appoints each of Geoff MacKay, Katina Dorton, and Arthur R. McGivern, signing singly, and with full power of substitution, the undersigned's true and lawful attorney-in-fact to:</w:t>
      </w:r>
    </w:p>
    <w:p>
      <w:pPr>
        <w:spacing w:after="0" w:line="178" w:lineRule="exact"/>
        <w:rPr>
          <w:sz w:val="20"/>
          <w:szCs w:val="20"/>
          <w:color w:val="auto"/>
        </w:rPr>
      </w:pPr>
    </w:p>
    <w:p>
      <w:pPr>
        <w:ind w:right="1779" w:firstLine="851"/>
        <w:spacing w:after="0" w:line="270" w:lineRule="auto"/>
        <w:tabs>
          <w:tab w:leader="none" w:pos="1475"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officer and/or director of AVROBIO, Inc. (the "Company"), from time to time the following U.S. Securities and Exchange Commission ("SEC") forms: (i) Form ID, including any attached documents (such as Update Passphrase Authentication), to effect the assignment of codes to the undersigned to be used in the transmission of information to the SEC using the EDGAR System; (ii) Form 3, Initial Statement of Beneficial Ownership of Securities, including any attached documents; (iii) Form 4, Statement of Changes in Beneficial Ownership of Securities, including any attached documents; (iv) Form 5, Annual Statement of Beneficial Ownership of Securities in accordance with Section 16(a) of the Securities Exchange Act of 1934, as amended, and the rules thereunder, including any attached documents; (v) Schedules 13D and 13G, and (vi) amendments of each thereof, in accordance with the Securities Exchange Act of 1934, as amended, and the rules thereunder, including any attached documents;</w:t>
      </w:r>
    </w:p>
    <w:p>
      <w:pPr>
        <w:spacing w:after="0" w:line="387" w:lineRule="exact"/>
        <w:rPr>
          <w:rFonts w:ascii="Courier New" w:cs="Courier New" w:eastAsia="Courier New" w:hAnsi="Courier New"/>
          <w:sz w:val="16"/>
          <w:szCs w:val="16"/>
          <w:color w:val="auto"/>
        </w:rPr>
      </w:pPr>
    </w:p>
    <w:p>
      <w:pPr>
        <w:ind w:right="1779" w:firstLine="851"/>
        <w:spacing w:after="0" w:line="237" w:lineRule="auto"/>
        <w:tabs>
          <w:tab w:leader="none" w:pos="147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Schedules 13D and 13G or any amendment(s) thereto, and timely file such form(s) with the SEC and any securities exchange, national association or similar authority; and</w:t>
      </w:r>
    </w:p>
    <w:p>
      <w:pPr>
        <w:spacing w:after="0" w:line="208" w:lineRule="exact"/>
        <w:rPr>
          <w:rFonts w:ascii="Courier New" w:cs="Courier New" w:eastAsia="Courier New" w:hAnsi="Courier New"/>
          <w:sz w:val="18"/>
          <w:szCs w:val="18"/>
          <w:color w:val="auto"/>
        </w:rPr>
      </w:pPr>
    </w:p>
    <w:p>
      <w:pPr>
        <w:ind w:right="1779" w:firstLine="851"/>
        <w:spacing w:after="0" w:line="237" w:lineRule="auto"/>
        <w:tabs>
          <w:tab w:leader="none" w:pos="147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1"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attorneys- in-fact and the Company from and against any demand, damage, loss, cost or expense arising from any false or misleading information provided by the undersigned to the attorneys-in-fact.</w:t>
      </w:r>
    </w:p>
    <w:p>
      <w:pPr>
        <w:spacing w:after="0" w:line="208"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 This Power of Attorney supersedes any prior power of attorney in connection with the undersigned's capacity as an officer and/or director of the Company. This Power of Attorney shall expire as to any individual attorney-in-fact if such attorney-in-fact ceases to be an executive officer of, or legal counsel to, the Company.</w:t>
      </w:r>
    </w:p>
    <w:p>
      <w:pPr>
        <w:spacing w:after="0" w:line="214" w:lineRule="exact"/>
        <w:rPr>
          <w:sz w:val="20"/>
          <w:szCs w:val="20"/>
          <w:color w:val="auto"/>
        </w:rPr>
      </w:pPr>
    </w:p>
    <w:p>
      <w:pPr>
        <w:ind w:right="177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June 18, 2018.</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Ian T. Clark</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rPr>
          <w:sz w:val="20"/>
          <w:szCs w:val="20"/>
          <w:color w:val="auto"/>
        </w:rPr>
      </w:pPr>
      <w:r>
        <w:rPr>
          <w:rFonts w:ascii="Courier New" w:cs="Courier New" w:eastAsia="Courier New" w:hAnsi="Courier New"/>
          <w:sz w:val="18"/>
          <w:szCs w:val="18"/>
          <w:color w:val="auto"/>
        </w:rPr>
        <w:t>Ian T. Clark</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2"/>
    </w:lvl>
  </w:abstractNum>
  <w:abstractNum w:abstractNumId="1">
    <w:nsid w:val="238E1F29"/>
    <w:multiLevelType w:val="hybridMultilevel"/>
    <w:lvl w:ilvl="0">
      <w:lvlJc w:val="left"/>
      <w:lvlText w:val="%1."/>
      <w:numFmt w:val="decimal"/>
      <w:start w:val="4"/>
    </w:lvl>
  </w:abstractNum>
  <w:abstractNum w:abstractNumId="2">
    <w:nsid w:val="46E87CCD"/>
    <w:multiLevelType w:val="hybridMultilevel"/>
    <w:lvl w:ilvl="0">
      <w:lvlJc w:val="left"/>
      <w:lvlText w:val="%1."/>
      <w:numFmt w:val="decimal"/>
      <w:start w:val="5"/>
    </w:lvl>
  </w:abstractNum>
  <w:abstractNum w:abstractNumId="3">
    <w:nsid w:val="3D1B58BA"/>
    <w:multiLevelType w:val="hybridMultilevel"/>
    <w:lvl w:ilvl="0">
      <w:lvlJc w:val="left"/>
      <w:lvlText w:val="X"/>
      <w:numFmt w:val="bullet"/>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336504" TargetMode="External"/><Relationship Id="rId12"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2019-12-23T15:56:21Z</dcterms:created>
  <dcterms:modified xsi:type="dcterms:W3CDTF">2019-12-23T15:56:21Z</dcterms:modified>
</cp:coreProperties>
</file>