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June 11,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AVROBIO,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001-38537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81-0710585</w:t>
      </w:r>
    </w:p>
    <w:p>
      <w:pPr>
        <w:spacing w:after="0" w:line="31" w:lineRule="exact"/>
        <w:rPr>
          <w:sz w:val="24"/>
          <w:szCs w:val="24"/>
          <w:color w:val="auto"/>
        </w:rPr>
      </w:pPr>
    </w:p>
    <w:p>
      <w:pPr>
        <w:sectPr>
          <w:pgSz w:w="11900" w:h="16838" w:orient="portrait"/>
          <w:cols w:equalWidth="0" w:num="3">
            <w:col w:w="4520" w:space="720"/>
            <w:col w:w="2860" w:space="720"/>
            <w:col w:w="2220"/>
          </w:cols>
          <w:pgMar w:left="440" w:top="368" w:right="41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760" w:space="720"/>
            <w:col w:w="2340"/>
          </w:cols>
          <w:pgMar w:left="440" w:top="368" w:right="419" w:bottom="1440" w:gutter="0" w:footer="0" w:header="0"/>
          <w:type w:val="continuous"/>
        </w:sectPr>
      </w:pP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One Kendall Square</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Building 300, Suite 201</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Cambridge, MA 02139</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(617) 914-8420</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234950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type w:val="continuous"/>
        </w:sectPr>
      </w:pPr>
    </w:p>
    <w:p>
      <w:pPr>
        <w:spacing w:after="0" w:line="200" w:lineRule="exact"/>
        <w:rPr>
          <w:sz w:val="24"/>
          <w:szCs w:val="24"/>
          <w:color w:val="auto"/>
        </w:rPr>
      </w:pPr>
    </w:p>
    <w:p>
      <w:pPr>
        <w:spacing w:after="0" w:line="386"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AVRO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Nasdaq Global Select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5.07 Submission of Matters to a Vote of Security Holders.</w:t>
      </w:r>
    </w:p>
    <w:p>
      <w:pPr>
        <w:spacing w:after="0" w:line="121" w:lineRule="exact"/>
        <w:rPr>
          <w:sz w:val="20"/>
          <w:szCs w:val="20"/>
          <w:color w:val="auto"/>
        </w:rPr>
      </w:pPr>
    </w:p>
    <w:p>
      <w:pPr>
        <w:ind w:right="220" w:firstLine="441"/>
        <w:spacing w:after="0" w:line="342" w:lineRule="auto"/>
        <w:rPr>
          <w:sz w:val="20"/>
          <w:szCs w:val="20"/>
          <w:color w:val="auto"/>
        </w:rPr>
      </w:pPr>
      <w:r>
        <w:rPr>
          <w:rFonts w:ascii="Arial" w:cs="Arial" w:eastAsia="Arial" w:hAnsi="Arial"/>
          <w:sz w:val="16"/>
          <w:szCs w:val="16"/>
          <w:color w:val="auto"/>
        </w:rPr>
        <w:t>On June 11, 2019, AVROBIO, Inc. (the “Company”) held its previously announced 2019 Annual Meeting of Stockholders (the “Meeting”), at which a quorum was present. The proposals voted on at the Meeting and the final voting results for each proposal are as follows:</w:t>
      </w:r>
    </w:p>
    <w:p>
      <w:pPr>
        <w:spacing w:after="0" w:line="16" w:lineRule="exact"/>
        <w:rPr>
          <w:sz w:val="20"/>
          <w:szCs w:val="20"/>
          <w:color w:val="auto"/>
        </w:rPr>
      </w:pPr>
    </w:p>
    <w:p>
      <w:pPr>
        <w:ind w:right="300" w:firstLine="444"/>
        <w:spacing w:after="0" w:line="277" w:lineRule="auto"/>
        <w:tabs>
          <w:tab w:leader="none" w:pos="621"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stockholders elected the two director nominees listed below to serve as Class I directors until the Company’s 2022 annual meeting of stockholders, with the votes cast as follows:</w:t>
      </w:r>
    </w:p>
    <w:p>
      <w:pPr>
        <w:spacing w:after="0" w:line="68" w:lineRule="exact"/>
        <w:rPr>
          <w:sz w:val="20"/>
          <w:szCs w:val="20"/>
          <w:color w:val="auto"/>
        </w:rPr>
      </w:pPr>
    </w:p>
    <w:tbl>
      <w:tblPr>
        <w:tblLayout w:type="fixed"/>
        <w:tblInd w:w="880" w:type="dxa"/>
        <w:tblCellMar>
          <w:top w:w="0" w:type="dxa"/>
          <w:left w:w="0" w:type="dxa"/>
          <w:bottom w:w="0" w:type="dxa"/>
          <w:right w:w="0" w:type="dxa"/>
        </w:tblCellMar>
      </w:tblPr>
      <w:tr>
        <w:trPr>
          <w:trHeight w:val="191"/>
        </w:trPr>
        <w:tc>
          <w:tcPr>
            <w:tcW w:w="1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Director Nominee</w:t>
            </w:r>
          </w:p>
        </w:tc>
        <w:tc>
          <w:tcPr>
            <w:tcW w:w="4220" w:type="dxa"/>
            <w:vAlign w:val="bottom"/>
          </w:tcPr>
          <w:p>
            <w:pPr>
              <w:spacing w:after="0"/>
              <w:rPr>
                <w:sz w:val="16"/>
                <w:szCs w:val="16"/>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Votes For</w:t>
            </w: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Votes Withheld</w:t>
            </w:r>
          </w:p>
        </w:tc>
        <w:tc>
          <w:tcPr>
            <w:tcW w:w="11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0"/>
              </w:rPr>
              <w:t>Broker Non-Votes</w:t>
            </w:r>
          </w:p>
        </w:tc>
      </w:tr>
      <w:tr>
        <w:trPr>
          <w:trHeight w:val="203"/>
        </w:trPr>
        <w:tc>
          <w:tcPr>
            <w:tcW w:w="53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Christopher Paige, Ph.D.</w:t>
            </w:r>
          </w:p>
        </w:tc>
        <w:tc>
          <w:tcPr>
            <w:tcW w:w="86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6"/>
              </w:rPr>
              <w:t>16,771,213</w:t>
            </w:r>
          </w:p>
        </w:tc>
        <w:tc>
          <w:tcPr>
            <w:tcW w:w="4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3,051,618</w:t>
            </w:r>
          </w:p>
        </w:tc>
        <w:tc>
          <w:tcPr>
            <w:tcW w:w="4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2,061,714</w:t>
            </w:r>
          </w:p>
        </w:tc>
        <w:tc>
          <w:tcPr>
            <w:tcW w:w="60" w:type="dxa"/>
            <w:vAlign w:val="bottom"/>
            <w:tcBorders>
              <w:top w:val="single" w:sz="8" w:color="CCEEFF"/>
            </w:tcBorders>
            <w:shd w:val="clear" w:color="auto" w:fill="CCEEFF"/>
          </w:tcPr>
          <w:p>
            <w:pPr>
              <w:spacing w:after="0"/>
              <w:rPr>
                <w:sz w:val="17"/>
                <w:szCs w:val="17"/>
                <w:color w:val="auto"/>
              </w:rPr>
            </w:pPr>
          </w:p>
        </w:tc>
      </w:tr>
      <w:tr>
        <w:trPr>
          <w:trHeight w:val="230"/>
        </w:trPr>
        <w:tc>
          <w:tcPr>
            <w:tcW w:w="5340" w:type="dxa"/>
            <w:vAlign w:val="bottom"/>
            <w:gridSpan w:val="2"/>
          </w:tcPr>
          <w:p>
            <w:pPr>
              <w:spacing w:after="0"/>
              <w:rPr>
                <w:sz w:val="20"/>
                <w:szCs w:val="20"/>
                <w:color w:val="auto"/>
              </w:rPr>
            </w:pPr>
            <w:r>
              <w:rPr>
                <w:rFonts w:ascii="Arial" w:cs="Arial" w:eastAsia="Arial" w:hAnsi="Arial"/>
                <w:sz w:val="18"/>
                <w:szCs w:val="18"/>
                <w:color w:val="auto"/>
              </w:rPr>
              <w:t>Philip Vickers, Ph.D.</w:t>
            </w:r>
          </w:p>
        </w:tc>
        <w:tc>
          <w:tcPr>
            <w:tcW w:w="1340" w:type="dxa"/>
            <w:vAlign w:val="bottom"/>
            <w:gridSpan w:val="2"/>
          </w:tcPr>
          <w:p>
            <w:pPr>
              <w:ind w:left="60"/>
              <w:spacing w:after="0"/>
              <w:rPr>
                <w:sz w:val="20"/>
                <w:szCs w:val="20"/>
                <w:color w:val="auto"/>
              </w:rPr>
            </w:pPr>
            <w:r>
              <w:rPr>
                <w:rFonts w:ascii="Arial" w:cs="Arial" w:eastAsia="Arial" w:hAnsi="Arial"/>
                <w:sz w:val="18"/>
                <w:szCs w:val="18"/>
                <w:color w:val="auto"/>
              </w:rPr>
              <w:t>19,071,604</w:t>
            </w:r>
          </w:p>
        </w:tc>
        <w:tc>
          <w:tcPr>
            <w:tcW w:w="940" w:type="dxa"/>
            <w:vAlign w:val="bottom"/>
          </w:tcPr>
          <w:p>
            <w:pPr>
              <w:jc w:val="right"/>
              <w:spacing w:after="0"/>
              <w:rPr>
                <w:sz w:val="20"/>
                <w:szCs w:val="20"/>
                <w:color w:val="auto"/>
              </w:rPr>
            </w:pPr>
            <w:r>
              <w:rPr>
                <w:rFonts w:ascii="Arial" w:cs="Arial" w:eastAsia="Arial" w:hAnsi="Arial"/>
                <w:sz w:val="18"/>
                <w:szCs w:val="18"/>
                <w:color w:val="auto"/>
              </w:rPr>
              <w:t>751,227</w:t>
            </w:r>
          </w:p>
        </w:tc>
        <w:tc>
          <w:tcPr>
            <w:tcW w:w="48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2,061,714</w:t>
            </w:r>
          </w:p>
        </w:tc>
      </w:tr>
    </w:tbl>
    <w:p>
      <w:pPr>
        <w:spacing w:after="0" w:line="79" w:lineRule="exact"/>
        <w:rPr>
          <w:sz w:val="20"/>
          <w:szCs w:val="20"/>
          <w:color w:val="auto"/>
        </w:rPr>
      </w:pPr>
    </w:p>
    <w:p>
      <w:pPr>
        <w:ind w:firstLine="444"/>
        <w:spacing w:after="0" w:line="277" w:lineRule="auto"/>
        <w:tabs>
          <w:tab w:leader="none" w:pos="621"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stockholders ratified the appointment of Ernst &amp; Young LLP as the Company’s independent registered public accounting firm for the fiscal year ending December 31, 2019, with the votes cast as follows:</w:t>
      </w:r>
    </w:p>
    <w:p>
      <w:pPr>
        <w:spacing w:after="0" w:line="68" w:lineRule="exact"/>
        <w:rPr>
          <w:sz w:val="20"/>
          <w:szCs w:val="20"/>
          <w:color w:val="auto"/>
        </w:rPr>
      </w:pPr>
    </w:p>
    <w:tbl>
      <w:tblPr>
        <w:tblLayout w:type="fixed"/>
        <w:tblInd w:w="1660" w:type="dxa"/>
        <w:tblCellMar>
          <w:top w:w="0" w:type="dxa"/>
          <w:left w:w="0" w:type="dxa"/>
          <w:bottom w:w="0" w:type="dxa"/>
          <w:right w:w="0" w:type="dxa"/>
        </w:tblCellMar>
      </w:tblPr>
      <w:tr>
        <w:trPr>
          <w:trHeight w:val="191"/>
        </w:trPr>
        <w:tc>
          <w:tcPr>
            <w:tcW w:w="100" w:type="dxa"/>
            <w:vAlign w:val="bottom"/>
          </w:tcPr>
          <w:p>
            <w:pPr>
              <w:spacing w:after="0"/>
              <w:rPr>
                <w:sz w:val="16"/>
                <w:szCs w:val="16"/>
                <w:color w:val="auto"/>
              </w:rPr>
            </w:pPr>
          </w:p>
        </w:tc>
        <w:tc>
          <w:tcPr>
            <w:tcW w:w="2120" w:type="dxa"/>
            <w:vAlign w:val="bottom"/>
            <w:gridSpan w:val="2"/>
          </w:tcPr>
          <w:p>
            <w:pPr>
              <w:jc w:val="right"/>
              <w:ind w:right="1520"/>
              <w:spacing w:after="0"/>
              <w:rPr>
                <w:sz w:val="20"/>
                <w:szCs w:val="20"/>
                <w:color w:val="auto"/>
              </w:rPr>
            </w:pPr>
            <w:r>
              <w:rPr>
                <w:rFonts w:ascii="Arial" w:cs="Arial" w:eastAsia="Arial" w:hAnsi="Arial"/>
                <w:sz w:val="14"/>
                <w:szCs w:val="14"/>
                <w:b w:val="1"/>
                <w:bCs w:val="1"/>
                <w:color w:val="auto"/>
                <w:w w:val="89"/>
              </w:rPr>
              <w:t>Votes For</w:t>
            </w:r>
          </w:p>
        </w:tc>
        <w:tc>
          <w:tcPr>
            <w:tcW w:w="2240" w:type="dxa"/>
            <w:vAlign w:val="bottom"/>
            <w:gridSpan w:val="2"/>
          </w:tcPr>
          <w:p>
            <w:pPr>
              <w:jc w:val="center"/>
              <w:ind w:right="1420"/>
              <w:spacing w:after="0"/>
              <w:rPr>
                <w:sz w:val="20"/>
                <w:szCs w:val="20"/>
                <w:color w:val="auto"/>
              </w:rPr>
            </w:pPr>
            <w:r>
              <w:rPr>
                <w:rFonts w:ascii="Arial" w:cs="Arial" w:eastAsia="Arial" w:hAnsi="Arial"/>
                <w:sz w:val="14"/>
                <w:szCs w:val="14"/>
                <w:b w:val="1"/>
                <w:bCs w:val="1"/>
                <w:color w:val="auto"/>
                <w:w w:val="87"/>
              </w:rPr>
              <w:t>Votes Against</w:t>
            </w:r>
          </w:p>
        </w:tc>
        <w:tc>
          <w:tcPr>
            <w:tcW w:w="2140" w:type="dxa"/>
            <w:vAlign w:val="bottom"/>
            <w:gridSpan w:val="2"/>
          </w:tcPr>
          <w:p>
            <w:pPr>
              <w:jc w:val="center"/>
              <w:ind w:right="1420"/>
              <w:spacing w:after="0"/>
              <w:rPr>
                <w:sz w:val="20"/>
                <w:szCs w:val="20"/>
                <w:color w:val="auto"/>
              </w:rPr>
            </w:pPr>
            <w:r>
              <w:rPr>
                <w:rFonts w:ascii="Arial" w:cs="Arial" w:eastAsia="Arial" w:hAnsi="Arial"/>
                <w:sz w:val="14"/>
                <w:szCs w:val="14"/>
                <w:b w:val="1"/>
                <w:bCs w:val="1"/>
                <w:color w:val="auto"/>
                <w:w w:val="88"/>
              </w:rPr>
              <w:t>Abstentions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217"/>
        </w:trPr>
        <w:tc>
          <w:tcPr>
            <w:tcW w:w="10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72"/>
              </w:rPr>
              <w:t>21,863,304</w:t>
            </w:r>
          </w:p>
        </w:tc>
        <w:tc>
          <w:tcPr>
            <w:tcW w:w="1520" w:type="dxa"/>
            <w:vAlign w:val="bottom"/>
          </w:tcPr>
          <w:p>
            <w:pPr>
              <w:spacing w:after="0"/>
              <w:rPr>
                <w:sz w:val="18"/>
                <w:szCs w:val="18"/>
                <w:color w:val="auto"/>
              </w:rPr>
            </w:pPr>
          </w:p>
        </w:tc>
        <w:tc>
          <w:tcPr>
            <w:tcW w:w="840" w:type="dxa"/>
            <w:vAlign w:val="bottom"/>
            <w:tcBorders>
              <w:top w:val="single" w:sz="8" w:color="auto"/>
            </w:tcBorders>
          </w:tcPr>
          <w:p>
            <w:pPr>
              <w:jc w:val="right"/>
              <w:ind w:right="99"/>
              <w:spacing w:after="0"/>
              <w:rPr>
                <w:sz w:val="20"/>
                <w:szCs w:val="20"/>
                <w:color w:val="auto"/>
              </w:rPr>
            </w:pPr>
            <w:r>
              <w:rPr>
                <w:rFonts w:ascii="Arial" w:cs="Arial" w:eastAsia="Arial" w:hAnsi="Arial"/>
                <w:sz w:val="18"/>
                <w:szCs w:val="18"/>
                <w:color w:val="auto"/>
              </w:rPr>
              <w:t>20,741</w:t>
            </w:r>
          </w:p>
        </w:tc>
        <w:tc>
          <w:tcPr>
            <w:tcW w:w="1400" w:type="dxa"/>
            <w:vAlign w:val="bottom"/>
          </w:tcPr>
          <w:p>
            <w:pPr>
              <w:spacing w:after="0"/>
              <w:rPr>
                <w:sz w:val="18"/>
                <w:szCs w:val="18"/>
                <w:color w:val="auto"/>
              </w:rPr>
            </w:pPr>
          </w:p>
        </w:tc>
        <w:tc>
          <w:tcPr>
            <w:tcW w:w="720" w:type="dxa"/>
            <w:vAlign w:val="bottom"/>
            <w:tcBorders>
              <w:top w:val="single" w:sz="8" w:color="auto"/>
            </w:tcBorders>
          </w:tcPr>
          <w:p>
            <w:pPr>
              <w:jc w:val="right"/>
              <w:ind w:right="139"/>
              <w:spacing w:after="0"/>
              <w:rPr>
                <w:sz w:val="20"/>
                <w:szCs w:val="20"/>
                <w:color w:val="auto"/>
              </w:rPr>
            </w:pPr>
            <w:r>
              <w:rPr>
                <w:rFonts w:ascii="Arial" w:cs="Arial" w:eastAsia="Arial" w:hAnsi="Arial"/>
                <w:sz w:val="18"/>
                <w:szCs w:val="18"/>
                <w:color w:val="auto"/>
              </w:rPr>
              <w:t>500</w:t>
            </w:r>
          </w:p>
        </w:tc>
        <w:tc>
          <w:tcPr>
            <w:tcW w:w="142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bl>
    <w:p>
      <w:pPr>
        <w:sectPr>
          <w:pgSz w:w="11900" w:h="16838" w:orient="portrait"/>
          <w:cols w:equalWidth="0" w:num="1">
            <w:col w:w="10880"/>
          </w:cols>
          <w:pgMar w:left="440" w:top="270" w:right="57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7480" w:type="dxa"/>
            <w:vAlign w:val="bottom"/>
            <w:gridSpan w:val="2"/>
          </w:tcPr>
          <w:p>
            <w:pPr>
              <w:ind w:left="2120"/>
              <w:spacing w:after="0"/>
              <w:rPr>
                <w:sz w:val="20"/>
                <w:szCs w:val="20"/>
                <w:color w:val="auto"/>
              </w:rPr>
            </w:pPr>
            <w:r>
              <w:rPr>
                <w:rFonts w:ascii="Arial" w:cs="Arial" w:eastAsia="Arial" w:hAnsi="Arial"/>
                <w:sz w:val="18"/>
                <w:szCs w:val="18"/>
                <w:color w:val="auto"/>
              </w:rPr>
              <w:t>AVROBIO, INC.</w:t>
            </w: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June 12, 2019</w:t>
            </w:r>
          </w:p>
        </w:tc>
        <w:tc>
          <w:tcPr>
            <w:tcW w:w="7480" w:type="dxa"/>
            <w:vAlign w:val="bottom"/>
            <w:gridSpan w:val="2"/>
          </w:tcPr>
          <w:p>
            <w:pPr>
              <w:ind w:left="2120"/>
              <w:spacing w:after="0"/>
              <w:rPr>
                <w:sz w:val="20"/>
                <w:szCs w:val="20"/>
                <w:color w:val="auto"/>
              </w:rPr>
            </w:pPr>
            <w:r>
              <w:rPr>
                <w:rFonts w:ascii="Arial" w:cs="Arial" w:eastAsia="Arial" w:hAnsi="Arial"/>
                <w:sz w:val="18"/>
                <w:szCs w:val="18"/>
                <w:color w:val="auto"/>
              </w:rPr>
              <w:t>By:  /s/ Geoff MacKay</w:t>
            </w:r>
          </w:p>
        </w:tc>
      </w:tr>
      <w:tr>
        <w:trPr>
          <w:trHeight w:val="195"/>
        </w:trPr>
        <w:tc>
          <w:tcPr>
            <w:tcW w:w="35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0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Geoff MacKay</w:t>
            </w:r>
          </w:p>
        </w:tc>
      </w:tr>
      <w:tr>
        <w:trPr>
          <w:trHeight w:val="230"/>
        </w:trPr>
        <w:tc>
          <w:tcPr>
            <w:tcW w:w="35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08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bl>
    <w:p>
      <w:pPr>
        <w:spacing w:after="0" w:line="1" w:lineRule="exact"/>
        <w:rPr>
          <w:sz w:val="20"/>
          <w:szCs w:val="20"/>
          <w:color w:val="auto"/>
        </w:rPr>
      </w:pPr>
    </w:p>
    <w:sectPr>
      <w:pgSz w:w="11900" w:h="16838" w:orient="portrait"/>
      <w:cols w:equalWidth="0" w:num="1">
        <w:col w:w="11040"/>
      </w:cols>
      <w:pgMar w:left="440" w:top="27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2019-12-01T18:31:23Z</dcterms:created>
  <dcterms:modified xsi:type="dcterms:W3CDTF">2019-12-01T18:31:23Z</dcterms:modified>
</cp:coreProperties>
</file>