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102235</wp:posOffset>
            </wp:positionV>
            <wp:extent cx="71577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59690"/>
                    </a:xfrm>
                    <a:prstGeom prst="rect">
                      <a:avLst/>
                    </a:prstGeom>
                    <a:noFill/>
                  </pic:spPr>
                </pic:pic>
              </a:graphicData>
            </a:graphic>
          </wp:anchor>
        </w:drawing>
        <w:t>UNITED STATES</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13G</w:t>
      </w:r>
    </w:p>
    <w:p>
      <w:pPr>
        <w:spacing w:after="0" w:line="200" w:lineRule="exact"/>
        <w:rPr>
          <w:sz w:val="24"/>
          <w:szCs w:val="24"/>
          <w:color w:val="auto"/>
        </w:rPr>
      </w:pPr>
    </w:p>
    <w:p>
      <w:pPr>
        <w:spacing w:after="0" w:line="29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tabs>
          <w:tab w:leader="none" w:pos="240" w:val="left"/>
          <w:tab w:leader="none" w:pos="240" w:val="left"/>
        </w:tabs>
        <w:rPr>
          <w:sz w:val="20"/>
          <w:szCs w:val="20"/>
          <w:color w:val="auto"/>
        </w:rPr>
      </w:pPr>
      <w:r>
        <w:rPr>
          <w:rFonts w:ascii="Arial" w:cs="Arial" w:eastAsia="Arial" w:hAnsi="Arial"/>
          <w:sz w:val="22"/>
          <w:szCs w:val="22"/>
          <w:b w:val="1"/>
          <w:bCs w:val="1"/>
          <w:color w:val="auto"/>
        </w:rPr>
        <w:t>(Amendment No.</w:t>
        <w:tab/>
        <w:t>n/a</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3785235</wp:posOffset>
            </wp:positionH>
            <wp:positionV relativeFrom="paragraph">
              <wp:posOffset>-12065</wp:posOffset>
            </wp:positionV>
            <wp:extent cx="4972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43"/>
          <w:szCs w:val="43"/>
          <w:color w:val="auto"/>
        </w:rPr>
        <w:t>AVROBIO,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62165" cy="33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22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(Name of Issuer)</w:t>
      </w:r>
    </w:p>
    <w:p>
      <w:pPr>
        <w:spacing w:after="0" w:line="2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62165" cy="33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05455M100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62165" cy="33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19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July 13,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62165" cy="33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182"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240" w:right="9800" w:hanging="7"/>
        <w:spacing w:after="0" w:line="598" w:lineRule="auto"/>
        <w:tabs>
          <w:tab w:leader="none" w:pos="420"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x Rule 13d-1(c)</w:t>
      </w:r>
    </w:p>
    <w:p>
      <w:pPr>
        <w:spacing w:after="0" w:line="1" w:lineRule="exact"/>
        <w:rPr>
          <w:rFonts w:ascii="Arial" w:cs="Arial" w:eastAsia="Arial" w:hAnsi="Arial"/>
          <w:sz w:val="16"/>
          <w:szCs w:val="16"/>
          <w:color w:val="auto"/>
        </w:rPr>
      </w:pPr>
    </w:p>
    <w:p>
      <w:pPr>
        <w:ind w:left="420" w:hanging="187"/>
        <w:spacing w:after="0"/>
        <w:tabs>
          <w:tab w:leader="none" w:pos="420" w:val="left"/>
        </w:tabs>
        <w:numPr>
          <w:ilvl w:val="1"/>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52" w:lineRule="exact"/>
        <w:rPr>
          <w:rFonts w:ascii="Arial" w:cs="Arial" w:eastAsia="Arial" w:hAnsi="Arial"/>
          <w:sz w:val="18"/>
          <w:szCs w:val="18"/>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ind w:right="2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412750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5"/>
        </w:trPr>
        <w:tc>
          <w:tcPr>
            <w:tcW w:w="800" w:type="dxa"/>
            <w:vAlign w:val="bottom"/>
            <w:tcBorders>
              <w:right w:val="single" w:sz="8" w:color="auto"/>
            </w:tcBorders>
          </w:tcPr>
          <w:p>
            <w:pPr>
              <w:spacing w:after="0" w:line="205" w:lineRule="exact"/>
              <w:rPr>
                <w:sz w:val="20"/>
                <w:szCs w:val="20"/>
                <w:color w:val="auto"/>
              </w:rPr>
            </w:pPr>
            <w:r>
              <w:rPr>
                <w:rFonts w:ascii="Arial" w:cs="Arial" w:eastAsia="Arial" w:hAnsi="Arial"/>
                <w:sz w:val="18"/>
                <w:szCs w:val="18"/>
                <w:color w:val="auto"/>
              </w:rPr>
              <w:t>CUSIP</w:t>
            </w:r>
          </w:p>
        </w:tc>
        <w:tc>
          <w:tcPr>
            <w:tcW w:w="1120" w:type="dxa"/>
            <w:vAlign w:val="bottom"/>
            <w:tcBorders>
              <w:top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color w:val="auto"/>
              </w:rPr>
              <w:t>05455M100</w:t>
            </w:r>
          </w:p>
        </w:tc>
        <w:tc>
          <w:tcPr>
            <w:tcW w:w="0" w:type="dxa"/>
            <w:vAlign w:val="bottom"/>
          </w:tcPr>
          <w:p>
            <w:pPr>
              <w:spacing w:after="0"/>
              <w:rPr>
                <w:sz w:val="1"/>
                <w:szCs w:val="1"/>
                <w:color w:val="auto"/>
              </w:rPr>
            </w:pPr>
          </w:p>
        </w:tc>
      </w:tr>
      <w:tr>
        <w:trPr>
          <w:trHeight w:val="122"/>
        </w:trPr>
        <w:tc>
          <w:tcPr>
            <w:tcW w:w="8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No.</w:t>
            </w: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800" w:type="dxa"/>
            <w:vAlign w:val="bottom"/>
            <w:tcBorders>
              <w:right w:val="single" w:sz="8" w:color="auto"/>
            </w:tcBorders>
            <w:vMerge w:val="continue"/>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21170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117090"/>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vMerge w:val="restart"/>
          </w:tcPr>
          <w:p>
            <w:pPr>
              <w:jc w:val="right"/>
              <w:ind w:right="58"/>
              <w:spacing w:after="0"/>
              <w:rPr>
                <w:sz w:val="20"/>
                <w:szCs w:val="20"/>
                <w:color w:val="auto"/>
              </w:rPr>
            </w:pPr>
            <w:r>
              <w:rPr>
                <w:rFonts w:ascii="Arial" w:cs="Arial" w:eastAsia="Arial" w:hAnsi="Arial"/>
                <w:sz w:val="32"/>
                <w:szCs w:val="32"/>
                <w:b w:val="1"/>
                <w:bCs w:val="1"/>
                <w:color w:val="auto"/>
              </w:rPr>
              <w:t>1</w:t>
            </w:r>
          </w:p>
        </w:tc>
        <w:tc>
          <w:tcPr>
            <w:tcW w:w="10560" w:type="dxa"/>
            <w:vAlign w:val="bottom"/>
            <w:gridSpan w:val="2"/>
          </w:tcPr>
          <w:p>
            <w:pPr>
              <w:ind w:left="24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44"/>
        </w:trPr>
        <w:tc>
          <w:tcPr>
            <w:tcW w:w="680" w:type="dxa"/>
            <w:vAlign w:val="bottom"/>
            <w:vMerge w:val="continue"/>
          </w:tcPr>
          <w:p>
            <w:pPr>
              <w:spacing w:after="0"/>
              <w:rPr>
                <w:sz w:val="21"/>
                <w:szCs w:val="21"/>
                <w:color w:val="auto"/>
              </w:rPr>
            </w:pPr>
          </w:p>
        </w:tc>
        <w:tc>
          <w:tcPr>
            <w:tcW w:w="10560" w:type="dxa"/>
            <w:vAlign w:val="bottom"/>
            <w:gridSpan w:val="2"/>
          </w:tcPr>
          <w:p>
            <w:pPr>
              <w:ind w:left="24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37"/>
        </w:trPr>
        <w:tc>
          <w:tcPr>
            <w:tcW w:w="680" w:type="dxa"/>
            <w:vAlign w:val="bottom"/>
            <w:tcBorders>
              <w:bottom w:val="single" w:sz="8" w:color="auto"/>
            </w:tcBorders>
          </w:tcPr>
          <w:p>
            <w:pPr>
              <w:spacing w:after="0"/>
              <w:rPr>
                <w:sz w:val="20"/>
                <w:szCs w:val="20"/>
                <w:color w:val="auto"/>
              </w:rPr>
            </w:pPr>
          </w:p>
        </w:tc>
        <w:tc>
          <w:tcPr>
            <w:tcW w:w="1056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BML Investment Partners, L.P.</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10560" w:type="dxa"/>
            <w:vAlign w:val="bottom"/>
            <w:gridSpan w:val="2"/>
          </w:tcPr>
          <w:p>
            <w:pPr>
              <w:ind w:left="24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680" w:type="dxa"/>
            <w:vAlign w:val="bottom"/>
            <w:vMerge w:val="restart"/>
          </w:tcPr>
          <w:p>
            <w:pPr>
              <w:jc w:val="right"/>
              <w:ind w:right="58"/>
              <w:spacing w:after="0"/>
              <w:rPr>
                <w:sz w:val="20"/>
                <w:szCs w:val="20"/>
                <w:color w:val="auto"/>
              </w:rPr>
            </w:pPr>
            <w:r>
              <w:rPr>
                <w:rFonts w:ascii="Arial" w:cs="Arial" w:eastAsia="Arial" w:hAnsi="Arial"/>
                <w:sz w:val="32"/>
                <w:szCs w:val="32"/>
                <w:b w:val="1"/>
                <w:bCs w:val="1"/>
                <w:color w:val="auto"/>
              </w:rPr>
              <w:t>2</w:t>
            </w:r>
          </w:p>
        </w:tc>
        <w:tc>
          <w:tcPr>
            <w:tcW w:w="500" w:type="dxa"/>
            <w:vAlign w:val="bottom"/>
          </w:tcPr>
          <w:p>
            <w:pPr>
              <w:ind w:left="240"/>
              <w:spacing w:after="0"/>
              <w:rPr>
                <w:sz w:val="20"/>
                <w:szCs w:val="20"/>
                <w:color w:val="auto"/>
              </w:rPr>
            </w:pPr>
            <w:r>
              <w:rPr>
                <w:rFonts w:ascii="Arial" w:cs="Arial" w:eastAsia="Arial" w:hAnsi="Arial"/>
                <w:sz w:val="18"/>
                <w:szCs w:val="18"/>
                <w:color w:val="auto"/>
              </w:rPr>
              <w:t>(a)</w:t>
            </w:r>
          </w:p>
        </w:tc>
        <w:tc>
          <w:tcPr>
            <w:tcW w:w="10060" w:type="dxa"/>
            <w:vAlign w:val="bottom"/>
          </w:tcPr>
          <w:p>
            <w:pPr>
              <w:ind w:left="8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7"/>
        </w:trPr>
        <w:tc>
          <w:tcPr>
            <w:tcW w:w="680" w:type="dxa"/>
            <w:vAlign w:val="bottom"/>
            <w:tcBorders>
              <w:bottom w:val="single" w:sz="8" w:color="auto"/>
            </w:tcBorders>
            <w:vMerge w:val="continue"/>
          </w:tcPr>
          <w:p>
            <w:pPr>
              <w:spacing w:after="0"/>
              <w:rPr>
                <w:sz w:val="22"/>
                <w:szCs w:val="22"/>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(b)</w:t>
            </w:r>
          </w:p>
        </w:tc>
        <w:tc>
          <w:tcPr>
            <w:tcW w:w="100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3"/>
        </w:trPr>
        <w:tc>
          <w:tcPr>
            <w:tcW w:w="680" w:type="dxa"/>
            <w:vAlign w:val="bottom"/>
          </w:tcPr>
          <w:p>
            <w:pPr>
              <w:spacing w:after="0"/>
              <w:rPr>
                <w:sz w:val="22"/>
                <w:szCs w:val="22"/>
                <w:color w:val="auto"/>
              </w:rPr>
            </w:pPr>
          </w:p>
        </w:tc>
        <w:tc>
          <w:tcPr>
            <w:tcW w:w="10560" w:type="dxa"/>
            <w:vAlign w:val="bottom"/>
            <w:gridSpan w:val="2"/>
          </w:tcPr>
          <w:p>
            <w:pPr>
              <w:ind w:left="24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499"/>
        </w:trPr>
        <w:tc>
          <w:tcPr>
            <w:tcW w:w="680" w:type="dxa"/>
            <w:vAlign w:val="bottom"/>
            <w:tcBorders>
              <w:bottom w:val="single" w:sz="8" w:color="auto"/>
            </w:tcBorders>
          </w:tcPr>
          <w:p>
            <w:pPr>
              <w:jc w:val="right"/>
              <w:ind w:right="58"/>
              <w:spacing w:after="0"/>
              <w:rPr>
                <w:sz w:val="20"/>
                <w:szCs w:val="20"/>
                <w:color w:val="auto"/>
              </w:rPr>
            </w:pPr>
            <w:r>
              <w:rPr>
                <w:rFonts w:ascii="Arial" w:cs="Arial" w:eastAsia="Arial" w:hAnsi="Arial"/>
                <w:sz w:val="32"/>
                <w:szCs w:val="32"/>
                <w:b w:val="1"/>
                <w:bCs w:val="1"/>
                <w:color w:val="auto"/>
              </w:rPr>
              <w:t>3</w:t>
            </w:r>
          </w:p>
        </w:tc>
        <w:tc>
          <w:tcPr>
            <w:tcW w:w="500" w:type="dxa"/>
            <w:vAlign w:val="bottom"/>
            <w:tcBorders>
              <w:bottom w:val="single" w:sz="8" w:color="auto"/>
            </w:tcBorders>
          </w:tcPr>
          <w:p>
            <w:pPr>
              <w:spacing w:after="0"/>
              <w:rPr>
                <w:sz w:val="24"/>
                <w:szCs w:val="24"/>
                <w:color w:val="auto"/>
              </w:rPr>
            </w:pPr>
          </w:p>
        </w:tc>
        <w:tc>
          <w:tcPr>
            <w:tcW w:w="10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80" w:type="dxa"/>
            <w:vAlign w:val="bottom"/>
          </w:tcPr>
          <w:p>
            <w:pPr>
              <w:spacing w:after="0"/>
              <w:rPr>
                <w:sz w:val="22"/>
                <w:szCs w:val="22"/>
                <w:color w:val="auto"/>
              </w:rPr>
            </w:pPr>
          </w:p>
        </w:tc>
        <w:tc>
          <w:tcPr>
            <w:tcW w:w="10560" w:type="dxa"/>
            <w:vAlign w:val="bottom"/>
            <w:gridSpan w:val="2"/>
          </w:tcPr>
          <w:p>
            <w:pPr>
              <w:ind w:left="24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920" w:hanging="627"/>
        <w:spacing w:after="0"/>
        <w:tabs>
          <w:tab w:leader="none" w:pos="920" w:val="left"/>
        </w:tabs>
        <w:numPr>
          <w:ilvl w:val="0"/>
          <w:numId w:val="2"/>
        </w:numPr>
        <w:rPr>
          <w:rFonts w:ascii="Arial" w:cs="Arial" w:eastAsia="Arial" w:hAnsi="Arial"/>
          <w:sz w:val="32"/>
          <w:szCs w:val="32"/>
          <w:b w:val="1"/>
          <w:bCs w:val="1"/>
          <w:color w:val="auto"/>
        </w:rPr>
      </w:pPr>
      <w:r>
        <w:rPr>
          <w:rFonts w:ascii="Arial" w:cs="Arial" w:eastAsia="Arial" w:hAnsi="Arial"/>
          <w:sz w:val="18"/>
          <w:szCs w:val="18"/>
          <w:color w:val="auto"/>
        </w:rPr>
        <w:t>Delaware</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148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2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48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2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3"/>
        </w:trPr>
        <w:tc>
          <w:tcPr>
            <w:tcW w:w="148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2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499"/>
        </w:trPr>
        <w:tc>
          <w:tcPr>
            <w:tcW w:w="148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2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3545396</w:t>
            </w:r>
          </w:p>
        </w:tc>
        <w:tc>
          <w:tcPr>
            <w:tcW w:w="0" w:type="dxa"/>
            <w:vAlign w:val="bottom"/>
          </w:tcPr>
          <w:p>
            <w:pPr>
              <w:spacing w:after="0"/>
              <w:rPr>
                <w:sz w:val="1"/>
                <w:szCs w:val="1"/>
                <w:color w:val="auto"/>
              </w:rPr>
            </w:pPr>
          </w:p>
        </w:tc>
      </w:tr>
      <w:tr>
        <w:trPr>
          <w:trHeight w:val="222"/>
        </w:trPr>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22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540" w:type="dxa"/>
            <w:vAlign w:val="bottom"/>
            <w:tcBorders>
              <w:right w:val="single" w:sz="8" w:color="auto"/>
            </w:tcBorders>
            <w:vMerge w:val="continue"/>
          </w:tcPr>
          <w:p>
            <w:pPr>
              <w:spacing w:after="0"/>
              <w:rPr>
                <w:sz w:val="20"/>
                <w:szCs w:val="20"/>
                <w:color w:val="auto"/>
              </w:rPr>
            </w:pPr>
          </w:p>
        </w:tc>
        <w:tc>
          <w:tcPr>
            <w:tcW w:w="9220" w:type="dxa"/>
            <w:vAlign w:val="bottom"/>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3"/>
        </w:trPr>
        <w:tc>
          <w:tcPr>
            <w:tcW w:w="1480" w:type="dxa"/>
            <w:vAlign w:val="bottom"/>
            <w:tcBorders>
              <w:right w:val="single" w:sz="8" w:color="auto"/>
            </w:tcBorders>
            <w:vMerge w:val="restart"/>
          </w:tcPr>
          <w:p>
            <w:pPr>
              <w:jc w:val="center"/>
              <w:spacing w:after="0" w:line="200"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8"/>
                <w:szCs w:val="8"/>
                <w:color w:val="auto"/>
              </w:rPr>
            </w:pPr>
          </w:p>
        </w:tc>
        <w:tc>
          <w:tcPr>
            <w:tcW w:w="92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48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2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EACH</w:t>
            </w:r>
          </w:p>
        </w:tc>
        <w:tc>
          <w:tcPr>
            <w:tcW w:w="540" w:type="dxa"/>
            <w:vAlign w:val="bottom"/>
            <w:tcBorders>
              <w:right w:val="single" w:sz="8" w:color="auto"/>
            </w:tcBorders>
          </w:tcPr>
          <w:p>
            <w:pPr>
              <w:spacing w:after="0"/>
              <w:rPr>
                <w:sz w:val="18"/>
                <w:szCs w:val="18"/>
                <w:color w:val="auto"/>
              </w:rPr>
            </w:pPr>
          </w:p>
        </w:tc>
        <w:tc>
          <w:tcPr>
            <w:tcW w:w="9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2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3545396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9970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997075"/>
                    </a:xfrm>
                    <a:prstGeom prst="rect">
                      <a:avLst/>
                    </a:prstGeom>
                    <a:noFill/>
                  </pic:spPr>
                </pic:pic>
              </a:graphicData>
            </a:graphic>
          </wp:anchor>
        </w:drawing>
      </w:r>
    </w:p>
    <w:p>
      <w:pPr>
        <w:spacing w:after="0" w:line="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1" w:lineRule="exact"/>
        <w:rPr>
          <w:sz w:val="20"/>
          <w:szCs w:val="20"/>
          <w:color w:val="auto"/>
        </w:rPr>
      </w:pPr>
    </w:p>
    <w:p>
      <w:pPr>
        <w:ind w:left="920" w:hanging="627"/>
        <w:spacing w:after="0"/>
        <w:tabs>
          <w:tab w:leader="none" w:pos="920" w:val="left"/>
        </w:tabs>
        <w:numPr>
          <w:ilvl w:val="0"/>
          <w:numId w:val="3"/>
        </w:numPr>
        <w:rPr>
          <w:rFonts w:ascii="Arial" w:cs="Arial" w:eastAsia="Arial" w:hAnsi="Arial"/>
          <w:sz w:val="32"/>
          <w:szCs w:val="32"/>
          <w:b w:val="1"/>
          <w:bCs w:val="1"/>
          <w:color w:val="auto"/>
        </w:rPr>
      </w:pPr>
      <w:r>
        <w:rPr>
          <w:rFonts w:ascii="Arial" w:cs="Arial" w:eastAsia="Arial" w:hAnsi="Arial"/>
          <w:sz w:val="18"/>
          <w:szCs w:val="18"/>
          <w:color w:val="auto"/>
        </w:rPr>
        <w:t>3545396</w:t>
      </w:r>
    </w:p>
    <w:p>
      <w:pPr>
        <w:spacing w:after="0" w:line="66" w:lineRule="exact"/>
        <w:rPr>
          <w:rFonts w:ascii="Arial" w:cs="Arial" w:eastAsia="Arial" w:hAnsi="Arial"/>
          <w:sz w:val="32"/>
          <w:szCs w:val="32"/>
          <w:b w:val="1"/>
          <w:bCs w:val="1"/>
          <w:color w:val="auto"/>
        </w:rPr>
      </w:pPr>
    </w:p>
    <w:p>
      <w:pPr>
        <w:ind w:left="92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ind w:left="220"/>
        <w:spacing w:after="0" w:line="212" w:lineRule="auto"/>
        <w:tabs>
          <w:tab w:leader="none" w:pos="90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8"/>
          <w:szCs w:val="18"/>
          <w:color w:val="auto"/>
        </w:rPr>
        <w:t>o</w:t>
      </w:r>
    </w:p>
    <w:p>
      <w:pPr>
        <w:spacing w:after="0" w:line="2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PERCENT OF CLASS REPRESENTED BY AMOUNT IN ROW (9)</w:t>
      </w:r>
    </w:p>
    <w:p>
      <w:pPr>
        <w:ind w:left="220"/>
        <w:spacing w:after="0" w:line="217" w:lineRule="auto"/>
        <w:tabs>
          <w:tab w:leader="none" w:pos="90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8"/>
          <w:szCs w:val="18"/>
          <w:color w:val="auto"/>
        </w:rPr>
        <w:t>8.0%</w:t>
      </w:r>
    </w:p>
    <w:p>
      <w:pPr>
        <w:spacing w:after="0" w:line="2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TYPE OF REPORTING PERSON (SEE INSTRUCTIONS)</w:t>
      </w:r>
    </w:p>
    <w:p>
      <w:pPr>
        <w:ind w:left="220"/>
        <w:spacing w:after="0" w:line="217" w:lineRule="auto"/>
        <w:tabs>
          <w:tab w:leader="none" w:pos="90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8"/>
          <w:szCs w:val="18"/>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FOOTNOTES</w:t>
      </w:r>
    </w:p>
    <w:p>
      <w:pPr>
        <w:spacing w:after="0" w:line="279" w:lineRule="exact"/>
        <w:rPr>
          <w:sz w:val="20"/>
          <w:szCs w:val="20"/>
          <w:color w:val="auto"/>
        </w:rPr>
      </w:pPr>
    </w:p>
    <w:p>
      <w:pPr>
        <w:ind w:left="920" w:right="180"/>
        <w:spacing w:after="0" w:line="279" w:lineRule="auto"/>
        <w:rPr>
          <w:sz w:val="20"/>
          <w:szCs w:val="20"/>
          <w:color w:val="auto"/>
        </w:rPr>
      </w:pPr>
      <w:r>
        <w:rPr>
          <w:rFonts w:ascii="Arial" w:cs="Arial" w:eastAsia="Arial" w:hAnsi="Arial"/>
          <w:sz w:val="17"/>
          <w:szCs w:val="17"/>
          <w:color w:val="auto"/>
        </w:rPr>
        <w:t>BML Investment Partners, L.P. is a Delaware limited partnership whose sole general partner is BML Capital Management, LLC. The managing member of BML Capital Management, LLC is Braden M. Leonard. As a result, Braden M. Leonard is deemed to be the indirect owner of the shares held directly by BML Investment Partners, L.P. Despite such shared beneficial ownership, the reporting persons disclaim that they constitute a statutory group within the meaning of Rule 13d-5(b)(1)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5"/>
        </w:trPr>
        <w:tc>
          <w:tcPr>
            <w:tcW w:w="800" w:type="dxa"/>
            <w:vAlign w:val="bottom"/>
            <w:tcBorders>
              <w:right w:val="single" w:sz="8" w:color="auto"/>
            </w:tcBorders>
          </w:tcPr>
          <w:p>
            <w:pPr>
              <w:spacing w:after="0" w:line="205" w:lineRule="exact"/>
              <w:rPr>
                <w:sz w:val="20"/>
                <w:szCs w:val="20"/>
                <w:color w:val="auto"/>
              </w:rPr>
            </w:pPr>
            <w:r>
              <w:rPr>
                <w:rFonts w:ascii="Arial" w:cs="Arial" w:eastAsia="Arial" w:hAnsi="Arial"/>
                <w:sz w:val="18"/>
                <w:szCs w:val="18"/>
                <w:color w:val="auto"/>
              </w:rPr>
              <w:t>CUSIP</w:t>
            </w:r>
          </w:p>
        </w:tc>
        <w:tc>
          <w:tcPr>
            <w:tcW w:w="1120" w:type="dxa"/>
            <w:vAlign w:val="bottom"/>
            <w:tcBorders>
              <w:top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color w:val="auto"/>
              </w:rPr>
              <w:t>05455M100</w:t>
            </w:r>
          </w:p>
        </w:tc>
        <w:tc>
          <w:tcPr>
            <w:tcW w:w="0" w:type="dxa"/>
            <w:vAlign w:val="bottom"/>
          </w:tcPr>
          <w:p>
            <w:pPr>
              <w:spacing w:after="0"/>
              <w:rPr>
                <w:sz w:val="1"/>
                <w:szCs w:val="1"/>
                <w:color w:val="auto"/>
              </w:rPr>
            </w:pPr>
          </w:p>
        </w:tc>
      </w:tr>
      <w:tr>
        <w:trPr>
          <w:trHeight w:val="122"/>
        </w:trPr>
        <w:tc>
          <w:tcPr>
            <w:tcW w:w="8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No.</w:t>
            </w: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800" w:type="dxa"/>
            <w:vAlign w:val="bottom"/>
            <w:tcBorders>
              <w:right w:val="single" w:sz="8" w:color="auto"/>
            </w:tcBorders>
            <w:vMerge w:val="continue"/>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21170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117090"/>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vMerge w:val="restart"/>
          </w:tcPr>
          <w:p>
            <w:pPr>
              <w:jc w:val="right"/>
              <w:ind w:right="58"/>
              <w:spacing w:after="0"/>
              <w:rPr>
                <w:sz w:val="20"/>
                <w:szCs w:val="20"/>
                <w:color w:val="auto"/>
              </w:rPr>
            </w:pPr>
            <w:r>
              <w:rPr>
                <w:rFonts w:ascii="Arial" w:cs="Arial" w:eastAsia="Arial" w:hAnsi="Arial"/>
                <w:sz w:val="32"/>
                <w:szCs w:val="32"/>
                <w:b w:val="1"/>
                <w:bCs w:val="1"/>
                <w:color w:val="auto"/>
              </w:rPr>
              <w:t>1</w:t>
            </w:r>
          </w:p>
        </w:tc>
        <w:tc>
          <w:tcPr>
            <w:tcW w:w="10560" w:type="dxa"/>
            <w:vAlign w:val="bottom"/>
            <w:gridSpan w:val="2"/>
          </w:tcPr>
          <w:p>
            <w:pPr>
              <w:ind w:left="24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44"/>
        </w:trPr>
        <w:tc>
          <w:tcPr>
            <w:tcW w:w="680" w:type="dxa"/>
            <w:vAlign w:val="bottom"/>
            <w:vMerge w:val="continue"/>
          </w:tcPr>
          <w:p>
            <w:pPr>
              <w:spacing w:after="0"/>
              <w:rPr>
                <w:sz w:val="21"/>
                <w:szCs w:val="21"/>
                <w:color w:val="auto"/>
              </w:rPr>
            </w:pPr>
          </w:p>
        </w:tc>
        <w:tc>
          <w:tcPr>
            <w:tcW w:w="10560" w:type="dxa"/>
            <w:vAlign w:val="bottom"/>
            <w:gridSpan w:val="2"/>
          </w:tcPr>
          <w:p>
            <w:pPr>
              <w:ind w:left="24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37"/>
        </w:trPr>
        <w:tc>
          <w:tcPr>
            <w:tcW w:w="680" w:type="dxa"/>
            <w:vAlign w:val="bottom"/>
            <w:tcBorders>
              <w:bottom w:val="single" w:sz="8" w:color="auto"/>
            </w:tcBorders>
          </w:tcPr>
          <w:p>
            <w:pPr>
              <w:spacing w:after="0"/>
              <w:rPr>
                <w:sz w:val="20"/>
                <w:szCs w:val="20"/>
                <w:color w:val="auto"/>
              </w:rPr>
            </w:pPr>
          </w:p>
        </w:tc>
        <w:tc>
          <w:tcPr>
            <w:tcW w:w="1056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Braden M Leonard</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10560" w:type="dxa"/>
            <w:vAlign w:val="bottom"/>
            <w:gridSpan w:val="2"/>
          </w:tcPr>
          <w:p>
            <w:pPr>
              <w:ind w:left="24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680" w:type="dxa"/>
            <w:vAlign w:val="bottom"/>
            <w:vMerge w:val="restart"/>
          </w:tcPr>
          <w:p>
            <w:pPr>
              <w:jc w:val="right"/>
              <w:ind w:right="58"/>
              <w:spacing w:after="0"/>
              <w:rPr>
                <w:sz w:val="20"/>
                <w:szCs w:val="20"/>
                <w:color w:val="auto"/>
              </w:rPr>
            </w:pPr>
            <w:r>
              <w:rPr>
                <w:rFonts w:ascii="Arial" w:cs="Arial" w:eastAsia="Arial" w:hAnsi="Arial"/>
                <w:sz w:val="32"/>
                <w:szCs w:val="32"/>
                <w:b w:val="1"/>
                <w:bCs w:val="1"/>
                <w:color w:val="auto"/>
              </w:rPr>
              <w:t>2</w:t>
            </w:r>
          </w:p>
        </w:tc>
        <w:tc>
          <w:tcPr>
            <w:tcW w:w="500" w:type="dxa"/>
            <w:vAlign w:val="bottom"/>
          </w:tcPr>
          <w:p>
            <w:pPr>
              <w:ind w:left="240"/>
              <w:spacing w:after="0"/>
              <w:rPr>
                <w:sz w:val="20"/>
                <w:szCs w:val="20"/>
                <w:color w:val="auto"/>
              </w:rPr>
            </w:pPr>
            <w:r>
              <w:rPr>
                <w:rFonts w:ascii="Arial" w:cs="Arial" w:eastAsia="Arial" w:hAnsi="Arial"/>
                <w:sz w:val="18"/>
                <w:szCs w:val="18"/>
                <w:color w:val="auto"/>
              </w:rPr>
              <w:t>(a)</w:t>
            </w:r>
          </w:p>
        </w:tc>
        <w:tc>
          <w:tcPr>
            <w:tcW w:w="10060" w:type="dxa"/>
            <w:vAlign w:val="bottom"/>
          </w:tcPr>
          <w:p>
            <w:pPr>
              <w:ind w:left="8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6"/>
        </w:trPr>
        <w:tc>
          <w:tcPr>
            <w:tcW w:w="680" w:type="dxa"/>
            <w:vAlign w:val="bottom"/>
            <w:tcBorders>
              <w:bottom w:val="single" w:sz="8" w:color="auto"/>
            </w:tcBorders>
            <w:vMerge w:val="continue"/>
          </w:tcPr>
          <w:p>
            <w:pPr>
              <w:spacing w:after="0"/>
              <w:rPr>
                <w:sz w:val="22"/>
                <w:szCs w:val="22"/>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(b)</w:t>
            </w:r>
          </w:p>
        </w:tc>
        <w:tc>
          <w:tcPr>
            <w:tcW w:w="100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63"/>
        </w:trPr>
        <w:tc>
          <w:tcPr>
            <w:tcW w:w="680" w:type="dxa"/>
            <w:vAlign w:val="bottom"/>
          </w:tcPr>
          <w:p>
            <w:pPr>
              <w:spacing w:after="0"/>
              <w:rPr>
                <w:sz w:val="22"/>
                <w:szCs w:val="22"/>
                <w:color w:val="auto"/>
              </w:rPr>
            </w:pPr>
          </w:p>
        </w:tc>
        <w:tc>
          <w:tcPr>
            <w:tcW w:w="10560" w:type="dxa"/>
            <w:vAlign w:val="bottom"/>
            <w:gridSpan w:val="2"/>
          </w:tcPr>
          <w:p>
            <w:pPr>
              <w:ind w:left="24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500"/>
        </w:trPr>
        <w:tc>
          <w:tcPr>
            <w:tcW w:w="680" w:type="dxa"/>
            <w:vAlign w:val="bottom"/>
            <w:tcBorders>
              <w:bottom w:val="single" w:sz="8" w:color="auto"/>
            </w:tcBorders>
          </w:tcPr>
          <w:p>
            <w:pPr>
              <w:jc w:val="right"/>
              <w:ind w:right="58"/>
              <w:spacing w:after="0"/>
              <w:rPr>
                <w:sz w:val="20"/>
                <w:szCs w:val="20"/>
                <w:color w:val="auto"/>
              </w:rPr>
            </w:pPr>
            <w:r>
              <w:rPr>
                <w:rFonts w:ascii="Arial" w:cs="Arial" w:eastAsia="Arial" w:hAnsi="Arial"/>
                <w:sz w:val="32"/>
                <w:szCs w:val="32"/>
                <w:b w:val="1"/>
                <w:bCs w:val="1"/>
                <w:color w:val="auto"/>
              </w:rPr>
              <w:t>3</w:t>
            </w:r>
          </w:p>
        </w:tc>
        <w:tc>
          <w:tcPr>
            <w:tcW w:w="500" w:type="dxa"/>
            <w:vAlign w:val="bottom"/>
            <w:tcBorders>
              <w:bottom w:val="single" w:sz="8" w:color="auto"/>
            </w:tcBorders>
          </w:tcPr>
          <w:p>
            <w:pPr>
              <w:spacing w:after="0"/>
              <w:rPr>
                <w:sz w:val="24"/>
                <w:szCs w:val="24"/>
                <w:color w:val="auto"/>
              </w:rPr>
            </w:pPr>
          </w:p>
        </w:tc>
        <w:tc>
          <w:tcPr>
            <w:tcW w:w="10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80" w:type="dxa"/>
            <w:vAlign w:val="bottom"/>
          </w:tcPr>
          <w:p>
            <w:pPr>
              <w:spacing w:after="0"/>
              <w:rPr>
                <w:sz w:val="22"/>
                <w:szCs w:val="22"/>
                <w:color w:val="auto"/>
              </w:rPr>
            </w:pPr>
          </w:p>
        </w:tc>
        <w:tc>
          <w:tcPr>
            <w:tcW w:w="10560" w:type="dxa"/>
            <w:vAlign w:val="bottom"/>
            <w:gridSpan w:val="2"/>
          </w:tcPr>
          <w:p>
            <w:pPr>
              <w:ind w:left="24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920" w:hanging="627"/>
        <w:spacing w:after="0"/>
        <w:tabs>
          <w:tab w:leader="none" w:pos="920" w:val="left"/>
        </w:tabs>
        <w:numPr>
          <w:ilvl w:val="0"/>
          <w:numId w:val="4"/>
        </w:numPr>
        <w:rPr>
          <w:rFonts w:ascii="Arial" w:cs="Arial" w:eastAsia="Arial" w:hAnsi="Arial"/>
          <w:sz w:val="32"/>
          <w:szCs w:val="32"/>
          <w:b w:val="1"/>
          <w:bCs w:val="1"/>
          <w:color w:val="auto"/>
        </w:rPr>
      </w:pPr>
      <w:r>
        <w:rPr>
          <w:rFonts w:ascii="Arial" w:cs="Arial" w:eastAsia="Arial" w:hAnsi="Arial"/>
          <w:sz w:val="18"/>
          <w:szCs w:val="18"/>
          <w:color w:val="auto"/>
        </w:rPr>
        <w:t>United States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48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2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99"/>
        </w:trPr>
        <w:tc>
          <w:tcPr>
            <w:tcW w:w="148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2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420000</w:t>
            </w:r>
          </w:p>
        </w:tc>
        <w:tc>
          <w:tcPr>
            <w:tcW w:w="0" w:type="dxa"/>
            <w:vAlign w:val="bottom"/>
          </w:tcPr>
          <w:p>
            <w:pPr>
              <w:spacing w:after="0"/>
              <w:rPr>
                <w:sz w:val="1"/>
                <w:szCs w:val="1"/>
                <w:color w:val="auto"/>
              </w:rPr>
            </w:pPr>
          </w:p>
        </w:tc>
      </w:tr>
      <w:tr>
        <w:trPr>
          <w:trHeight w:val="263"/>
        </w:trPr>
        <w:tc>
          <w:tcPr>
            <w:tcW w:w="148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2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499"/>
        </w:trPr>
        <w:tc>
          <w:tcPr>
            <w:tcW w:w="148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2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3545396</w:t>
            </w:r>
          </w:p>
        </w:tc>
        <w:tc>
          <w:tcPr>
            <w:tcW w:w="0" w:type="dxa"/>
            <w:vAlign w:val="bottom"/>
          </w:tcPr>
          <w:p>
            <w:pPr>
              <w:spacing w:after="0"/>
              <w:rPr>
                <w:sz w:val="1"/>
                <w:szCs w:val="1"/>
                <w:color w:val="auto"/>
              </w:rPr>
            </w:pPr>
          </w:p>
        </w:tc>
      </w:tr>
      <w:tr>
        <w:trPr>
          <w:trHeight w:val="222"/>
        </w:trPr>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22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540" w:type="dxa"/>
            <w:vAlign w:val="bottom"/>
            <w:tcBorders>
              <w:right w:val="single" w:sz="8" w:color="auto"/>
            </w:tcBorders>
            <w:vMerge w:val="continue"/>
          </w:tcPr>
          <w:p>
            <w:pPr>
              <w:spacing w:after="0"/>
              <w:rPr>
                <w:sz w:val="22"/>
                <w:szCs w:val="22"/>
                <w:color w:val="auto"/>
              </w:rPr>
            </w:pPr>
          </w:p>
        </w:tc>
        <w:tc>
          <w:tcPr>
            <w:tcW w:w="9220" w:type="dxa"/>
            <w:vAlign w:val="bottom"/>
          </w:tcPr>
          <w:p>
            <w:pPr>
              <w:ind w:left="120"/>
              <w:spacing w:after="0"/>
              <w:rPr>
                <w:sz w:val="20"/>
                <w:szCs w:val="20"/>
                <w:color w:val="auto"/>
              </w:rPr>
            </w:pPr>
            <w:r>
              <w:rPr>
                <w:rFonts w:ascii="Arial" w:cs="Arial" w:eastAsia="Arial" w:hAnsi="Arial"/>
                <w:sz w:val="18"/>
                <w:szCs w:val="18"/>
                <w:color w:val="auto"/>
              </w:rPr>
              <w:t>420000</w:t>
            </w:r>
          </w:p>
        </w:tc>
        <w:tc>
          <w:tcPr>
            <w:tcW w:w="0" w:type="dxa"/>
            <w:vAlign w:val="bottom"/>
          </w:tcPr>
          <w:p>
            <w:pPr>
              <w:spacing w:after="0"/>
              <w:rPr>
                <w:sz w:val="1"/>
                <w:szCs w:val="1"/>
                <w:color w:val="auto"/>
              </w:rPr>
            </w:pPr>
          </w:p>
        </w:tc>
      </w:tr>
      <w:tr>
        <w:trPr>
          <w:trHeight w:val="68"/>
        </w:trPr>
        <w:tc>
          <w:tcPr>
            <w:tcW w:w="1480" w:type="dxa"/>
            <w:vAlign w:val="bottom"/>
            <w:tcBorders>
              <w:right w:val="single" w:sz="8" w:color="auto"/>
            </w:tcBorders>
            <w:vMerge w:val="restart"/>
          </w:tcPr>
          <w:p>
            <w:pPr>
              <w:jc w:val="center"/>
              <w:spacing w:after="0" w:line="175"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5"/>
                <w:szCs w:val="5"/>
                <w:color w:val="auto"/>
              </w:rPr>
            </w:pPr>
          </w:p>
        </w:tc>
        <w:tc>
          <w:tcPr>
            <w:tcW w:w="9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148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2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EACH</w:t>
            </w:r>
          </w:p>
        </w:tc>
        <w:tc>
          <w:tcPr>
            <w:tcW w:w="540" w:type="dxa"/>
            <w:vAlign w:val="bottom"/>
            <w:tcBorders>
              <w:right w:val="single" w:sz="8" w:color="auto"/>
            </w:tcBorders>
          </w:tcPr>
          <w:p>
            <w:pPr>
              <w:spacing w:after="0"/>
              <w:rPr>
                <w:sz w:val="18"/>
                <w:szCs w:val="18"/>
                <w:color w:val="auto"/>
              </w:rPr>
            </w:pPr>
          </w:p>
        </w:tc>
        <w:tc>
          <w:tcPr>
            <w:tcW w:w="9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2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3545396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9970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997075"/>
                    </a:xfrm>
                    <a:prstGeom prst="rect">
                      <a:avLst/>
                    </a:prstGeom>
                    <a:noFill/>
                  </pic:spPr>
                </pic:pic>
              </a:graphicData>
            </a:graphic>
          </wp:anchor>
        </w:drawing>
      </w:r>
    </w:p>
    <w:p>
      <w:pPr>
        <w:spacing w:after="0" w:line="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1" w:lineRule="exact"/>
        <w:rPr>
          <w:sz w:val="20"/>
          <w:szCs w:val="20"/>
          <w:color w:val="auto"/>
        </w:rPr>
      </w:pPr>
    </w:p>
    <w:p>
      <w:pPr>
        <w:ind w:left="920" w:hanging="627"/>
        <w:spacing w:after="0"/>
        <w:tabs>
          <w:tab w:leader="none" w:pos="920" w:val="left"/>
        </w:tabs>
        <w:numPr>
          <w:ilvl w:val="0"/>
          <w:numId w:val="5"/>
        </w:numPr>
        <w:rPr>
          <w:rFonts w:ascii="Arial" w:cs="Arial" w:eastAsia="Arial" w:hAnsi="Arial"/>
          <w:sz w:val="32"/>
          <w:szCs w:val="32"/>
          <w:b w:val="1"/>
          <w:bCs w:val="1"/>
          <w:color w:val="auto"/>
        </w:rPr>
      </w:pPr>
      <w:r>
        <w:rPr>
          <w:rFonts w:ascii="Arial" w:cs="Arial" w:eastAsia="Arial" w:hAnsi="Arial"/>
          <w:sz w:val="18"/>
          <w:szCs w:val="18"/>
          <w:color w:val="auto"/>
        </w:rPr>
        <w:t>3965396</w:t>
      </w:r>
    </w:p>
    <w:p>
      <w:pPr>
        <w:spacing w:after="0" w:line="66" w:lineRule="exact"/>
        <w:rPr>
          <w:rFonts w:ascii="Arial" w:cs="Arial" w:eastAsia="Arial" w:hAnsi="Arial"/>
          <w:sz w:val="32"/>
          <w:szCs w:val="32"/>
          <w:b w:val="1"/>
          <w:bCs w:val="1"/>
          <w:color w:val="auto"/>
        </w:rPr>
      </w:pPr>
    </w:p>
    <w:p>
      <w:pPr>
        <w:ind w:left="92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ind w:left="220"/>
        <w:spacing w:after="0" w:line="212" w:lineRule="auto"/>
        <w:tabs>
          <w:tab w:leader="none" w:pos="90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8"/>
          <w:szCs w:val="18"/>
          <w:color w:val="auto"/>
        </w:rPr>
        <w:t>o</w:t>
      </w:r>
    </w:p>
    <w:p>
      <w:pPr>
        <w:spacing w:after="0" w:line="2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PERCENT OF CLASS REPRESENTED BY AMOUNT IN ROW (9)</w:t>
      </w:r>
    </w:p>
    <w:p>
      <w:pPr>
        <w:ind w:left="220"/>
        <w:spacing w:after="0" w:line="217" w:lineRule="auto"/>
        <w:tabs>
          <w:tab w:leader="none" w:pos="90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8"/>
          <w:szCs w:val="18"/>
          <w:color w:val="auto"/>
        </w:rPr>
        <w:t>9.0%</w:t>
      </w:r>
    </w:p>
    <w:p>
      <w:pPr>
        <w:spacing w:after="0" w:line="2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TYPE OF REPORTING PERSON (SEE INSTRUCTIONS)</w:t>
      </w:r>
    </w:p>
    <w:p>
      <w:pPr>
        <w:ind w:left="220"/>
        <w:spacing w:after="0" w:line="217" w:lineRule="auto"/>
        <w:tabs>
          <w:tab w:leader="none" w:pos="90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8"/>
          <w:szCs w:val="18"/>
          <w:color w:val="auto"/>
        </w:rPr>
        <w:t>IN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FOOTNOTES</w:t>
      </w:r>
    </w:p>
    <w:p>
      <w:pPr>
        <w:spacing w:after="0" w:line="279" w:lineRule="exact"/>
        <w:rPr>
          <w:sz w:val="20"/>
          <w:szCs w:val="20"/>
          <w:color w:val="auto"/>
        </w:rPr>
      </w:pPr>
    </w:p>
    <w:p>
      <w:pPr>
        <w:ind w:left="920" w:right="180"/>
        <w:spacing w:after="0" w:line="279" w:lineRule="auto"/>
        <w:rPr>
          <w:sz w:val="20"/>
          <w:szCs w:val="20"/>
          <w:color w:val="auto"/>
        </w:rPr>
      </w:pPr>
      <w:r>
        <w:rPr>
          <w:rFonts w:ascii="Arial" w:cs="Arial" w:eastAsia="Arial" w:hAnsi="Arial"/>
          <w:sz w:val="17"/>
          <w:szCs w:val="17"/>
          <w:color w:val="auto"/>
        </w:rPr>
        <w:t>BML Investment Partners, L.P. is a Delaware limited partnership whose sole general partner is BML Capital Management, LLC. The managing member of BML Capital Management, LLC is Braden M. Leonard. As a result, Braden M. Leonard is deemed to be the indirect owner of the shares held directly by BML Investment Partners, L.P. Despite such shared beneficial ownership, the reporting persons disclaim that they constitute a statutory group within the meaning of Rule 13d-5(b)(1)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1.</w:t>
      </w:r>
    </w:p>
    <w:p>
      <w:pPr>
        <w:spacing w:after="0" w:line="256" w:lineRule="exact"/>
        <w:rPr>
          <w:sz w:val="20"/>
          <w:szCs w:val="20"/>
          <w:color w:val="auto"/>
        </w:rPr>
      </w:pPr>
    </w:p>
    <w:p>
      <w:pPr>
        <w:ind w:left="1300" w:right="8780" w:hanging="644"/>
        <w:spacing w:after="0" w:line="308" w:lineRule="auto"/>
        <w:tabs>
          <w:tab w:leader="none" w:pos="1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Name of Issuer AVROBIO, Inc.</w:t>
      </w:r>
    </w:p>
    <w:p>
      <w:pPr>
        <w:spacing w:after="0" w:line="173" w:lineRule="exact"/>
        <w:rPr>
          <w:rFonts w:ascii="Arial" w:cs="Arial" w:eastAsia="Arial" w:hAnsi="Arial"/>
          <w:sz w:val="17"/>
          <w:szCs w:val="17"/>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100 Technology Square, Sixth Floor, Cambridge, MA 02139</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56"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BML Investment Partners, L.P.</w:t>
      </w:r>
    </w:p>
    <w:p>
      <w:pPr>
        <w:spacing w:after="0" w:line="237" w:lineRule="exact"/>
        <w:rPr>
          <w:rFonts w:ascii="Arial" w:cs="Arial" w:eastAsia="Arial" w:hAnsi="Arial"/>
          <w:sz w:val="18"/>
          <w:szCs w:val="18"/>
          <w:color w:val="auto"/>
        </w:rPr>
      </w:pPr>
    </w:p>
    <w:p>
      <w:pPr>
        <w:ind w:left="1300" w:right="5660" w:hanging="644"/>
        <w:spacing w:after="0" w:line="258"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65 E Cedar, Suite 2</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Zionsville, IN 46077</w:t>
      </w:r>
    </w:p>
    <w:p>
      <w:pPr>
        <w:spacing w:after="0" w:line="237" w:lineRule="exact"/>
        <w:rPr>
          <w:rFonts w:ascii="Arial" w:cs="Arial" w:eastAsia="Arial" w:hAnsi="Arial"/>
          <w:sz w:val="18"/>
          <w:szCs w:val="18"/>
          <w:color w:val="auto"/>
        </w:rPr>
      </w:pPr>
    </w:p>
    <w:p>
      <w:pPr>
        <w:ind w:left="1300" w:right="912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Citizenship Delaware</w:t>
      </w:r>
    </w:p>
    <w:p>
      <w:pPr>
        <w:spacing w:after="0" w:line="150" w:lineRule="exact"/>
        <w:rPr>
          <w:rFonts w:ascii="Arial" w:cs="Arial" w:eastAsia="Arial" w:hAnsi="Arial"/>
          <w:sz w:val="16"/>
          <w:szCs w:val="16"/>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Common Stock, par value $0.0001 per share</w:t>
      </w:r>
    </w:p>
    <w:p>
      <w:pPr>
        <w:spacing w:after="0" w:line="237" w:lineRule="exact"/>
        <w:rPr>
          <w:rFonts w:ascii="Arial" w:cs="Arial" w:eastAsia="Arial" w:hAnsi="Arial"/>
          <w:sz w:val="18"/>
          <w:szCs w:val="18"/>
          <w:color w:val="auto"/>
        </w:rPr>
      </w:pPr>
    </w:p>
    <w:p>
      <w:pPr>
        <w:ind w:left="1300" w:right="880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CUSIP Number 05455M100</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56"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(a)</w:t>
            </w:r>
          </w:p>
        </w:tc>
        <w:tc>
          <w:tcPr>
            <w:tcW w:w="600" w:type="dxa"/>
            <w:vAlign w:val="bottom"/>
          </w:tcPr>
          <w:p>
            <w:pPr>
              <w:ind w:left="220"/>
              <w:spacing w:after="0"/>
              <w:rPr>
                <w:sz w:val="20"/>
                <w:szCs w:val="20"/>
                <w:color w:val="auto"/>
              </w:rPr>
            </w:pPr>
            <w:r>
              <w:rPr>
                <w:rFonts w:ascii="Arial" w:cs="Arial" w:eastAsia="Arial" w:hAnsi="Arial"/>
                <w:sz w:val="18"/>
                <w:szCs w:val="18"/>
                <w:color w:val="auto"/>
              </w:rPr>
              <w:t>o</w:t>
            </w:r>
          </w:p>
        </w:tc>
        <w:tc>
          <w:tcPr>
            <w:tcW w:w="7940" w:type="dxa"/>
            <w:vAlign w:val="bottom"/>
          </w:tcPr>
          <w:p>
            <w:pPr>
              <w:ind w:left="280"/>
              <w:spacing w:after="0"/>
              <w:rPr>
                <w:sz w:val="20"/>
                <w:szCs w:val="20"/>
                <w:color w:val="auto"/>
              </w:rPr>
            </w:pPr>
            <w:r>
              <w:rPr>
                <w:rFonts w:ascii="Arial" w:cs="Arial" w:eastAsia="Arial" w:hAnsi="Arial"/>
                <w:sz w:val="18"/>
                <w:szCs w:val="18"/>
                <w:color w:val="auto"/>
              </w:rPr>
              <w:t>Broker or dealer registered under section 15 of the Act (15 U.S.C. 78o).</w:t>
            </w:r>
          </w:p>
        </w:tc>
      </w:tr>
      <w:tr>
        <w:trPr>
          <w:trHeight w:val="459"/>
        </w:trPr>
        <w:tc>
          <w:tcPr>
            <w:tcW w:w="420" w:type="dxa"/>
            <w:vAlign w:val="bottom"/>
          </w:tcPr>
          <w:p>
            <w:pPr>
              <w:spacing w:after="0"/>
              <w:rPr>
                <w:sz w:val="20"/>
                <w:szCs w:val="20"/>
                <w:color w:val="auto"/>
              </w:rPr>
            </w:pPr>
            <w:r>
              <w:rPr>
                <w:rFonts w:ascii="Arial" w:cs="Arial" w:eastAsia="Arial" w:hAnsi="Arial"/>
                <w:sz w:val="18"/>
                <w:szCs w:val="18"/>
                <w:color w:val="auto"/>
              </w:rPr>
              <w:t>(b)</w:t>
            </w:r>
          </w:p>
        </w:tc>
        <w:tc>
          <w:tcPr>
            <w:tcW w:w="600" w:type="dxa"/>
            <w:vAlign w:val="bottom"/>
          </w:tcPr>
          <w:p>
            <w:pPr>
              <w:ind w:left="220"/>
              <w:spacing w:after="0"/>
              <w:rPr>
                <w:sz w:val="20"/>
                <w:szCs w:val="20"/>
                <w:color w:val="auto"/>
              </w:rPr>
            </w:pPr>
            <w:r>
              <w:rPr>
                <w:rFonts w:ascii="Arial" w:cs="Arial" w:eastAsia="Arial" w:hAnsi="Arial"/>
                <w:sz w:val="18"/>
                <w:szCs w:val="18"/>
                <w:color w:val="auto"/>
              </w:rPr>
              <w:t>o</w:t>
            </w:r>
          </w:p>
        </w:tc>
        <w:tc>
          <w:tcPr>
            <w:tcW w:w="7940" w:type="dxa"/>
            <w:vAlign w:val="bottom"/>
          </w:tcPr>
          <w:p>
            <w:pPr>
              <w:ind w:left="280"/>
              <w:spacing w:after="0"/>
              <w:rPr>
                <w:sz w:val="20"/>
                <w:szCs w:val="20"/>
                <w:color w:val="auto"/>
              </w:rPr>
            </w:pPr>
            <w:r>
              <w:rPr>
                <w:rFonts w:ascii="Arial" w:cs="Arial" w:eastAsia="Arial" w:hAnsi="Arial"/>
                <w:sz w:val="18"/>
                <w:szCs w:val="18"/>
                <w:color w:val="auto"/>
              </w:rPr>
              <w:t>Bank as defined in section 3(a)(6) of the Act (15 U.S.C. 78c).</w:t>
            </w:r>
          </w:p>
        </w:tc>
      </w:tr>
      <w:tr>
        <w:trPr>
          <w:trHeight w:val="459"/>
        </w:trPr>
        <w:tc>
          <w:tcPr>
            <w:tcW w:w="420" w:type="dxa"/>
            <w:vAlign w:val="bottom"/>
          </w:tcPr>
          <w:p>
            <w:pPr>
              <w:spacing w:after="0"/>
              <w:rPr>
                <w:sz w:val="20"/>
                <w:szCs w:val="20"/>
                <w:color w:val="auto"/>
              </w:rPr>
            </w:pPr>
            <w:r>
              <w:rPr>
                <w:rFonts w:ascii="Arial" w:cs="Arial" w:eastAsia="Arial" w:hAnsi="Arial"/>
                <w:sz w:val="18"/>
                <w:szCs w:val="18"/>
                <w:color w:val="auto"/>
              </w:rPr>
              <w:t>(c)</w:t>
            </w:r>
          </w:p>
        </w:tc>
        <w:tc>
          <w:tcPr>
            <w:tcW w:w="600" w:type="dxa"/>
            <w:vAlign w:val="bottom"/>
          </w:tcPr>
          <w:p>
            <w:pPr>
              <w:ind w:left="220"/>
              <w:spacing w:after="0"/>
              <w:rPr>
                <w:sz w:val="20"/>
                <w:szCs w:val="20"/>
                <w:color w:val="auto"/>
              </w:rPr>
            </w:pPr>
            <w:r>
              <w:rPr>
                <w:rFonts w:ascii="Arial" w:cs="Arial" w:eastAsia="Arial" w:hAnsi="Arial"/>
                <w:sz w:val="18"/>
                <w:szCs w:val="18"/>
                <w:color w:val="auto"/>
              </w:rPr>
              <w:t>o</w:t>
            </w:r>
          </w:p>
        </w:tc>
        <w:tc>
          <w:tcPr>
            <w:tcW w:w="7940" w:type="dxa"/>
            <w:vAlign w:val="bottom"/>
          </w:tcPr>
          <w:p>
            <w:pPr>
              <w:ind w:left="280"/>
              <w:spacing w:after="0"/>
              <w:rPr>
                <w:sz w:val="20"/>
                <w:szCs w:val="20"/>
                <w:color w:val="auto"/>
              </w:rPr>
            </w:pPr>
            <w:r>
              <w:rPr>
                <w:rFonts w:ascii="Arial" w:cs="Arial" w:eastAsia="Arial" w:hAnsi="Arial"/>
                <w:sz w:val="18"/>
                <w:szCs w:val="18"/>
                <w:color w:val="auto"/>
              </w:rPr>
              <w:t>Insurance company as defined in section 3(a)(19) of the Act (15 U.S.C. 78c).</w:t>
            </w:r>
          </w:p>
        </w:tc>
      </w:tr>
      <w:tr>
        <w:trPr>
          <w:trHeight w:val="459"/>
        </w:trPr>
        <w:tc>
          <w:tcPr>
            <w:tcW w:w="420" w:type="dxa"/>
            <w:vAlign w:val="bottom"/>
          </w:tcPr>
          <w:p>
            <w:pPr>
              <w:spacing w:after="0"/>
              <w:rPr>
                <w:sz w:val="20"/>
                <w:szCs w:val="20"/>
                <w:color w:val="auto"/>
              </w:rPr>
            </w:pPr>
            <w:r>
              <w:rPr>
                <w:rFonts w:ascii="Arial" w:cs="Arial" w:eastAsia="Arial" w:hAnsi="Arial"/>
                <w:sz w:val="18"/>
                <w:szCs w:val="18"/>
                <w:color w:val="auto"/>
              </w:rPr>
              <w:t>(d)</w:t>
            </w:r>
          </w:p>
        </w:tc>
        <w:tc>
          <w:tcPr>
            <w:tcW w:w="600" w:type="dxa"/>
            <w:vAlign w:val="bottom"/>
          </w:tcPr>
          <w:p>
            <w:pPr>
              <w:ind w:left="220"/>
              <w:spacing w:after="0"/>
              <w:rPr>
                <w:sz w:val="20"/>
                <w:szCs w:val="20"/>
                <w:color w:val="auto"/>
              </w:rPr>
            </w:pPr>
            <w:r>
              <w:rPr>
                <w:rFonts w:ascii="Arial" w:cs="Arial" w:eastAsia="Arial" w:hAnsi="Arial"/>
                <w:sz w:val="18"/>
                <w:szCs w:val="18"/>
                <w:color w:val="auto"/>
              </w:rPr>
              <w:t>o</w:t>
            </w:r>
          </w:p>
        </w:tc>
        <w:tc>
          <w:tcPr>
            <w:tcW w:w="7940" w:type="dxa"/>
            <w:vAlign w:val="bottom"/>
          </w:tcPr>
          <w:p>
            <w:pPr>
              <w:ind w:left="280"/>
              <w:spacing w:after="0"/>
              <w:rPr>
                <w:sz w:val="20"/>
                <w:szCs w:val="20"/>
                <w:color w:val="auto"/>
              </w:rPr>
            </w:pPr>
            <w:r>
              <w:rPr>
                <w:rFonts w:ascii="Arial" w:cs="Arial" w:eastAsia="Arial" w:hAnsi="Arial"/>
                <w:sz w:val="18"/>
                <w:szCs w:val="18"/>
                <w:color w:val="auto"/>
                <w:w w:val="90"/>
              </w:rPr>
              <w:t>Investment company registered under section 8 of the Investment Company Act of 1940 (15 U.S.C 80a-8).</w:t>
            </w:r>
          </w:p>
        </w:tc>
      </w:tr>
    </w:tbl>
    <w:p>
      <w:pPr>
        <w:spacing w:after="0" w:line="229"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80" w:type="dxa"/>
            <w:vAlign w:val="bottom"/>
          </w:tcPr>
          <w:p>
            <w:pPr>
              <w:ind w:left="660"/>
              <w:spacing w:after="0"/>
              <w:rPr>
                <w:sz w:val="20"/>
                <w:szCs w:val="20"/>
                <w:color w:val="auto"/>
              </w:rPr>
            </w:pPr>
            <w:r>
              <w:rPr>
                <w:rFonts w:ascii="Arial" w:cs="Arial" w:eastAsia="Arial" w:hAnsi="Arial"/>
                <w:sz w:val="18"/>
                <w:szCs w:val="18"/>
                <w:color w:val="auto"/>
              </w:rPr>
              <w:t>(g)</w:t>
            </w:r>
          </w:p>
        </w:tc>
        <w:tc>
          <w:tcPr>
            <w:tcW w:w="600" w:type="dxa"/>
            <w:vAlign w:val="bottom"/>
          </w:tcPr>
          <w:p>
            <w:pPr>
              <w:ind w:left="220"/>
              <w:spacing w:after="0"/>
              <w:rPr>
                <w:sz w:val="20"/>
                <w:szCs w:val="20"/>
                <w:color w:val="auto"/>
              </w:rPr>
            </w:pPr>
            <w:r>
              <w:rPr>
                <w:rFonts w:ascii="Arial" w:cs="Arial" w:eastAsia="Arial" w:hAnsi="Arial"/>
                <w:sz w:val="18"/>
                <w:szCs w:val="18"/>
                <w:color w:val="auto"/>
              </w:rPr>
              <w:t>o</w:t>
            </w:r>
          </w:p>
        </w:tc>
        <w:tc>
          <w:tcPr>
            <w:tcW w:w="9560" w:type="dxa"/>
            <w:vAlign w:val="bottom"/>
          </w:tcPr>
          <w:p>
            <w:pPr>
              <w:ind w:left="280"/>
              <w:spacing w:after="0"/>
              <w:rPr>
                <w:sz w:val="20"/>
                <w:szCs w:val="20"/>
                <w:color w:val="auto"/>
              </w:rPr>
            </w:pPr>
            <w:r>
              <w:rPr>
                <w:rFonts w:ascii="Arial" w:cs="Arial" w:eastAsia="Arial" w:hAnsi="Arial"/>
                <w:sz w:val="18"/>
                <w:szCs w:val="18"/>
                <w:color w:val="auto"/>
              </w:rPr>
              <w:t>A parent holding company or control person in accordance with § 240.13d-1(b)(1)(ii)(G);</w:t>
            </w:r>
          </w:p>
        </w:tc>
      </w:tr>
      <w:tr>
        <w:trPr>
          <w:trHeight w:val="459"/>
        </w:trPr>
        <w:tc>
          <w:tcPr>
            <w:tcW w:w="1080" w:type="dxa"/>
            <w:vAlign w:val="bottom"/>
          </w:tcPr>
          <w:p>
            <w:pPr>
              <w:ind w:left="660"/>
              <w:spacing w:after="0"/>
              <w:rPr>
                <w:sz w:val="20"/>
                <w:szCs w:val="20"/>
                <w:color w:val="auto"/>
              </w:rPr>
            </w:pPr>
            <w:r>
              <w:rPr>
                <w:rFonts w:ascii="Arial" w:cs="Arial" w:eastAsia="Arial" w:hAnsi="Arial"/>
                <w:sz w:val="18"/>
                <w:szCs w:val="18"/>
                <w:color w:val="auto"/>
              </w:rPr>
              <w:t>(h)</w:t>
            </w:r>
          </w:p>
        </w:tc>
        <w:tc>
          <w:tcPr>
            <w:tcW w:w="600" w:type="dxa"/>
            <w:vAlign w:val="bottom"/>
          </w:tcPr>
          <w:p>
            <w:pPr>
              <w:ind w:left="220"/>
              <w:spacing w:after="0"/>
              <w:rPr>
                <w:sz w:val="20"/>
                <w:szCs w:val="20"/>
                <w:color w:val="auto"/>
              </w:rPr>
            </w:pPr>
            <w:r>
              <w:rPr>
                <w:rFonts w:ascii="Arial" w:cs="Arial" w:eastAsia="Arial" w:hAnsi="Arial"/>
                <w:sz w:val="18"/>
                <w:szCs w:val="18"/>
                <w:color w:val="auto"/>
              </w:rPr>
              <w:t>o</w:t>
            </w:r>
          </w:p>
        </w:tc>
        <w:tc>
          <w:tcPr>
            <w:tcW w:w="9560" w:type="dxa"/>
            <w:vAlign w:val="bottom"/>
          </w:tcPr>
          <w:p>
            <w:pPr>
              <w:ind w:left="280"/>
              <w:spacing w:after="0"/>
              <w:rPr>
                <w:sz w:val="20"/>
                <w:szCs w:val="20"/>
                <w:color w:val="auto"/>
              </w:rPr>
            </w:pPr>
            <w:r>
              <w:rPr>
                <w:rFonts w:ascii="Arial" w:cs="Arial" w:eastAsia="Arial" w:hAnsi="Arial"/>
                <w:sz w:val="18"/>
                <w:szCs w:val="18"/>
                <w:color w:val="auto"/>
              </w:rPr>
              <w:t>A savings associations as defined in Section 3(b) of the Federal Deposit Insurance Act (12 U.S.C. 1813);</w:t>
            </w:r>
          </w:p>
        </w:tc>
      </w:tr>
      <w:tr>
        <w:trPr>
          <w:trHeight w:val="445"/>
        </w:trPr>
        <w:tc>
          <w:tcPr>
            <w:tcW w:w="1080" w:type="dxa"/>
            <w:vAlign w:val="bottom"/>
          </w:tcPr>
          <w:p>
            <w:pPr>
              <w:ind w:left="660"/>
              <w:spacing w:after="0"/>
              <w:rPr>
                <w:sz w:val="20"/>
                <w:szCs w:val="20"/>
                <w:color w:val="auto"/>
              </w:rPr>
            </w:pPr>
            <w:r>
              <w:rPr>
                <w:rFonts w:ascii="Arial" w:cs="Arial" w:eastAsia="Arial" w:hAnsi="Arial"/>
                <w:sz w:val="18"/>
                <w:szCs w:val="18"/>
                <w:color w:val="auto"/>
              </w:rPr>
              <w:t>(i)</w:t>
            </w:r>
          </w:p>
        </w:tc>
        <w:tc>
          <w:tcPr>
            <w:tcW w:w="600" w:type="dxa"/>
            <w:vAlign w:val="bottom"/>
          </w:tcPr>
          <w:p>
            <w:pPr>
              <w:ind w:left="220"/>
              <w:spacing w:after="0"/>
              <w:rPr>
                <w:sz w:val="20"/>
                <w:szCs w:val="20"/>
                <w:color w:val="auto"/>
              </w:rPr>
            </w:pPr>
            <w:r>
              <w:rPr>
                <w:rFonts w:ascii="Arial" w:cs="Arial" w:eastAsia="Arial" w:hAnsi="Arial"/>
                <w:sz w:val="18"/>
                <w:szCs w:val="18"/>
                <w:color w:val="auto"/>
              </w:rPr>
              <w:t>o</w:t>
            </w:r>
          </w:p>
        </w:tc>
        <w:tc>
          <w:tcPr>
            <w:tcW w:w="9560" w:type="dxa"/>
            <w:vAlign w:val="bottom"/>
          </w:tcPr>
          <w:p>
            <w:pPr>
              <w:ind w:left="280"/>
              <w:spacing w:after="0"/>
              <w:rPr>
                <w:sz w:val="20"/>
                <w:szCs w:val="20"/>
                <w:color w:val="auto"/>
              </w:rPr>
            </w:pPr>
            <w:r>
              <w:rPr>
                <w:rFonts w:ascii="Arial" w:cs="Arial" w:eastAsia="Arial" w:hAnsi="Arial"/>
                <w:sz w:val="18"/>
                <w:szCs w:val="18"/>
                <w:color w:val="auto"/>
                <w:w w:val="91"/>
              </w:rPr>
              <w:t>A church plan that is excluded from the definition of an investment company under section 3(c)(14) of the Investment Company</w:t>
            </w:r>
          </w:p>
        </w:tc>
      </w:tr>
      <w:tr>
        <w:trPr>
          <w:trHeight w:val="230"/>
        </w:trPr>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560" w:type="dxa"/>
            <w:vAlign w:val="bottom"/>
          </w:tcPr>
          <w:p>
            <w:pPr>
              <w:ind w:left="280"/>
              <w:spacing w:after="0"/>
              <w:rPr>
                <w:sz w:val="20"/>
                <w:szCs w:val="20"/>
                <w:color w:val="auto"/>
              </w:rPr>
            </w:pPr>
            <w:r>
              <w:rPr>
                <w:rFonts w:ascii="Arial" w:cs="Arial" w:eastAsia="Arial" w:hAnsi="Arial"/>
                <w:sz w:val="18"/>
                <w:szCs w:val="18"/>
                <w:color w:val="auto"/>
              </w:rPr>
              <w:t>Act of 1940 (15 U.S.C. 80a-3);</w:t>
            </w:r>
          </w:p>
        </w:tc>
      </w:tr>
      <w:tr>
        <w:trPr>
          <w:trHeight w:val="459"/>
        </w:trPr>
        <w:tc>
          <w:tcPr>
            <w:tcW w:w="1080" w:type="dxa"/>
            <w:vAlign w:val="bottom"/>
          </w:tcPr>
          <w:p>
            <w:pPr>
              <w:ind w:left="660"/>
              <w:spacing w:after="0"/>
              <w:rPr>
                <w:sz w:val="20"/>
                <w:szCs w:val="20"/>
                <w:color w:val="auto"/>
              </w:rPr>
            </w:pPr>
            <w:r>
              <w:rPr>
                <w:rFonts w:ascii="Arial" w:cs="Arial" w:eastAsia="Arial" w:hAnsi="Arial"/>
                <w:sz w:val="18"/>
                <w:szCs w:val="18"/>
                <w:color w:val="auto"/>
              </w:rPr>
              <w:t>(j)</w:t>
            </w:r>
          </w:p>
        </w:tc>
        <w:tc>
          <w:tcPr>
            <w:tcW w:w="600" w:type="dxa"/>
            <w:vAlign w:val="bottom"/>
          </w:tcPr>
          <w:p>
            <w:pPr>
              <w:ind w:left="220"/>
              <w:spacing w:after="0"/>
              <w:rPr>
                <w:sz w:val="20"/>
                <w:szCs w:val="20"/>
                <w:color w:val="auto"/>
              </w:rPr>
            </w:pPr>
            <w:r>
              <w:rPr>
                <w:rFonts w:ascii="Arial" w:cs="Arial" w:eastAsia="Arial" w:hAnsi="Arial"/>
                <w:sz w:val="18"/>
                <w:szCs w:val="18"/>
                <w:color w:val="auto"/>
              </w:rPr>
              <w:t>o</w:t>
            </w:r>
          </w:p>
        </w:tc>
        <w:tc>
          <w:tcPr>
            <w:tcW w:w="9560" w:type="dxa"/>
            <w:vAlign w:val="bottom"/>
          </w:tcPr>
          <w:p>
            <w:pPr>
              <w:ind w:left="280"/>
              <w:spacing w:after="0"/>
              <w:rPr>
                <w:sz w:val="20"/>
                <w:szCs w:val="20"/>
                <w:color w:val="auto"/>
              </w:rPr>
            </w:pPr>
            <w:r>
              <w:rPr>
                <w:rFonts w:ascii="Arial" w:cs="Arial" w:eastAsia="Arial" w:hAnsi="Arial"/>
                <w:sz w:val="18"/>
                <w:szCs w:val="18"/>
                <w:color w:val="auto"/>
              </w:rPr>
              <w:t>A non-U.S. institution in accordance with § 240.13d-1(b)(1)(ii)(J).</w:t>
            </w:r>
          </w:p>
        </w:tc>
      </w:tr>
      <w:tr>
        <w:trPr>
          <w:trHeight w:val="445"/>
        </w:trPr>
        <w:tc>
          <w:tcPr>
            <w:tcW w:w="1080" w:type="dxa"/>
            <w:vAlign w:val="bottom"/>
          </w:tcPr>
          <w:p>
            <w:pPr>
              <w:ind w:left="660"/>
              <w:spacing w:after="0"/>
              <w:rPr>
                <w:sz w:val="20"/>
                <w:szCs w:val="20"/>
                <w:color w:val="auto"/>
              </w:rPr>
            </w:pPr>
            <w:r>
              <w:rPr>
                <w:rFonts w:ascii="Arial" w:cs="Arial" w:eastAsia="Arial" w:hAnsi="Arial"/>
                <w:sz w:val="18"/>
                <w:szCs w:val="18"/>
                <w:color w:val="auto"/>
              </w:rPr>
              <w:t>(k)</w:t>
            </w:r>
          </w:p>
        </w:tc>
        <w:tc>
          <w:tcPr>
            <w:tcW w:w="600" w:type="dxa"/>
            <w:vAlign w:val="bottom"/>
          </w:tcPr>
          <w:p>
            <w:pPr>
              <w:ind w:left="220"/>
              <w:spacing w:after="0"/>
              <w:rPr>
                <w:sz w:val="20"/>
                <w:szCs w:val="20"/>
                <w:color w:val="auto"/>
              </w:rPr>
            </w:pPr>
            <w:r>
              <w:rPr>
                <w:rFonts w:ascii="Arial" w:cs="Arial" w:eastAsia="Arial" w:hAnsi="Arial"/>
                <w:sz w:val="18"/>
                <w:szCs w:val="18"/>
                <w:color w:val="auto"/>
              </w:rPr>
              <w:t>o</w:t>
            </w:r>
          </w:p>
        </w:tc>
        <w:tc>
          <w:tcPr>
            <w:tcW w:w="9560" w:type="dxa"/>
            <w:vAlign w:val="bottom"/>
          </w:tcPr>
          <w:p>
            <w:pPr>
              <w:ind w:left="280"/>
              <w:spacing w:after="0"/>
              <w:rPr>
                <w:sz w:val="20"/>
                <w:szCs w:val="20"/>
                <w:color w:val="auto"/>
              </w:rPr>
            </w:pPr>
            <w:r>
              <w:rPr>
                <w:rFonts w:ascii="Arial" w:cs="Arial" w:eastAsia="Arial" w:hAnsi="Arial"/>
                <w:sz w:val="18"/>
                <w:szCs w:val="18"/>
                <w:color w:val="auto"/>
                <w:w w:val="93"/>
              </w:rPr>
              <w:t>A group, in accordance with § 240.13d-1(b)(1)(ii)(K). If filing as a non-U.S. institution in accordance with § 240.13d-1(b)(1)(ii)</w:t>
            </w:r>
          </w:p>
        </w:tc>
      </w:tr>
      <w:tr>
        <w:trPr>
          <w:trHeight w:val="230"/>
        </w:trPr>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560" w:type="dxa"/>
            <w:vAlign w:val="bottom"/>
          </w:tcPr>
          <w:p>
            <w:pPr>
              <w:ind w:left="280"/>
              <w:spacing w:after="0"/>
              <w:rPr>
                <w:sz w:val="20"/>
                <w:szCs w:val="20"/>
                <w:color w:val="auto"/>
              </w:rPr>
            </w:pPr>
            <w:r>
              <w:rPr>
                <w:rFonts w:ascii="Arial" w:cs="Arial" w:eastAsia="Arial" w:hAnsi="Arial"/>
                <w:sz w:val="18"/>
                <w:szCs w:val="18"/>
                <w:color w:val="auto"/>
              </w:rPr>
              <w:t>(J), please specify the type of institution:</w:t>
            </w:r>
          </w:p>
        </w:tc>
      </w:tr>
      <w:tr>
        <w:trPr>
          <w:trHeight w:val="898"/>
        </w:trPr>
        <w:tc>
          <w:tcPr>
            <w:tcW w:w="10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4. Ownership.</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275"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beneficially owned: 3,965,396</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9.0%</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1960" w:hanging="656"/>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420,000</w:t>
      </w:r>
    </w:p>
    <w:p>
      <w:pPr>
        <w:spacing w:after="0" w:line="252" w:lineRule="exact"/>
        <w:rPr>
          <w:rFonts w:ascii="Arial" w:cs="Arial" w:eastAsia="Arial" w:hAnsi="Arial"/>
          <w:sz w:val="18"/>
          <w:szCs w:val="18"/>
          <w:color w:val="auto"/>
        </w:rPr>
      </w:pPr>
    </w:p>
    <w:p>
      <w:pPr>
        <w:ind w:left="1960" w:hanging="656"/>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 3,965,396</w:t>
      </w:r>
    </w:p>
    <w:p>
      <w:pPr>
        <w:spacing w:after="0" w:line="252" w:lineRule="exact"/>
        <w:rPr>
          <w:rFonts w:ascii="Arial" w:cs="Arial" w:eastAsia="Arial" w:hAnsi="Arial"/>
          <w:sz w:val="18"/>
          <w:szCs w:val="18"/>
          <w:color w:val="auto"/>
        </w:rPr>
      </w:pPr>
    </w:p>
    <w:p>
      <w:pPr>
        <w:ind w:left="1960" w:hanging="656"/>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420,000</w:t>
      </w:r>
    </w:p>
    <w:p>
      <w:pPr>
        <w:spacing w:after="0" w:line="252" w:lineRule="exact"/>
        <w:rPr>
          <w:rFonts w:ascii="Arial" w:cs="Arial" w:eastAsia="Arial" w:hAnsi="Arial"/>
          <w:sz w:val="18"/>
          <w:szCs w:val="18"/>
          <w:color w:val="auto"/>
        </w:rPr>
      </w:pPr>
    </w:p>
    <w:p>
      <w:pPr>
        <w:ind w:left="1960" w:hanging="656"/>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3,965,396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 .</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Identification and Classification of the Subsidiary Which Acquired the Security Being Reported on By the Parent Holding Company</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513" w:right="539" w:bottom="1440" w:gutter="0" w:footer="0" w:header="0"/>
        </w:sectPr>
      </w:pPr>
    </w:p>
    <w:bookmarkStart w:id="5" w:name="page6"/>
    <w:bookmarkEnd w:id="5"/>
    <w:p>
      <w:pPr>
        <w:spacing w:after="0"/>
        <w:tabs>
          <w:tab w:leader="none" w:pos="580" w:val="left"/>
        </w:tabs>
        <w:rPr>
          <w:sz w:val="20"/>
          <w:szCs w:val="20"/>
          <w:color w:val="auto"/>
        </w:rPr>
      </w:pPr>
      <w:r>
        <w:rPr>
          <w:rFonts w:ascii="Arial" w:cs="Arial" w:eastAsia="Arial" w:hAnsi="Arial"/>
          <w:sz w:val="18"/>
          <w:szCs w:val="18"/>
          <w:b w:val="1"/>
          <w:bCs w:val="1"/>
          <w:color w:val="auto"/>
        </w:rPr>
        <w:t>Item</w:t>
        <w:tab/>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w:t>
      </w:r>
    </w:p>
    <w:p>
      <w:pPr>
        <w:spacing w:after="0" w:line="211" w:lineRule="exact"/>
        <w:rPr>
          <w:sz w:val="20"/>
          <w:szCs w:val="20"/>
          <w:color w:val="auto"/>
        </w:rPr>
      </w:pPr>
    </w:p>
    <w:p>
      <w:pPr>
        <w:ind w:left="600" w:right="14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7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BML Capital Management, LLC</w:t>
      </w:r>
    </w:p>
    <w:p>
      <w:pPr>
        <w:sectPr>
          <w:pgSz w:w="11900" w:h="16838" w:orient="portrait"/>
          <w:cols w:equalWidth="0" w:num="1">
            <w:col w:w="11200"/>
          </w:cols>
          <w:pgMar w:left="320" w:top="756" w:right="37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Date: July 24, 2023</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 Braden M Leonard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Name: Braden M Leonard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Title: Managing Member</w:t>
      </w:r>
    </w:p>
    <w:p>
      <w:pPr>
        <w:spacing w:after="0" w:line="200" w:lineRule="exact"/>
        <w:rPr>
          <w:sz w:val="20"/>
          <w:szCs w:val="20"/>
          <w:color w:val="auto"/>
        </w:rPr>
      </w:pPr>
    </w:p>
    <w:p>
      <w:pPr>
        <w:sectPr>
          <w:pgSz w:w="11900" w:h="16838" w:orient="portrait"/>
          <w:cols w:equalWidth="0" w:num="3">
            <w:col w:w="4900" w:space="720"/>
            <w:col w:w="260" w:space="80"/>
            <w:col w:w="5240"/>
          </w:cols>
          <w:pgMar w:left="320" w:top="756"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Date: July 24,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/s/ Braden M Leonard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Name: Braden M Leonard</w:t>
      </w:r>
    </w:p>
    <w:p>
      <w:pPr>
        <w:spacing w:after="0" w:line="200" w:lineRule="exact"/>
        <w:rPr>
          <w:sz w:val="20"/>
          <w:szCs w:val="20"/>
          <w:color w:val="auto"/>
        </w:rPr>
      </w:pPr>
    </w:p>
    <w:p>
      <w:pPr>
        <w:sectPr>
          <w:pgSz w:w="11900" w:h="16838" w:orient="portrait"/>
          <w:cols w:equalWidth="0" w:num="3">
            <w:col w:w="4900" w:space="720"/>
            <w:col w:w="260" w:space="80"/>
            <w:col w:w="5240"/>
          </w:cols>
          <w:pgMar w:left="320" w:top="756" w:right="379" w:bottom="1440" w:gutter="0" w:footer="0" w:header="0"/>
          <w:type w:val="continuous"/>
        </w:sectPr>
      </w:pPr>
    </w:p>
    <w:p>
      <w:pPr>
        <w:spacing w:after="0" w:line="200" w:lineRule="exact"/>
        <w:rPr>
          <w:sz w:val="20"/>
          <w:szCs w:val="20"/>
          <w:color w:val="auto"/>
        </w:rPr>
      </w:pPr>
    </w:p>
    <w:p>
      <w:pPr>
        <w:spacing w:after="0" w:line="289" w:lineRule="exact"/>
        <w:rPr>
          <w:sz w:val="20"/>
          <w:szCs w:val="20"/>
          <w:color w:val="auto"/>
        </w:rPr>
      </w:pPr>
    </w:p>
    <w:p>
      <w:pPr>
        <w:ind w:left="860" w:hanging="859"/>
        <w:spacing w:after="0" w:line="261" w:lineRule="auto"/>
        <w:rPr>
          <w:sz w:val="20"/>
          <w:szCs w:val="20"/>
          <w:color w:val="auto"/>
        </w:rPr>
      </w:pPr>
      <w:r>
        <w:rPr>
          <w:rFonts w:ascii="Arial" w:cs="Arial" w:eastAsia="Arial" w:hAnsi="Arial"/>
          <w:sz w:val="18"/>
          <w:szCs w:val="18"/>
          <w:b w:val="1"/>
          <w:bCs w:val="1"/>
          <w:color w:val="auto"/>
        </w:rPr>
        <w:t xml:space="preserve">Footnotes: </w:t>
      </w:r>
      <w:r>
        <w:rPr>
          <w:rFonts w:ascii="Arial" w:cs="Arial" w:eastAsia="Arial" w:hAnsi="Arial"/>
          <w:sz w:val="18"/>
          <w:szCs w:val="18"/>
          <w:color w:val="auto"/>
        </w:rPr>
        <w:t>BML Investment Partners, L.P. is a Delaware limited partnership whose sole general partner is BML Capital Management, LLC. The managing</w:t>
      </w:r>
      <w:r>
        <w:rPr>
          <w:rFonts w:ascii="Arial" w:cs="Arial" w:eastAsia="Arial" w:hAnsi="Arial"/>
          <w:sz w:val="18"/>
          <w:szCs w:val="18"/>
          <w:b w:val="1"/>
          <w:bCs w:val="1"/>
          <w:color w:val="auto"/>
        </w:rPr>
        <w:t xml:space="preserve"> </w:t>
      </w:r>
      <w:r>
        <w:rPr>
          <w:rFonts w:ascii="Arial" w:cs="Arial" w:eastAsia="Arial" w:hAnsi="Arial"/>
          <w:sz w:val="18"/>
          <w:szCs w:val="18"/>
          <w:color w:val="auto"/>
        </w:rPr>
        <w:t>member of BML Capital Management, LLC is Braden M.Leonard. As a result, Braden M.Leonard is deemed to be the indirect owner of the shares held directly by BML Investment Partners, L.P. Despite such shared beneficial ownership, the reporting persons disclaim that they constitute a statutory group within the meaning of Rule 13d-5(b) (1) of the Exchange Act.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sectPr>
      <w:pgSz w:w="11900" w:h="16838" w:orient="portrait"/>
      <w:cols w:equalWidth="0" w:num="1">
        <w:col w:w="11200"/>
      </w:cols>
      <w:pgMar w:left="320" w:top="756"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o"/>
      <w:numFmt w:val="bullet"/>
      <w:start w:val="1"/>
    </w:lvl>
  </w:abstractNum>
  <w:abstractNum w:abstractNumId="1">
    <w:nsid w:val="3D1B58BA"/>
    <w:multiLevelType w:val="hybridMultilevel"/>
    <w:lvl w:ilvl="0">
      <w:lvlJc w:val="left"/>
      <w:lvlText w:val="4"/>
      <w:numFmt w:val="bullet"/>
      <w:start w:val="1"/>
    </w:lvl>
  </w:abstractNum>
  <w:abstractNum w:abstractNumId="2">
    <w:nsid w:val="507ED7AB"/>
    <w:multiLevelType w:val="hybridMultilevel"/>
    <w:lvl w:ilvl="0">
      <w:lvlJc w:val="left"/>
      <w:lvlText w:val="9"/>
      <w:numFmt w:val="bullet"/>
      <w:start w:val="1"/>
    </w:lvl>
  </w:abstractNum>
  <w:abstractNum w:abstractNumId="3">
    <w:nsid w:val="2EB141F2"/>
    <w:multiLevelType w:val="hybridMultilevel"/>
    <w:lvl w:ilvl="0">
      <w:lvlJc w:val="left"/>
      <w:lvlText w:val="4"/>
      <w:numFmt w:val="bullet"/>
      <w:start w:val="1"/>
    </w:lvl>
  </w:abstractNum>
  <w:abstractNum w:abstractNumId="4">
    <w:nsid w:val="41B71EFB"/>
    <w:multiLevelType w:val="hybridMultilevel"/>
    <w:lvl w:ilvl="0">
      <w:lvlJc w:val="left"/>
      <w:lvlText w:val="9"/>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5"/>
    </w:lvl>
  </w:abstractNum>
  <w:abstractNum w:abstractNumId="8">
    <w:nsid w:val="5BD062C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2023-07-24T14:25:39Z</dcterms:created>
  <dcterms:modified xsi:type="dcterms:W3CDTF">2023-07-24T14:25:39Z</dcterms:modified>
</cp:coreProperties>
</file>