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83-0710585</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40" w:type="dxa"/>
            <w:vAlign w:val="bottom"/>
          </w:tcPr>
          <w:p>
            <w:pPr>
              <w:jc w:val="center"/>
              <w:ind w:left="36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4840" w:type="dxa"/>
            <w:vAlign w:val="bottom"/>
          </w:tcPr>
          <w:p>
            <w:pPr>
              <w:spacing w:after="0"/>
              <w:rPr>
                <w:sz w:val="24"/>
                <w:szCs w:val="24"/>
                <w:color w:val="auto"/>
              </w:rPr>
            </w:pPr>
          </w:p>
        </w:tc>
      </w:tr>
      <w:tr>
        <w:trPr>
          <w:trHeight w:val="21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4840" w:type="dxa"/>
            <w:vAlign w:val="bottom"/>
          </w:tcPr>
          <w:p>
            <w:pPr>
              <w:spacing w:after="0"/>
              <w:rPr>
                <w:sz w:val="18"/>
                <w:szCs w:val="18"/>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48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20" w:type="dxa"/>
            <w:vAlign w:val="bottom"/>
          </w:tcPr>
          <w:p>
            <w:pPr>
              <w:spacing w:after="0"/>
              <w:rPr>
                <w:sz w:val="24"/>
                <w:szCs w:val="24"/>
                <w:color w:val="auto"/>
              </w:rPr>
            </w:pPr>
          </w:p>
        </w:tc>
        <w:tc>
          <w:tcPr>
            <w:tcW w:w="48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tc>
      </w:tr>
      <w:tr>
        <w:trPr>
          <w:trHeight w:val="214"/>
        </w:trPr>
        <w:tc>
          <w:tcPr>
            <w:tcW w:w="2520" w:type="dxa"/>
            <w:vAlign w:val="bottom"/>
          </w:tcPr>
          <w:p>
            <w:pPr>
              <w:spacing w:after="0"/>
              <w:rPr>
                <w:sz w:val="18"/>
                <w:szCs w:val="18"/>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2024 Employee Stock Purchase Plan</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Daniel Lochner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(339) 666-3320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Divakar S. Gupta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Brandon Fenn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Minkyu Park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811"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Amendment No. 1 to the Registration Statement is being filed solely for the purpose of including an updated consent of Deloitte &amp; Touche LLP as Exhibit 23.1 in order to update the date of the consent from February 27, 2026, to February 26, 2026, and to update the audit report date referenced therein from February 27, 2026, to February 26, 2026. No changes have been made to the prospectus constituting Part I of the Registration Statement, and, therefore, it has been omitted. Accordingly, the Amendment consists solely of the facing page, this explanatory note, Part II of the Registration Statement, the signatures, the index to exhibits and the filed exhibits and is not intended to amend or delete any part of the Registration Statement except as specifically noted herein.</w:t>
      </w:r>
    </w:p>
    <w:p>
      <w:pPr>
        <w:sectPr>
          <w:pgSz w:w="11900" w:h="16838" w:orient="portrait"/>
          <w:cols w:equalWidth="0" w:num="1">
            <w:col w:w="10780"/>
          </w:cols>
          <w:pgMar w:left="440" w:top="266" w:right="679" w:bottom="1440" w:gutter="0" w:footer="0" w:header="0"/>
        </w:sectPr>
      </w:pP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by the Registrant with the Commission:</w:t>
      </w:r>
    </w:p>
    <w:p>
      <w:pPr>
        <w:spacing w:after="0" w:line="54" w:lineRule="exact"/>
        <w:rPr>
          <w:sz w:val="20"/>
          <w:szCs w:val="20"/>
          <w:color w:val="auto"/>
        </w:rPr>
      </w:pPr>
    </w:p>
    <w:p>
      <w:pPr>
        <w:ind w:left="684" w:hanging="244"/>
        <w:spacing w:after="0"/>
        <w:tabs>
          <w:tab w:leader="none" w:pos="6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w:t>
      </w:r>
      <w:hyperlink r:id="rId19">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 filed with the Commission on February 26, 2026;</w:t>
      </w:r>
    </w:p>
    <w:p>
      <w:pPr>
        <w:spacing w:after="0" w:line="225"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69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Form 8-K, which was filed with the Commission on </w:t>
      </w:r>
      <w:hyperlink r:id="rId20">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that, with respect to the foregoing Current Report, any portions thereof which are furnished and not filed shall not be deemed incorporated by reference); and</w:t>
      </w:r>
    </w:p>
    <w:p>
      <w:pPr>
        <w:spacing w:after="0" w:line="162" w:lineRule="exact"/>
        <w:rPr>
          <w:rFonts w:ascii="Times New Roman" w:cs="Times New Roman" w:eastAsia="Times New Roman" w:hAnsi="Times New Roman"/>
          <w:sz w:val="18"/>
          <w:szCs w:val="18"/>
          <w:color w:val="auto"/>
        </w:rPr>
      </w:pPr>
    </w:p>
    <w:p>
      <w:pPr>
        <w:jc w:val="both"/>
        <w:ind w:left="4" w:right="300" w:firstLine="436"/>
        <w:spacing w:after="0" w:line="266" w:lineRule="auto"/>
        <w:tabs>
          <w:tab w:leader="none" w:pos="6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in the Registrant’s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Commission on June 11, 2018, including any amendments or reports filed for the purpose of updating such description, including as </w:t>
      </w:r>
      <w:hyperlink r:id="rId2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2024.</w:t>
      </w:r>
    </w:p>
    <w:p>
      <w:pPr>
        <w:spacing w:after="0" w:line="176" w:lineRule="exact"/>
        <w:rPr>
          <w:rFonts w:ascii="Times New Roman" w:cs="Times New Roman" w:eastAsia="Times New Roman" w:hAnsi="Times New Roman"/>
          <w:sz w:val="18"/>
          <w:szCs w:val="18"/>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pursuant to Section 13(a), 13(c), 14 or 15(d) of the Securities Exchange Act of 1934, as amended (the “Exchange Act”), other than current reports furnished under Item 2.02 or Item 7.01 of Form 8-K and exhibits furnished on such form that relate to such items,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which are furnished and not filed in accordance with the rules of the Commission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pacing w:after="0" w:line="336" w:lineRule="exact"/>
        <w:rPr>
          <w:rFonts w:ascii="Times New Roman" w:cs="Times New Roman" w:eastAsia="Times New Roman" w:hAnsi="Times New Roman"/>
          <w:sz w:val="18"/>
          <w:szCs w:val="18"/>
          <w:color w:val="auto"/>
        </w:rPr>
      </w:pPr>
    </w:p>
    <w:tbl>
      <w:tblPr>
        <w:tblLayout w:type="fixed"/>
        <w:tblInd w:w="4"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45"/>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rFonts w:ascii="Times New Roman" w:cs="Times New Roman" w:eastAsia="Times New Roman" w:hAnsi="Times New Roman"/>
          <w:sz w:val="18"/>
          <w:szCs w:val="18"/>
          <w:color w:val="auto"/>
        </w:rPr>
      </w:pPr>
    </w:p>
    <w:p>
      <w:pPr>
        <w:ind w:left="924" w:right="80" w:hanging="924"/>
        <w:spacing w:after="0" w:line="282" w:lineRule="auto"/>
        <w:tabs>
          <w:tab w:leader="none" w:pos="8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3">
        <w:r>
          <w:rPr>
            <w:rFonts w:ascii="Times New Roman" w:cs="Times New Roman" w:eastAsia="Times New Roman" w:hAnsi="Times New Roman"/>
            <w:sz w:val="18"/>
            <w:szCs w:val="18"/>
            <w:u w:val="single" w:color="auto"/>
            <w:color w:val="0000EE"/>
          </w:rPr>
          <w:t>Fourth Amended and Restated Certificate of Incorporation, as amended through June 20, 2024 (incorporated by reference to Exhibit 3.1 to</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the Registrant’s Quarterly Report on Form 10-Q (File No. 001-38537), filed with the Commission on August 14, 2024).</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4.2*</w:t>
      </w:r>
      <w:hyperlink r:id="rId24">
        <w:r>
          <w:rPr>
            <w:rFonts w:ascii="Times New Roman" w:cs="Times New Roman" w:eastAsia="Times New Roman" w:hAnsi="Times New Roman"/>
            <w:sz w:val="17"/>
            <w:szCs w:val="17"/>
            <w:u w:val="single" w:color="auto"/>
            <w:color w:val="0000EE"/>
          </w:rPr>
          <w:t>Amended and Restated Bylaws (incorporated by reference to Exhibit 3.2 to the Registrant’s Current Report on Form 8-K (File</w:t>
        </w:r>
      </w:hyperlink>
    </w:p>
    <w:p>
      <w:pPr>
        <w:spacing w:after="0" w:line="39" w:lineRule="exact"/>
        <w:rPr>
          <w:rFonts w:ascii="Times New Roman" w:cs="Times New Roman" w:eastAsia="Times New Roman" w:hAnsi="Times New Roman"/>
          <w:sz w:val="18"/>
          <w:szCs w:val="18"/>
          <w:u w:val="single" w:color="auto"/>
          <w:color w:val="0000EE"/>
        </w:rPr>
      </w:pPr>
    </w:p>
    <w:p>
      <w:pPr>
        <w:ind w:left="924"/>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No. 001-38537), filed with the Commission on June 25, 2018).</w:t>
        </w:r>
      </w:hyperlink>
    </w:p>
    <w:p>
      <w:pPr>
        <w:spacing w:after="0" w:line="99"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5.1*</w:t>
      </w:r>
      <w:hyperlink r:id="rId25">
        <w:r>
          <w:rPr>
            <w:rFonts w:ascii="Times New Roman" w:cs="Times New Roman" w:eastAsia="Times New Roman" w:hAnsi="Times New Roman"/>
            <w:sz w:val="17"/>
            <w:szCs w:val="17"/>
            <w:u w:val="single" w:color="auto"/>
            <w:color w:val="0000EE"/>
          </w:rPr>
          <w:t>Opinion of Cooley LLP.</w:t>
        </w:r>
      </w:hyperlink>
    </w:p>
    <w:p>
      <w:pPr>
        <w:spacing w:after="0" w:line="128" w:lineRule="exact"/>
        <w:rPr>
          <w:rFonts w:ascii="Times New Roman" w:cs="Times New Roman" w:eastAsia="Times New Roman" w:hAnsi="Times New Roman"/>
          <w:sz w:val="17"/>
          <w:szCs w:val="17"/>
          <w:u w:val="single" w:color="auto"/>
          <w:color w:val="0000EE"/>
        </w:rPr>
      </w:pPr>
    </w:p>
    <w:p>
      <w:pPr>
        <w:ind w:left="84" w:hanging="84"/>
        <w:spacing w:after="0"/>
        <w:tabs>
          <w:tab w:leader="none" w:pos="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Deloitte &amp; Touche LLP, independent registered public accounting firm of Tectonic Therapeutic, Inc.</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23.2*</w:t>
      </w:r>
      <w:hyperlink r:id="rId25">
        <w:r>
          <w:rPr>
            <w:rFonts w:ascii="Times New Roman" w:cs="Times New Roman" w:eastAsia="Times New Roman" w:hAnsi="Times New Roman"/>
            <w:sz w:val="17"/>
            <w:szCs w:val="17"/>
            <w:u w:val="single" w:color="auto"/>
            <w:color w:val="0000EE"/>
          </w:rPr>
          <w:t>Consent of Cooley LLP. Reference is made to Exhibit 5.1.</w:t>
        </w:r>
      </w:hyperlink>
    </w:p>
    <w:p>
      <w:pPr>
        <w:spacing w:after="0" w:line="169" w:lineRule="exact"/>
        <w:rPr>
          <w:rFonts w:ascii="Times New Roman" w:cs="Times New Roman" w:eastAsia="Times New Roman" w:hAnsi="Times New Roman"/>
          <w:sz w:val="16"/>
          <w:szCs w:val="16"/>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161"/>
        </w:trPr>
        <w:tc>
          <w:tcPr>
            <w:tcW w:w="306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-10160</wp:posOffset>
            </wp:positionV>
            <wp:extent cx="6403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53" w:lineRule="exact"/>
        <w:rPr>
          <w:sz w:val="20"/>
          <w:szCs w:val="20"/>
          <w:color w:val="auto"/>
        </w:rPr>
      </w:pPr>
    </w:p>
    <w:p>
      <w:pPr>
        <w:ind w:left="84" w:hanging="84"/>
        <w:spacing w:after="0"/>
        <w:tabs>
          <w:tab w:leader="none" w:pos="84"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6"/>
          <w:szCs w:val="16"/>
          <w:color w:val="auto"/>
        </w:rPr>
        <w:t>24.1*</w:t>
      </w:r>
      <w:hyperlink r:id="rId28">
        <w:r>
          <w:rPr>
            <w:rFonts w:ascii="Times New Roman" w:cs="Times New Roman" w:eastAsia="Times New Roman" w:hAnsi="Times New Roman"/>
            <w:sz w:val="18"/>
            <w:szCs w:val="18"/>
            <w:u w:val="single" w:color="auto"/>
            <w:color w:val="0000EE"/>
          </w:rPr>
          <w:t>Power of Attorney. Reference is made to the signature page hereto.</w:t>
        </w:r>
      </w:hyperlink>
    </w:p>
    <w:p>
      <w:pPr>
        <w:spacing w:after="0" w:line="117" w:lineRule="exact"/>
        <w:rPr>
          <w:rFonts w:ascii="Times New Roman" w:cs="Times New Roman" w:eastAsia="Times New Roman" w:hAnsi="Times New Roman"/>
          <w:sz w:val="18"/>
          <w:szCs w:val="18"/>
          <w:u w:val="single" w:color="auto"/>
          <w:color w:val="0000EE"/>
        </w:rPr>
      </w:pPr>
    </w:p>
    <w:p>
      <w:pPr>
        <w:ind w:left="924" w:right="400" w:hanging="924"/>
        <w:spacing w:after="0" w:line="282" w:lineRule="auto"/>
        <w:tabs>
          <w:tab w:leader="none" w:pos="83"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29">
        <w:r>
          <w:rPr>
            <w:rFonts w:ascii="Times New Roman" w:cs="Times New Roman" w:eastAsia="Times New Roman" w:hAnsi="Times New Roman"/>
            <w:sz w:val="18"/>
            <w:szCs w:val="18"/>
            <w:u w:val="single" w:color="auto"/>
            <w:color w:val="0000EE"/>
          </w:rPr>
          <w:t>Tectonic Therapeutic, Inc. 2024 Equity Incentive Plan (incorporated by reference to Exhibit 10.6 to the Registrant’s Current Report on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Form 8-K (File No. 001-38537), filed with the Commission on June 20, 2024).</w:t>
        </w:r>
      </w:hyperlink>
    </w:p>
    <w:p>
      <w:pPr>
        <w:spacing w:after="0" w:line="53" w:lineRule="exact"/>
        <w:rPr>
          <w:rFonts w:ascii="Times New Roman" w:cs="Times New Roman" w:eastAsia="Times New Roman" w:hAnsi="Times New Roman"/>
          <w:sz w:val="18"/>
          <w:szCs w:val="18"/>
          <w:u w:val="single" w:color="auto"/>
          <w:color w:val="0000EE"/>
        </w:rPr>
      </w:pPr>
    </w:p>
    <w:p>
      <w:pPr>
        <w:ind w:left="924" w:hanging="924"/>
        <w:spacing w:after="0" w:line="266" w:lineRule="auto"/>
        <w:tabs>
          <w:tab w:leader="none" w:pos="83"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0">
        <w:r>
          <w:rPr>
            <w:rFonts w:ascii="Times New Roman" w:cs="Times New Roman" w:eastAsia="Times New Roman" w:hAnsi="Times New Roman"/>
            <w:sz w:val="18"/>
            <w:szCs w:val="18"/>
            <w:u w:val="single" w:color="auto"/>
            <w:color w:val="0000EE"/>
          </w:rPr>
          <w:t>Forms of Option Grant Notice, Option Agreement and Notice of Exercise under Tectonic Therapeutic, Inc. 2024 Equity Incentive Plan</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(incorporated by reference to Exhibit 10.7 to the Registrant’s Current Report on Form 8-K (File No. 001-38537), filed with the Commission</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on June 20, 2024).</w:t>
        </w:r>
      </w:hyperlink>
    </w:p>
    <w:p>
      <w:pPr>
        <w:spacing w:after="0" w:line="67" w:lineRule="exact"/>
        <w:rPr>
          <w:rFonts w:ascii="Times New Roman" w:cs="Times New Roman" w:eastAsia="Times New Roman" w:hAnsi="Times New Roman"/>
          <w:sz w:val="18"/>
          <w:szCs w:val="18"/>
          <w:u w:val="single" w:color="auto"/>
          <w:color w:val="0000EE"/>
        </w:rPr>
      </w:pPr>
    </w:p>
    <w:p>
      <w:pPr>
        <w:ind w:left="924" w:right="480" w:hanging="924"/>
        <w:spacing w:after="0" w:line="282" w:lineRule="auto"/>
        <w:tabs>
          <w:tab w:leader="none" w:pos="83" w:val="left"/>
        </w:tabs>
        <w:numPr>
          <w:ilvl w:val="0"/>
          <w:numId w:val="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31">
        <w:r>
          <w:rPr>
            <w:rFonts w:ascii="Times New Roman" w:cs="Times New Roman" w:eastAsia="Times New Roman" w:hAnsi="Times New Roman"/>
            <w:sz w:val="18"/>
            <w:szCs w:val="18"/>
            <w:u w:val="single" w:color="auto"/>
            <w:color w:val="0000EE"/>
          </w:rPr>
          <w:t>Tectonic Therapeutic, Inc. 2024 Employee Stock Purchase Plan (incorporated by reference to Exhibit 10.8 to the Registrant’s Current</w:t>
        </w:r>
      </w:hyperlink>
      <w:r>
        <w:rPr>
          <w:rFonts w:ascii="Times New Roman" w:cs="Times New Roman" w:eastAsia="Times New Roman" w:hAnsi="Times New Roman"/>
          <w:sz w:val="18"/>
          <w:szCs w:val="18"/>
          <w:u w:val="single" w:color="auto"/>
          <w:color w:val="0000EE"/>
        </w:rPr>
        <w:t xml:space="preserve"> </w:t>
      </w:r>
      <w:hyperlink r:id="rId31">
        <w:r>
          <w:rPr>
            <w:rFonts w:ascii="Times New Roman" w:cs="Times New Roman" w:eastAsia="Times New Roman" w:hAnsi="Times New Roman"/>
            <w:sz w:val="18"/>
            <w:szCs w:val="18"/>
            <w:u w:val="single" w:color="auto"/>
            <w:color w:val="0000EE"/>
          </w:rPr>
          <w:t>Report on Form 8-K (File No. 001-38537), filed with the Commission on June 20, 2024).</w:t>
        </w:r>
      </w:hyperlink>
    </w:p>
    <w:p>
      <w:pPr>
        <w:spacing w:after="0" w:line="54" w:lineRule="exact"/>
        <w:rPr>
          <w:rFonts w:ascii="Times New Roman" w:cs="Times New Roman" w:eastAsia="Times New Roman" w:hAnsi="Times New Roman"/>
          <w:sz w:val="18"/>
          <w:szCs w:val="18"/>
          <w:color w:val="auto"/>
        </w:rPr>
      </w:pPr>
    </w:p>
    <w:p>
      <w:pPr>
        <w:ind w:left="4"/>
        <w:spacing w:after="0"/>
        <w:tabs>
          <w:tab w:leader="none" w:pos="9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32">
        <w:r>
          <w:rPr>
            <w:rFonts w:ascii="Times New Roman" w:cs="Times New Roman" w:eastAsia="Times New Roman" w:hAnsi="Times New Roman"/>
            <w:sz w:val="18"/>
            <w:szCs w:val="18"/>
            <w:u w:val="single" w:color="auto"/>
            <w:color w:val="0000EE"/>
          </w:rPr>
          <w:t>Filing Fee Table.</w:t>
        </w:r>
      </w:hyperlink>
    </w:p>
    <w:p>
      <w:pPr>
        <w:spacing w:after="0" w:line="252"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48" w:lineRule="exact"/>
        <w:rPr>
          <w:rFonts w:ascii="Times New Roman" w:cs="Times New Roman" w:eastAsia="Times New Roman" w:hAnsi="Times New Roman"/>
          <w:sz w:val="18"/>
          <w:szCs w:val="18"/>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ind w:left="4" w:right="60" w:firstLine="1428"/>
        <w:spacing w:after="0" w:line="255" w:lineRule="auto"/>
        <w:tabs>
          <w:tab w:leader="none" w:pos="170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4" w:right="700" w:firstLine="1428"/>
        <w:spacing w:after="0" w:line="282" w:lineRule="auto"/>
        <w:tabs>
          <w:tab w:leader="none" w:pos="175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Times New Roman" w:cs="Times New Roman" w:eastAsia="Times New Roman" w:hAnsi="Times New Roman"/>
          <w:sz w:val="18"/>
          <w:szCs w:val="18"/>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 and</w:t>
      </w:r>
    </w:p>
    <w:p>
      <w:pPr>
        <w:spacing w:after="0" w:line="175"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4" w:right="640" w:firstLine="436"/>
        <w:spacing w:after="0" w:line="282" w:lineRule="auto"/>
        <w:tabs>
          <w:tab w:leader="none" w:pos="6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51" w:right="459" w:bottom="1440" w:gutter="0" w:footer="0" w:header="0"/>
        </w:sectPr>
      </w:pPr>
    </w:p>
    <w:bookmarkStart w:id="4" w:name="page5"/>
    <w:bookmarkEnd w:id="4"/>
    <w:p>
      <w:pPr>
        <w:ind w:left="-20" w:firstLine="436"/>
        <w:spacing w:after="0" w:line="258"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3"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March 9,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18415</wp:posOffset>
            </wp:positionV>
            <wp:extent cx="26231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Alise Reicin</w:t>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color w:val="auto"/>
                <w:w w:val="99"/>
              </w:rPr>
              <w:t>/s/ Alise Reicin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Alise Reicin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color w:val="auto"/>
                <w:w w:val="99"/>
              </w:rPr>
              <w:t>/s/ Daniel Lochner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Daniel Lochner</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Phillip B. Donenberg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9"/>
              </w:rPr>
              <w:t>Timothy A. Springer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Praveen Tipirneni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9, 2026</w:t>
            </w:r>
          </w:p>
        </w:tc>
      </w:tr>
      <w:tr>
        <w:trPr>
          <w:trHeight w:val="228"/>
        </w:trPr>
        <w:tc>
          <w:tcPr>
            <w:tcW w:w="420" w:type="dxa"/>
            <w:vAlign w:val="bottom"/>
          </w:tcPr>
          <w:p>
            <w:pPr>
              <w:spacing w:after="0"/>
              <w:rPr>
                <w:sz w:val="19"/>
                <w:szCs w:val="19"/>
                <w:color w:val="auto"/>
              </w:rPr>
            </w:pPr>
          </w:p>
        </w:tc>
        <w:tc>
          <w:tcPr>
            <w:tcW w:w="376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w w:val="98"/>
              </w:rPr>
              <w:t>Stefan Vitorovic</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Alise Reicin</w:t>
            </w:r>
          </w:p>
        </w:tc>
        <w:tc>
          <w:tcPr>
            <w:tcW w:w="1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76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Alise Reicin</w:t>
            </w:r>
          </w:p>
        </w:tc>
        <w:tc>
          <w:tcPr>
            <w:tcW w:w="1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gridSpan w:val="2"/>
          </w:tcPr>
          <w:p>
            <w:pPr>
              <w:jc w:val="right"/>
              <w:ind w:right="35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February 26, 2026, relating to the financial statements of Tectonic Therapeutic, Inc., appearing in the Annual Report on Form 10-K of Tectonic Therapeutic, Inc.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 "/>
      <w:numFmt w:val="bullet"/>
      <w:start w:val="1"/>
    </w:lvl>
  </w:abstractNum>
  <w:abstractNum w:abstractNumId="3">
    <w:nsid w:val="507ED7AB"/>
    <w:multiLevelType w:val="hybridMultilevel"/>
    <w:lvl w:ilvl="0">
      <w:lvlJc w:val="left"/>
      <w:lvlText w:val=" "/>
      <w:numFmt w:val="bullet"/>
      <w:start w:val="1"/>
    </w:lvl>
  </w:abstractNum>
  <w:abstractNum w:abstractNumId="4">
    <w:nsid w:val="2EB141F2"/>
    <w:multiLevelType w:val="hybridMultilevel"/>
    <w:lvl w:ilvl="0">
      <w:lvlJc w:val="left"/>
      <w:lvlText w:val=" "/>
      <w:numFmt w:val="bullet"/>
      <w:start w:val="1"/>
    </w:lvl>
  </w:abstractNum>
  <w:abstractNum w:abstractNumId="5">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9" Type="http://schemas.openxmlformats.org/officeDocument/2006/relationships/hyperlink" Target="http://www.sec.gov/ix?doc=/Archives/edgar/data/0001681087/000119312526076793/tecx-20251231.htm" TargetMode="External"/><Relationship Id="rId20" Type="http://schemas.openxmlformats.org/officeDocument/2006/relationships/hyperlink" Target="http://www.sec.gov/ix?doc=/Archives/edgar/data/0001681087/000119312526066964/d50095d8k.htm" TargetMode="External"/><Relationship Id="rId21" Type="http://schemas.openxmlformats.org/officeDocument/2006/relationships/hyperlink" Target="http://www.sec.gov/Archives/edgar/data/1681087/000119312518195637/d562006d8a12b.htm" TargetMode="External"/><Relationship Id="rId22" Type="http://schemas.openxmlformats.org/officeDocument/2006/relationships/hyperlink" Target="http://www.sec.gov/Archives/edgar/data/1681087/000095017025042648/tecx-ex4_1.htm" TargetMode="External"/><Relationship Id="rId23" Type="http://schemas.openxmlformats.org/officeDocument/2006/relationships/hyperlink" Target="http://www.sec.gov/Archives/edgar/data/1681087/000119312524200609/d878693dex31.htm" TargetMode="External"/><Relationship Id="rId24" Type="http://schemas.openxmlformats.org/officeDocument/2006/relationships/hyperlink" Target="http://www.sec.gov/Archives/edgar/data/1681087/000119312518202460/d153924dex32.htm" TargetMode="External"/><Relationship Id="rId25" Type="http://schemas.openxmlformats.org/officeDocument/2006/relationships/hyperlink" Target="http://www.sec.gov/Archives/edgar/data/1681087/000119312526083260/d119719dex51.htm" TargetMode="External"/><Relationship Id="rId28" Type="http://schemas.openxmlformats.org/officeDocument/2006/relationships/hyperlink" Target="http://www.sec.gov/Archives/edgar/data/1681087/000119312526083260/d119719ds8.htm#tx119719_sig" TargetMode="External"/><Relationship Id="rId29" Type="http://schemas.openxmlformats.org/officeDocument/2006/relationships/hyperlink" Target="http://www.sec.gov/Archives/edgar/data/1681087/000119312524164480/d852858dex106.htm" TargetMode="External"/><Relationship Id="rId30" Type="http://schemas.openxmlformats.org/officeDocument/2006/relationships/hyperlink" Target="http://www.sec.gov/Archives/edgar/data/1681087/000119312524164480/d852858dex107.htm" TargetMode="External"/><Relationship Id="rId31" Type="http://schemas.openxmlformats.org/officeDocument/2006/relationships/hyperlink" Target="http://www.sec.gov/Archives/edgar/data/1681087/000119312524164480/d852858dex108.htm" TargetMode="External"/><Relationship Id="rId32" Type="http://schemas.openxmlformats.org/officeDocument/2006/relationships/hyperlink" Target="http://www.sec.gov/Archives/edgar/data/1681087/000119312526083260/d119719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2026-03-09T16:23:35Z</dcterms:created>
  <dcterms:modified xsi:type="dcterms:W3CDTF">2026-03-09T16:23:35Z</dcterms:modified>
</cp:coreProperties>
</file>