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878972108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K. Bradshaw, Jr.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24,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860" w:right="8260" w:hanging="789"/>
        <w:spacing w:after="0" w:line="42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Timothy A. Springer</w:t>
      </w:r>
    </w:p>
    <w:p>
      <w:pPr>
        <w:spacing w:after="0" w:line="1"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PF, WC</w:t>
            </w:r>
          </w:p>
        </w:tc>
      </w:tr>
      <w:tr>
        <w:trPr>
          <w:trHeight w:val="325"/>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73"/>
              </w:rPr>
              <w:t>5.</w:t>
            </w:r>
          </w:p>
        </w:tc>
        <w:tc>
          <w:tcPr>
            <w:tcW w:w="668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860" w:right="7740" w:hanging="789"/>
        <w:spacing w:after="0" w:line="42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3100" w:hanging="775"/>
        <w:spacing w:after="0"/>
        <w:tabs>
          <w:tab w:leader="none" w:pos="3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0"/>
                <w:szCs w:val="20"/>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4,293,121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560" w:type="dxa"/>
            <w:vAlign w:val="bottom"/>
            <w:vMerge w:val="continue"/>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5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5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4,293,121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560" w:type="dxa"/>
            <w:vAlign w:val="bottom"/>
            <w:tcBorders>
              <w:bottom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4,293,121 (1)</w:t>
            </w:r>
          </w:p>
        </w:tc>
        <w:tc>
          <w:tcPr>
            <w:tcW w:w="5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60" w:hanging="789"/>
        <w:spacing w:after="0"/>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 (2)</w:t>
      </w:r>
    </w:p>
    <w:p>
      <w:pPr>
        <w:spacing w:after="0" w:line="90" w:lineRule="exact"/>
        <w:rPr>
          <w:rFonts w:ascii="Times New Roman" w:cs="Times New Roman" w:eastAsia="Times New Roman" w:hAnsi="Times New Roman"/>
          <w:sz w:val="18"/>
          <w:szCs w:val="18"/>
          <w:color w:val="auto"/>
        </w:rPr>
      </w:pPr>
    </w:p>
    <w:p>
      <w:pPr>
        <w:ind w:left="860" w:right="7200" w:hanging="789"/>
        <w:spacing w:after="0" w:line="532" w:lineRule="auto"/>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OO</w:t>
      </w:r>
    </w:p>
    <w:p>
      <w:pPr>
        <w:ind w:left="340" w:right="3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3,796,764 shares of common stock held directly by Dr. Springer, (ii) 310,223 shares of common stock held by TAS Partners LLC, of which Dr. Springer is manager and has sole voting and dispositive control, and (iii) 186,134 shares of common stock held directly by Dr. Lu.</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14,734,479 shares of common stock outstanding as of August 9, 2024, as reported on the Issuer’s Quarterly Report on Form 10-Q,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860" w:right="8260" w:hanging="789"/>
        <w:spacing w:after="0" w:line="42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TAS Partners LLC</w:t>
      </w:r>
    </w:p>
    <w:p>
      <w:pPr>
        <w:spacing w:after="0" w:line="1"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WC</w:t>
            </w:r>
          </w:p>
        </w:tc>
      </w:tr>
      <w:tr>
        <w:trPr>
          <w:trHeight w:val="325"/>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73"/>
              </w:rPr>
              <w:t>5.</w:t>
            </w:r>
          </w:p>
        </w:tc>
        <w:tc>
          <w:tcPr>
            <w:tcW w:w="668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860" w:right="7740" w:hanging="789"/>
        <w:spacing w:after="0" w:line="42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3100" w:hanging="775"/>
        <w:spacing w:after="0"/>
        <w:tabs>
          <w:tab w:leader="none" w:pos="31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0"/>
                <w:szCs w:val="20"/>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310,223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560" w:type="dxa"/>
            <w:vAlign w:val="bottom"/>
            <w:vMerge w:val="continue"/>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5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5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310,223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560" w:type="dxa"/>
            <w:vAlign w:val="bottom"/>
            <w:tcBorders>
              <w:bottom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310,223 (1)</w:t>
            </w:r>
          </w:p>
        </w:tc>
        <w:tc>
          <w:tcPr>
            <w:tcW w:w="5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60" w:hanging="789"/>
        <w:spacing w:after="0"/>
        <w:tabs>
          <w:tab w:leader="none" w:pos="8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(2)</w:t>
      </w:r>
    </w:p>
    <w:p>
      <w:pPr>
        <w:spacing w:after="0" w:line="9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310,223 shares of common stock held directly by TAS Partners LLC.</w:t>
      </w:r>
    </w:p>
    <w:p>
      <w:pPr>
        <w:spacing w:after="0" w:line="2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14,734,479 shares of common stock outstanding as of August 9, 2024, as reported on the Issuer’s Quarterly Report on Form 10-Q,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860" w:right="8260" w:hanging="789"/>
        <w:spacing w:after="0" w:line="42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Chafen Lu</w:t>
      </w:r>
    </w:p>
    <w:p>
      <w:pPr>
        <w:spacing w:after="0" w:line="1"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PF, WC</w:t>
            </w:r>
          </w:p>
        </w:tc>
      </w:tr>
      <w:tr>
        <w:trPr>
          <w:trHeight w:val="325"/>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73"/>
              </w:rPr>
              <w:t>5.</w:t>
            </w:r>
          </w:p>
        </w:tc>
        <w:tc>
          <w:tcPr>
            <w:tcW w:w="668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860" w:right="7740" w:hanging="789"/>
        <w:spacing w:after="0" w:line="422"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3100" w:hanging="775"/>
        <w:spacing w:after="0"/>
        <w:tabs>
          <w:tab w:leader="none" w:pos="31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0"/>
                <w:szCs w:val="20"/>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186,134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560" w:type="dxa"/>
            <w:vAlign w:val="bottom"/>
            <w:vMerge w:val="continue"/>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5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5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186,134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560" w:type="dxa"/>
            <w:vAlign w:val="bottom"/>
            <w:tcBorders>
              <w:bottom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186,134 (1)</w:t>
            </w:r>
          </w:p>
        </w:tc>
        <w:tc>
          <w:tcPr>
            <w:tcW w:w="5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60" w:hanging="789"/>
        <w:spacing w:after="0"/>
        <w:tabs>
          <w:tab w:leader="none" w:pos="8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(2)</w:t>
      </w:r>
    </w:p>
    <w:p>
      <w:pPr>
        <w:spacing w:after="0" w:line="9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186,134 shares of common stock held directly by Dr. Lu.</w:t>
      </w:r>
    </w:p>
    <w:p>
      <w:pPr>
        <w:spacing w:after="0" w:line="2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14,734,479 shares of common stock outstanding as of August 9, 2024, as reported on the Issuer’s Quarterly Report on Form 10-Q,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5 of 8 Pages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u w:val="single" w:color="auto"/>
          <w:color w:val="auto"/>
        </w:rPr>
        <w:t>Security and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Amendment No. 1 to the statement on Schedule 13D (this “Statement”) with respect to the shares of common stock, par value $0.0001 per share (the “Shares”), of Tectonic Therapeutic, Inc., a Delaware corporation (the “Issuer”), originally filed by Timothy A. Springer (“Dr. Springer”) and TAS Partners LLC (“TAS”) on June 26, 2024 (such statement and amendments, as further amended herein, the “Schedule 13D”), amends the Schedule 13D to add Chafen Lu (“Dr. Lu” and, collectively with Dr. Springer and TAS, the “Reporting Persons”) as a reporting person, and as set forth below.</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Except as specifically amended by this Amendment No. 1, items in the Schedule 13D are unchanged.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u w:val="single" w:color="auto"/>
          <w:color w:val="auto"/>
        </w:rPr>
        <w:t>Identity and 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8"/>
        <w:spacing w:after="0" w:line="312" w:lineRule="auto"/>
        <w:tabs>
          <w:tab w:leader="none" w:pos="24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the reporting persons are Timothy A. Springer (“Dr. Springer”), TAS Partners LLC (“TAS”) and Chafen Lu (“Dr. Lu”). The reporting persons are collectively referred to herein as the “Reporting Persons.” Dr. Springer is a director of the Issuer and Dr. Lu is Dr. Springer’s wife.</w:t>
      </w:r>
    </w:p>
    <w:p>
      <w:pPr>
        <w:spacing w:after="0" w:line="14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as of the date hereof, a copy of which is filed with this Schedule 13D and incorporated herein by reference, pursuant to which the Reporting Persons have agreed to file this statement jointly in accordance with the provisions of Rule 13d-1(k) under the Act.</w:t>
      </w:r>
    </w:p>
    <w:p>
      <w:pPr>
        <w:spacing w:after="0" w:line="176"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Dr. Springer, TAS and Dr. Lu is 36 Woodman Road, Newton, Massachusetts 02467.</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principal occupation or employment of Dr. Springer is the Latham Family Professor and a Professor of Biological Chemistry and Molecular Pharmacology at Harvard Medical School, and the Principal Investigator in the Program in Cellular and Molecular Medicine and a Professor of Medicine at Boston Children’s Hospital, in each case located at 3 Blackfan Circle, Room 3103, Boston, Massachusetts 02115, and Dr. Lu is presently self-employed.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of TAS is investment management.</w:t>
      </w:r>
    </w:p>
    <w:p>
      <w:pPr>
        <w:spacing w:after="0" w:line="225" w:lineRule="exact"/>
        <w:rPr>
          <w:sz w:val="20"/>
          <w:szCs w:val="20"/>
          <w:color w:val="auto"/>
        </w:rPr>
      </w:pPr>
    </w:p>
    <w:p>
      <w:pPr>
        <w:ind w:right="84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was, during the last five years, a party to a civil proceeding of a judicial or administrative body of competent jurisdiction and, as a result of such proceeding, was or is subject to a judgment, decree or final order (1) enjoining future violations of, or prohibiting or mandating activities subject to, federal or state securities laws, or (2) finding any violation with respect to such laws.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 Springer and Dr. Lu is a citizen of the United States. TAS was formed and operates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6 of 8 Pages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to be supplemented by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24, 2024, TAS distributed an aggregate of 1,240,893 Shares held by it to Dr. Springer and Dr. Lu. TAS distributed 1,054,759 Shares to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Springer and 186,134 Shares to Dr. Lu.</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open market purchases on September 26, 2024, Dr. Springer acquired an aggregate of 50,000 Shares at prices ranging from $27.68 to $30.90 per share for an aggregate purchase price of approximately $1.4 million. Dr. Springer used personal funds for such acquisitions.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auto"/>
        </w:rPr>
        <w:t>Interest in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and the cover pages of this Statement is incorporated herein by reference into this Item 5.</w:t>
      </w:r>
    </w:p>
    <w:p>
      <w:pPr>
        <w:spacing w:after="0" w:line="225" w:lineRule="exact"/>
        <w:rPr>
          <w:sz w:val="20"/>
          <w:szCs w:val="20"/>
          <w:color w:val="auto"/>
        </w:rPr>
      </w:pPr>
    </w:p>
    <w:p>
      <w:pPr>
        <w:ind w:firstLine="8"/>
        <w:spacing w:after="0" w:line="266"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of beneficial ownership reported in this Item 5, and on each Reporting Person’s cover page to this Schedule 13D, are based on a total of 14,734,479 Shares issued and outstanding as of August 9, 2024, as reported on the Issuer’s Quarterly Report on Form 10-Q, dated August 14, 2024. The number of Shares beneficially owned by each Reporting Person has not changed since the date of event that requires filing of this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 the aggregate, beneficially own 4,293,121 Shares, representing approximately 29.1% of such class of securities.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Dr. Springer is the beneficial owner of a total of 4,293,121 Shares, representing approximately 29.1% of the outstanding Shares and consisting of (i) 3,796,764 Shares held directly, (ii) 310,223 Shares held by TAS and (iii) 186,134 Shares held by Dr. Lu.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TAS is the beneficial owner of a total of 310,223 Shares, representing approximately 2.1% of the outstanding Shares. TAS holds all such Shares directly.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Springer is the sole managing member of TAS.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Dr. Lu is the beneficial owner of a total of 186,134 Shares, representing approximately 1.3% of the outstanding Shares. Dr. Lu holds all such Shares directly. Dr. Lu is the spouse of Dr. Springer.</w:t>
      </w:r>
    </w:p>
    <w:p>
      <w:pPr>
        <w:spacing w:after="0" w:line="162" w:lineRule="exact"/>
        <w:rPr>
          <w:sz w:val="20"/>
          <w:szCs w:val="20"/>
          <w:color w:val="auto"/>
        </w:rPr>
      </w:pPr>
    </w:p>
    <w:p>
      <w:pPr>
        <w:ind w:right="240"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75" w:lineRule="exact"/>
        <w:rPr>
          <w:rFonts w:ascii="Times New Roman" w:cs="Times New Roman" w:eastAsia="Times New Roman" w:hAnsi="Times New Roman"/>
          <w:sz w:val="18"/>
          <w:szCs w:val="18"/>
          <w:color w:val="auto"/>
        </w:rPr>
      </w:pPr>
    </w:p>
    <w:p>
      <w:pPr>
        <w:ind w:right="560" w:firstLine="8"/>
        <w:spacing w:after="0" w:line="282"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engaged in any transactions with respect to the Shares during the 60 days before the date of this filing, except as described in Item 3 above.</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7 of 8 Pages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Item 7.  </w:t>
      </w:r>
      <w:r>
        <w:rPr>
          <w:rFonts w:ascii="Times New Roman" w:cs="Times New Roman" w:eastAsia="Times New Roman" w:hAnsi="Times New Roman"/>
          <w:sz w:val="18"/>
          <w:szCs w:val="18"/>
          <w:u w:val="single" w:color="auto"/>
          <w:color w:val="auto"/>
        </w:rPr>
        <w:t>Material to be Filed as 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71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6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7"/>
                <w:szCs w:val="17"/>
                <w:color w:val="auto"/>
              </w:rPr>
            </w:pPr>
          </w:p>
        </w:tc>
        <w:tc>
          <w:tcPr>
            <w:tcW w:w="100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Joint Filing Agreement, filed herewith.</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15"/>
                <w:szCs w:val="15"/>
                <w:color w:val="auto"/>
              </w:rPr>
            </w:pPr>
          </w:p>
        </w:tc>
        <w:tc>
          <w:tcPr>
            <w:tcW w:w="9680" w:type="dxa"/>
            <w:vAlign w:val="bottom"/>
            <w:tcBorders>
              <w:bottom w:val="single" w:sz="8" w:color="0000EE"/>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Stock Transfer Agreement, dated as of September 24, 2024 by and among TAS Partners, LLC, Timothy Springer and Chafen Lu, filed</w:t>
            </w:r>
          </w:p>
        </w:tc>
        <w:tc>
          <w:tcPr>
            <w:tcW w:w="3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herewith</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26,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Chafen Lu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682"/>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as amended, the undersigned hereby agree, as of September 26, 2024, that only one statement containing the information required by Schedule 13D, and each amendment thereto, need be filed with respect to the ownership by each of the undersigned of shares of common stock, par value $0.0001 per share, of Tectonic Therapeutic, Inc., and such statement to which this Joint Filing Agreement is attached as Exhibit 99.4 is filed on behalf of each of the undersigned.</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Chafen Lu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TRANSFER AGREEMENT</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THIS STOCK TRANSFER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on September 24,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TAS Partners, LLC (the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xml:space="preserve">”) and the transferees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 WHEREAS, the Transferor is the sole record and beneficial owner of 1,551,116 shares of common stock of Tectonic Therapeutic,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WHEREAS, the Transferor intends to transfer an aggregate of 1,240,893 shares of common stock of the Company to the Transferees in the amounts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the Transferees desire to acquire the Shares from the Transferor.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1" w:lineRule="exact"/>
        <w:rPr>
          <w:sz w:val="20"/>
          <w:szCs w:val="20"/>
          <w:color w:val="auto"/>
        </w:rPr>
      </w:pPr>
    </w:p>
    <w:p>
      <w:pPr>
        <w:jc w:val="both"/>
        <w:ind w:right="20" w:firstLine="656"/>
        <w:spacing w:after="0" w:line="262" w:lineRule="auto"/>
        <w:tabs>
          <w:tab w:leader="none" w:pos="82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On the Effective Date and subject to the terms and conditions of this Agreement, the Transferor hereby transfers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Transferees, and the Transferees hereby acquire from the Transferor, the Shares. As used in this Agreement, the “Shares” shall include all of the Shares transferred under this Agreement and all securities received (a) in replacement of the Shares, (b) as a result of stock dividends or stock splits in respect of the Shares and (c) as substitution for the Shares in a recapitalization, merger, reorganization or the like.</w:t>
      </w:r>
    </w:p>
    <w:p>
      <w:pPr>
        <w:spacing w:after="0" w:line="176"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2.1 Deliveries by the Transferor</w:t>
      </w:r>
      <w:r>
        <w:rPr>
          <w:rFonts w:ascii="Times New Roman" w:cs="Times New Roman" w:eastAsia="Times New Roman" w:hAnsi="Times New Roman"/>
          <w:sz w:val="18"/>
          <w:szCs w:val="18"/>
          <w:color w:val="auto"/>
        </w:rPr>
        <w:t>. The Transferor hereby delivers to the Company, or is causing to be delivered to the Company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Transferor’s behalf, (i) an executed copy of the transferor representation letter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(ii) an executed copy of this Agreement.</w:t>
      </w:r>
    </w:p>
    <w:p>
      <w:pPr>
        <w:spacing w:after="0" w:line="171" w:lineRule="exact"/>
        <w:rPr>
          <w:sz w:val="20"/>
          <w:szCs w:val="20"/>
          <w:color w:val="auto"/>
        </w:rPr>
      </w:pPr>
    </w:p>
    <w:p>
      <w:pPr>
        <w:ind w:right="6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2.2 Deliveries by the Transferees</w:t>
      </w:r>
      <w:r>
        <w:rPr>
          <w:rFonts w:ascii="Times New Roman" w:cs="Times New Roman" w:eastAsia="Times New Roman" w:hAnsi="Times New Roman"/>
          <w:sz w:val="18"/>
          <w:szCs w:val="18"/>
          <w:color w:val="auto"/>
        </w:rPr>
        <w:t>. Each Transferee hereby delivers to the Company (i) an executed copy of the transferee representation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letter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and (ii) an executed copy of this Agreement.</w:t>
      </w:r>
    </w:p>
    <w:p>
      <w:pPr>
        <w:spacing w:after="0" w:line="155" w:lineRule="exact"/>
        <w:rPr>
          <w:sz w:val="20"/>
          <w:szCs w:val="20"/>
          <w:color w:val="auto"/>
        </w:rPr>
      </w:pPr>
    </w:p>
    <w:p>
      <w:pPr>
        <w:jc w:val="both"/>
        <w:ind w:right="3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2.3 Transfer Agent Authorization</w:t>
      </w:r>
      <w:r>
        <w:rPr>
          <w:rFonts w:ascii="Times New Roman" w:cs="Times New Roman" w:eastAsia="Times New Roman" w:hAnsi="Times New Roman"/>
          <w:sz w:val="18"/>
          <w:szCs w:val="18"/>
          <w:color w:val="auto"/>
        </w:rPr>
        <w:t>. Transferor hereby instructs the Company to, at or promptly following the closing of the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(including receipt of the deliveries required under Section 2 hereof), instruct the Company’s transfer agent, Computershare Trust Company, N.A., to transfer the Shares as contemplated herein.</w:t>
      </w:r>
    </w:p>
    <w:p>
      <w:pPr>
        <w:spacing w:after="0" w:line="171" w:lineRule="exact"/>
        <w:rPr>
          <w:sz w:val="20"/>
          <w:szCs w:val="20"/>
          <w:color w:val="auto"/>
        </w:rPr>
      </w:pPr>
    </w:p>
    <w:p>
      <w:pPr>
        <w:ind w:right="60" w:firstLine="656"/>
        <w:spacing w:after="0" w:line="286" w:lineRule="auto"/>
        <w:tabs>
          <w:tab w:leader="none" w:pos="82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TRANSFEREES</w:t>
      </w:r>
      <w:r>
        <w:rPr>
          <w:rFonts w:ascii="Times New Roman" w:cs="Times New Roman" w:eastAsia="Times New Roman" w:hAnsi="Times New Roman"/>
          <w:sz w:val="18"/>
          <w:szCs w:val="18"/>
          <w:color w:val="auto"/>
        </w:rPr>
        <w:t>. The Transferees represent and warrant to the Transferor, severally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jointly, as follows.</w:t>
      </w:r>
    </w:p>
    <w:p>
      <w:pPr>
        <w:spacing w:after="0" w:line="155" w:lineRule="exact"/>
        <w:rPr>
          <w:sz w:val="20"/>
          <w:szCs w:val="20"/>
          <w:color w:val="auto"/>
        </w:rPr>
      </w:pPr>
    </w:p>
    <w:p>
      <w:pPr>
        <w:ind w:right="200" w:firstLine="1296"/>
        <w:spacing w:after="0" w:line="278" w:lineRule="auto"/>
        <w:rPr>
          <w:sz w:val="20"/>
          <w:szCs w:val="20"/>
          <w:color w:val="auto"/>
        </w:rPr>
      </w:pPr>
      <w:r>
        <w:rPr>
          <w:rFonts w:ascii="Times New Roman" w:cs="Times New Roman" w:eastAsia="Times New Roman" w:hAnsi="Times New Roman"/>
          <w:sz w:val="17"/>
          <w:szCs w:val="17"/>
          <w:b w:val="1"/>
          <w:bCs w:val="1"/>
          <w:color w:val="auto"/>
        </w:rPr>
        <w:t>3.1 Authorization</w:t>
      </w:r>
      <w:r>
        <w:rPr>
          <w:rFonts w:ascii="Times New Roman" w:cs="Times New Roman" w:eastAsia="Times New Roman" w:hAnsi="Times New Roman"/>
          <w:sz w:val="17"/>
          <w:szCs w:val="17"/>
          <w:color w:val="auto"/>
        </w:rPr>
        <w:t>. All legal action on the part of each Transferee necessary for the authorization, execution and delivery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performance of all obligations of each Transferee hereunder and the transfer of the Shares hereunder has been taken, and this Agreement, when executed and delivered by the Transferees, shall constitute valid and legally binding obligations of the Transferees, enforceable against each Transferee in accordance with its terms. The execution, delivery and performance of this Agreement, and the consummation of the transactions contemplated hereby will not result in a violation of, or default under, any instrument, judgment, order, writ, decree or contract known to any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3.2 Aquisition for Own Account for Investment</w:t>
      </w:r>
      <w:r>
        <w:rPr>
          <w:rFonts w:ascii="Times New Roman" w:cs="Times New Roman" w:eastAsia="Times New Roman" w:hAnsi="Times New Roman"/>
          <w:sz w:val="18"/>
          <w:szCs w:val="18"/>
          <w:color w:val="auto"/>
        </w:rPr>
        <w:t>. Each Transferee is acquiring the Shares for each Transferee’s own account,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purposes only and not with a view to, or for sale in connection with, a distribution of the Shares within the meaning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Neither Transferee, as of the Effective Date, has any contract, undertaking, agreement or arrangement with any person or entity, or, as of the Effective Date, any current intent to enter into any such contract, undertaking, agreement or arrangement, to sell, transfer or grant participations to any such person or entity, with respect to any of the Shares. Neither Transferee has been formed for the specific purpose of acquiring the Shares.</w:t>
      </w:r>
    </w:p>
    <w:p>
      <w:pPr>
        <w:spacing w:after="0" w:line="182" w:lineRule="exact"/>
        <w:rPr>
          <w:sz w:val="20"/>
          <w:szCs w:val="20"/>
          <w:color w:val="auto"/>
        </w:rPr>
      </w:pPr>
    </w:p>
    <w:p>
      <w:pPr>
        <w:ind w:right="5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3.3 Restrictions on Transfer</w:t>
      </w:r>
      <w:r>
        <w:rPr>
          <w:rFonts w:ascii="Times New Roman" w:cs="Times New Roman" w:eastAsia="Times New Roman" w:hAnsi="Times New Roman"/>
          <w:sz w:val="18"/>
          <w:szCs w:val="18"/>
          <w:color w:val="auto"/>
        </w:rPr>
        <w:t>. The Transferees understand that the Transferees may not transfer any Shares except as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provisions of applicable law.</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3.4 Compliance with Securities Laws</w:t>
      </w:r>
      <w:r>
        <w:rPr>
          <w:rFonts w:ascii="Times New Roman" w:cs="Times New Roman" w:eastAsia="Times New Roman" w:hAnsi="Times New Roman"/>
          <w:sz w:val="18"/>
          <w:szCs w:val="18"/>
          <w:color w:val="auto"/>
        </w:rPr>
        <w:t>. The Transferees acknowledge that the Company is formerly an issuer described in paragraph (i)</w:t>
      </w:r>
    </w:p>
    <w:p>
      <w:pPr>
        <w:spacing w:after="0" w:line="31"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(1)(i) of Rule 144 promulgated under the 1933 Act (a “shell company”), and therefore Rule 144 is not available for the resale of Company securities until one year has elapsed from the time the Company filed “Form 10 information” with the U.S. Securities and Exchange Commission (the “SEC”) reflecting its status as an entity that is no longer a shell company. In addition, each Transferee is aware that the Shares may not be sold pursuant to Rule 144 adopted under the 1933 Act unless certain conditions, including a minimum holding period, are met. Among the conditions for use of Rule 144 is the availability of current information to the public about the Company.</w:t>
      </w:r>
    </w:p>
    <w:p>
      <w:pPr>
        <w:spacing w:after="0" w:line="183"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3.5 Tax Liability</w:t>
      </w:r>
      <w:r>
        <w:rPr>
          <w:rFonts w:ascii="Times New Roman" w:cs="Times New Roman" w:eastAsia="Times New Roman" w:hAnsi="Times New Roman"/>
          <w:sz w:val="18"/>
          <w:szCs w:val="18"/>
          <w:color w:val="auto"/>
        </w:rPr>
        <w:t>. The Transferees shall be liable for any tax liability arising pursuant to the Shares, if not provided otherwise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agreement between the Transferor and the Transferees or as otherwise required by applicable law. The Transferees have been advised to consult with independent tax, financial and/or estate planning advisor(s) with respect to the legal and financial consequences associated with the transfer of the Shares, and has either done so or after adequate time for reflection has decided not to do so. The Transferees have not received (and is not relying on) any tax, financial and/or estate planning advice from the Company or any of the Company’s advisors.</w:t>
      </w:r>
    </w:p>
    <w:p>
      <w:pPr>
        <w:spacing w:after="0" w:line="179"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3.6 Party Relationship. </w:t>
      </w:r>
      <w:r>
        <w:rPr>
          <w:rFonts w:ascii="Times New Roman" w:cs="Times New Roman" w:eastAsia="Times New Roman" w:hAnsi="Times New Roman"/>
          <w:sz w:val="18"/>
          <w:szCs w:val="18"/>
          <w:color w:val="auto"/>
        </w:rPr>
        <w:t>The Transferees represent and warrant that (i) the Transferor is a limited liability company formed for the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 benefit of the Transferees or any of such Transferees’ immediate family and (ii) to the Transferees’ knowledge, the Transferor is transferring the Shares as a bona fide distribution to existing members of the Transferor.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as used herein means spouse, lineal descendant, father, mother, brother, or sister.</w:t>
      </w:r>
    </w:p>
    <w:p>
      <w:pPr>
        <w:spacing w:after="0" w:line="176" w:lineRule="exact"/>
        <w:rPr>
          <w:sz w:val="20"/>
          <w:szCs w:val="20"/>
          <w:color w:val="auto"/>
        </w:rPr>
      </w:pPr>
    </w:p>
    <w:p>
      <w:pPr>
        <w:ind w:firstLine="656"/>
        <w:spacing w:after="0" w:line="286" w:lineRule="auto"/>
        <w:tabs>
          <w:tab w:leader="none" w:pos="82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TRANSFEROR</w:t>
      </w:r>
      <w:r>
        <w:rPr>
          <w:rFonts w:ascii="Times New Roman" w:cs="Times New Roman" w:eastAsia="Times New Roman" w:hAnsi="Times New Roman"/>
          <w:sz w:val="18"/>
          <w:szCs w:val="18"/>
          <w:color w:val="auto"/>
        </w:rPr>
        <w:t>. The Transferor, severally and not jointly, represents and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Transferees as follows.</w:t>
      </w:r>
    </w:p>
    <w:p>
      <w:pPr>
        <w:spacing w:after="0" w:line="155" w:lineRule="exact"/>
        <w:rPr>
          <w:sz w:val="20"/>
          <w:szCs w:val="20"/>
          <w:color w:val="auto"/>
        </w:rPr>
      </w:pPr>
    </w:p>
    <w:p>
      <w:pPr>
        <w:ind w:right="4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4.1 Title to Shares</w:t>
      </w:r>
      <w:r>
        <w:rPr>
          <w:rFonts w:ascii="Times New Roman" w:cs="Times New Roman" w:eastAsia="Times New Roman" w:hAnsi="Times New Roman"/>
          <w:sz w:val="18"/>
          <w:szCs w:val="18"/>
          <w:color w:val="auto"/>
        </w:rPr>
        <w:t>. Immediately prior to the Effective Date, the Transferor had valid marketable title to the Shares to be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free and clear of any pledge, lien, security interest, encumbrance, claim or equitable interest.</w:t>
      </w:r>
    </w:p>
    <w:p>
      <w:pPr>
        <w:spacing w:after="0" w:line="155"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4.2 Authority</w:t>
      </w:r>
      <w:r>
        <w:rPr>
          <w:rFonts w:ascii="Times New Roman" w:cs="Times New Roman" w:eastAsia="Times New Roman" w:hAnsi="Times New Roman"/>
          <w:sz w:val="18"/>
          <w:szCs w:val="18"/>
          <w:color w:val="auto"/>
        </w:rPr>
        <w:t>. The Transferor has full legal right, power and authority to enter into and perform its obligations under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transfer the Shares under this Agreement. The Transferor has been duly organized and is validly existing in good standing under the laws of the jurisdiction of its organization as the type of entity that it purports to be and all corporate or other entity actions necessary to authorize the transactions contemplated by this Agreement have been duly taken. The person(s) executing and delivering this Agreement on behalf of the Transferor are duly authorized to do so.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4.3 No General Solicitation</w:t>
      </w:r>
      <w:r>
        <w:rPr>
          <w:rFonts w:ascii="Times New Roman" w:cs="Times New Roman" w:eastAsia="Times New Roman" w:hAnsi="Times New Roman"/>
          <w:sz w:val="18"/>
          <w:szCs w:val="18"/>
          <w:color w:val="auto"/>
        </w:rPr>
        <w:t>. Neither Transferor, nor any of its directors, managers, officers, employees, agents or stockholders has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including, without limitation, through a broker or finder, engaged in any general solicitation or published any advertisement in connection with the transfer of the Shares.</w:t>
      </w:r>
    </w:p>
    <w:p>
      <w:pPr>
        <w:spacing w:after="0" w:line="17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4.4 Advisors</w:t>
      </w:r>
      <w:r>
        <w:rPr>
          <w:rFonts w:ascii="Times New Roman" w:cs="Times New Roman" w:eastAsia="Times New Roman" w:hAnsi="Times New Roman"/>
          <w:sz w:val="18"/>
          <w:szCs w:val="18"/>
          <w:color w:val="auto"/>
        </w:rPr>
        <w:t>. The Transferor further represents that it has reviewed with its own tax advisor the consequences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The Transferor is relying solely on such advisor and not on any statements or representations of the Company or any of the Company’s agents. The Transferor understands that it is responsible for its own tax liability that may arise as a result of this Agreement or otherwise in connection with the transfer, holding, redemption or sale of the Shares. The Transferor has been advised to consult with independent tax, financial and/or estate planning advisor(s) with respect to the legal and financial consequences associated with the transfer of the Shares, and has either done so or after adequate time for reflection has decided not to do so. The Transferor has not received (and is not relying on) any tax, financial and/or estate planning advice from the Company or any of the Company’s advisors.</w:t>
      </w:r>
    </w:p>
    <w:p>
      <w:pPr>
        <w:spacing w:after="0" w:line="183" w:lineRule="exact"/>
        <w:rPr>
          <w:sz w:val="20"/>
          <w:szCs w:val="20"/>
          <w:color w:val="auto"/>
        </w:rPr>
      </w:pPr>
    </w:p>
    <w:p>
      <w:pPr>
        <w:ind w:right="20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4.5 Party Relationship</w:t>
      </w:r>
      <w:r>
        <w:rPr>
          <w:rFonts w:ascii="Times New Roman" w:cs="Times New Roman" w:eastAsia="Times New Roman" w:hAnsi="Times New Roman"/>
          <w:sz w:val="18"/>
          <w:szCs w:val="18"/>
          <w:color w:val="auto"/>
        </w:rPr>
        <w:t>. The Transferor represents and warrants that (i) to Transferor’s knowledge, the Transferor is a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formed for the direct or indirect benefit of the Transferees or any of the Transferees’ immediate family and (ii) the Transferor is transferring the Shares as a bona fide distribution to existing members of the Transferor.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as used herein means spouse, lineal descendant, father, mother, brother, or sister.</w:t>
      </w:r>
    </w:p>
    <w:p>
      <w:pPr>
        <w:spacing w:after="0" w:line="176" w:lineRule="exact"/>
        <w:rPr>
          <w:sz w:val="20"/>
          <w:szCs w:val="20"/>
          <w:color w:val="auto"/>
        </w:rPr>
      </w:pPr>
    </w:p>
    <w:p>
      <w:pPr>
        <w:ind w:right="160" w:firstLine="656"/>
        <w:spacing w:after="0" w:line="286" w:lineRule="auto"/>
        <w:tabs>
          <w:tab w:leader="none" w:pos="82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RELATED AGREEMENTS</w:t>
      </w:r>
      <w:r>
        <w:rPr>
          <w:rFonts w:ascii="Times New Roman" w:cs="Times New Roman" w:eastAsia="Times New Roman" w:hAnsi="Times New Roman"/>
          <w:sz w:val="18"/>
          <w:szCs w:val="18"/>
          <w:color w:val="auto"/>
        </w:rPr>
        <w:t>. As a condition to the transfer of the Shares, the Transferees hereby agree to be bound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manner as the Transferor is bound with respect to the Shares and any other agreements that become applicable to the Shares hereafter.</w:t>
      </w:r>
    </w:p>
    <w:p>
      <w:pPr>
        <w:spacing w:after="0" w:line="154" w:lineRule="exact"/>
        <w:rPr>
          <w:rFonts w:ascii="Times New Roman" w:cs="Times New Roman" w:eastAsia="Times New Roman" w:hAnsi="Times New Roman"/>
          <w:sz w:val="18"/>
          <w:szCs w:val="18"/>
          <w:b w:val="1"/>
          <w:bCs w:val="1"/>
          <w:color w:val="auto"/>
        </w:rPr>
      </w:pPr>
    </w:p>
    <w:p>
      <w:pPr>
        <w:ind w:right="60" w:firstLine="656"/>
        <w:spacing w:after="0" w:line="268" w:lineRule="auto"/>
        <w:tabs>
          <w:tab w:leader="none" w:pos="82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REGULATIONS</w:t>
      </w:r>
      <w:r>
        <w:rPr>
          <w:rFonts w:ascii="Times New Roman" w:cs="Times New Roman" w:eastAsia="Times New Roman" w:hAnsi="Times New Roman"/>
          <w:sz w:val="18"/>
          <w:szCs w:val="18"/>
          <w:color w:val="auto"/>
        </w:rPr>
        <w:t>. The transfer of the Shares will be subject to and conditioned upon compliance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Transferees with all applicable state and federal laws and regulations and with all applicable requirements of any stock exchange or automated quotation system on which the Company’s Common Stock may be listed or quoted at the time of such issuance or transfer.</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LEGENDS AND STOP-TRANSFER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7.1 Legends</w:t>
      </w:r>
      <w:r>
        <w:rPr>
          <w:rFonts w:ascii="Times New Roman" w:cs="Times New Roman" w:eastAsia="Times New Roman" w:hAnsi="Times New Roman"/>
          <w:sz w:val="18"/>
          <w:szCs w:val="18"/>
          <w:color w:val="auto"/>
        </w:rPr>
        <w:t>. The Transferees understands and agrees that all statements evidencing the Shares to be issued to the Transferees may bear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legends required under applicable law.</w:t>
      </w:r>
    </w:p>
    <w:p>
      <w:pPr>
        <w:spacing w:after="0" w:line="155" w:lineRule="exact"/>
        <w:rPr>
          <w:sz w:val="20"/>
          <w:szCs w:val="20"/>
          <w:color w:val="auto"/>
        </w:rPr>
      </w:pPr>
    </w:p>
    <w:p>
      <w:pPr>
        <w:ind w:right="180" w:firstLine="1296"/>
        <w:spacing w:after="0" w:line="273" w:lineRule="auto"/>
        <w:rPr>
          <w:sz w:val="20"/>
          <w:szCs w:val="20"/>
          <w:color w:val="auto"/>
        </w:rPr>
      </w:pPr>
      <w:r>
        <w:rPr>
          <w:rFonts w:ascii="Times New Roman" w:cs="Times New Roman" w:eastAsia="Times New Roman" w:hAnsi="Times New Roman"/>
          <w:sz w:val="17"/>
          <w:szCs w:val="17"/>
          <w:b w:val="1"/>
          <w:bCs w:val="1"/>
          <w:color w:val="auto"/>
        </w:rPr>
        <w:t>7.2 Stop-Transfer Instructions</w:t>
      </w:r>
      <w:r>
        <w:rPr>
          <w:rFonts w:ascii="Times New Roman" w:cs="Times New Roman" w:eastAsia="Times New Roman" w:hAnsi="Times New Roman"/>
          <w:sz w:val="17"/>
          <w:szCs w:val="17"/>
          <w:color w:val="auto"/>
        </w:rPr>
        <w:t>. The Transferees agree that, in order to ensure compliance with the restrictions imposed by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Company may issue appropriate “stop-transfer” instructions to its transfer agent, if any, and if the Company transfers its own securities, it may make appropriate notations to the same effect in its own records. The Company will not be required (a) to transfer on its books any Shares that have been sold or otherwise transferred in violation of any of the provisions of this Agreement or (b) to treat as owner of such Shares, or to accord the right to vote or pay dividends, to any purchaser or other purchaser to whom such Shares have been so transferred. The Transferees further understand and agree that the Company may require written assurances, in form and substance satisfactory to counsel for the Company (which may include a requirement that the Transferees’ counsel provide a legal opinion acceptable to the Company), before the Company effects any future transfers of the Shares.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b w:val="1"/>
          <w:bCs w:val="1"/>
          <w:color w:val="auto"/>
        </w:rPr>
        <w:t>8. 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8.1 Successors and Assigns; Assignment</w:t>
      </w:r>
      <w:r>
        <w:rPr>
          <w:rFonts w:ascii="Times New Roman" w:cs="Times New Roman" w:eastAsia="Times New Roman" w:hAnsi="Times New Roman"/>
          <w:sz w:val="18"/>
          <w:szCs w:val="18"/>
          <w:color w:val="auto"/>
        </w:rPr>
        <w:t>. Except as otherwise provided in this Agreement, this Agreement, and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parties hereunder, will be binding upon and inure to the benefit of their respective successors, assigns, heirs, executors, administrators and legal representatives.</w:t>
      </w:r>
    </w:p>
    <w:p>
      <w:pPr>
        <w:spacing w:after="0" w:line="171"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8.2 Governing Law</w:t>
      </w:r>
      <w:r>
        <w:rPr>
          <w:rFonts w:ascii="Times New Roman" w:cs="Times New Roman" w:eastAsia="Times New Roman" w:hAnsi="Times New Roman"/>
          <w:sz w:val="18"/>
          <w:szCs w:val="18"/>
          <w:color w:val="auto"/>
        </w:rPr>
        <w:t>. This Agreement will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that body of laws pertaining to conflict of laws.</w:t>
      </w:r>
    </w:p>
    <w:p>
      <w:pPr>
        <w:spacing w:after="0" w:line="15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8.3 Notices</w:t>
      </w:r>
      <w:r>
        <w:rPr>
          <w:rFonts w:ascii="Times New Roman" w:cs="Times New Roman" w:eastAsia="Times New Roman" w:hAnsi="Times New Roman"/>
          <w:sz w:val="18"/>
          <w:szCs w:val="18"/>
          <w:color w:val="auto"/>
        </w:rPr>
        <w:t>. Any and all notices required or permitted to be given to a party pursuant to the provisions of this Agreement will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will be effective and deemed to provide such party sufficient notice under this Agreement on the earliest of the following: (a) at the time of personal delivery, if delivery is in person; (b) one (1) business day after deposit with an express overnight courier for United States deliveries, or two (2) business days after such deposit for deliveries outside of the United States; or (c) three (3) business days after deposit in the United States mail by certified mail (return receipt requested) for United States deliveries. All notices for delivery outside the United States will be sent by express courier. All notices not delivered personally will be sent with postage and/or other charges prepaid and properly addressed to the party to be notified at the address set forth below the signature lines of this Agreement or at such other address as such other party may designate by one of the indicated means of notice herein to the other party hereto. A “business day” shall be a day, other than Saturday or Sunday, when the banks in the city of New York are open for business.</w:t>
      </w:r>
    </w:p>
    <w:p>
      <w:pPr>
        <w:spacing w:after="0" w:line="185"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8.4 Further Assurances</w:t>
      </w:r>
      <w:r>
        <w:rPr>
          <w:rFonts w:ascii="Times New Roman" w:cs="Times New Roman" w:eastAsia="Times New Roman" w:hAnsi="Times New Roman"/>
          <w:sz w:val="18"/>
          <w:szCs w:val="18"/>
          <w:color w:val="auto"/>
        </w:rPr>
        <w:t>. 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155" w:lineRule="exact"/>
        <w:rPr>
          <w:sz w:val="20"/>
          <w:szCs w:val="20"/>
          <w:color w:val="auto"/>
        </w:rPr>
      </w:pPr>
    </w:p>
    <w:p>
      <w:pPr>
        <w:ind w:right="1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8.5 Titles and Headings</w:t>
      </w:r>
      <w:r>
        <w:rPr>
          <w:rFonts w:ascii="Times New Roman" w:cs="Times New Roman" w:eastAsia="Times New Roman" w:hAnsi="Times New Roman"/>
          <w:sz w:val="18"/>
          <w:szCs w:val="18"/>
          <w:color w:val="auto"/>
        </w:rPr>
        <w:t>. The titles, captions and headings of this Agreement are included for ease of reference only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in interpreting or construing this Agreement. Unless otherwise specifically stated, all references herein to “sections” and “exhibits” will mean “sections” and “exhibits” to this Agreement.</w:t>
      </w:r>
    </w:p>
    <w:p>
      <w:pPr>
        <w:spacing w:after="0" w:line="171"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8.6 Entire Agreement</w:t>
      </w:r>
      <w:r>
        <w:rPr>
          <w:rFonts w:ascii="Times New Roman" w:cs="Times New Roman" w:eastAsia="Times New Roman" w:hAnsi="Times New Roman"/>
          <w:sz w:val="18"/>
          <w:szCs w:val="18"/>
          <w:color w:val="auto"/>
        </w:rPr>
        <w:t>. This Agreement and the documents referred to herein constitute the entire agreement and understanding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with respect to the subject matter of this Agreement, and supersede all prior understandings and agreements, whether oral or written, between or among the parties hereto with respect to the specific subject matter hereof. This Agreement shall not be effective until signed by all parties hereto, including the Company.</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8.7 Severability</w:t>
      </w:r>
      <w:r>
        <w:rPr>
          <w:rFonts w:ascii="Times New Roman" w:cs="Times New Roman" w:eastAsia="Times New Roman" w:hAnsi="Times New Roman"/>
          <w:sz w:val="18"/>
          <w:szCs w:val="18"/>
          <w:color w:val="auto"/>
        </w:rPr>
        <w:t>. If any provision of this Agreement is determined by any court or arbitrator of competent jurisdiction to be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 w:name="page14"/>
    <w:bookmarkEnd w:id="13"/>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8.8 Amendment and Waivers</w:t>
      </w:r>
      <w:r>
        <w:rPr>
          <w:rFonts w:ascii="Times New Roman" w:cs="Times New Roman" w:eastAsia="Times New Roman" w:hAnsi="Times New Roman"/>
          <w:sz w:val="18"/>
          <w:szCs w:val="18"/>
          <w:color w:val="auto"/>
        </w:rPr>
        <w:t>. This Agreement may be amended only by a written agreement executed by each of the parties hereto.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modification or waiver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82"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8.9 Counterparts; Facsimile Signatures</w:t>
      </w:r>
      <w:r>
        <w:rPr>
          <w:rFonts w:ascii="Times New Roman" w:cs="Times New Roman" w:eastAsia="Times New Roman" w:hAnsi="Times New Roman"/>
          <w:sz w:val="18"/>
          <w:szCs w:val="18"/>
          <w:color w:val="auto"/>
        </w:rPr>
        <w:t>. This Agreement may be executed in any number of counterparts, each of which when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will be deemed an original, and all of which together shall constitute one and the same agreement. This Agreement may be executed and delivered by facsimile or other means of electronic delivery and, upon such delivery, the facsimile signature will be deemed to have the same effect as if the original signature had been delivered to the other party.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8.10 Expenses</w:t>
      </w:r>
      <w:r>
        <w:rPr>
          <w:rFonts w:ascii="Times New Roman" w:cs="Times New Roman" w:eastAsia="Times New Roman" w:hAnsi="Times New Roman"/>
          <w:sz w:val="18"/>
          <w:szCs w:val="18"/>
          <w:color w:val="auto"/>
        </w:rPr>
        <w:t>. Each party hereto shall pay its own expenses.</w:t>
      </w:r>
    </w:p>
    <w:p>
      <w:pPr>
        <w:spacing w:after="0" w:line="225"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8.11 Specific Performance</w:t>
      </w:r>
      <w:r>
        <w:rPr>
          <w:rFonts w:ascii="Times New Roman" w:cs="Times New Roman" w:eastAsia="Times New Roman" w:hAnsi="Times New Roman"/>
          <w:sz w:val="18"/>
          <w:szCs w:val="18"/>
          <w:color w:val="auto"/>
        </w:rPr>
        <w:t>. Unless this Agreement has been terminated, each party to this Agreement acknowledges and agrees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by it of this Agreement shall cause any (or either) of the other parties irreparable harm which may not be adequately compensable by money damages. Accordingly, except in the case of termination, in the event of a breach or threatened breach by a party of any provision of this Agreement, each party shall be entitled to seek the remedies of specific performance, injunction or other preliminary or equitable relief, without having to prove irreparable harm or actual damages. The foregoing right shall be in addition to such other rights or remedies as may be available to any party for such breach or threatened breach, including, without limitation, the recovery of money damages.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8.12 Advice of Counsel</w:t>
      </w:r>
      <w:r>
        <w:rPr>
          <w:rFonts w:ascii="Times New Roman" w:cs="Times New Roman" w:eastAsia="Times New Roman" w:hAnsi="Times New Roman"/>
          <w:sz w:val="18"/>
          <w:szCs w:val="18"/>
          <w:color w:val="auto"/>
        </w:rPr>
        <w:t>. Each party to this agreement hereby acknowledges that this Agreement was prepared by Cooley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Cooley</w:t>
      </w:r>
      <w:r>
        <w:rPr>
          <w:rFonts w:ascii="Times New Roman" w:cs="Times New Roman" w:eastAsia="Times New Roman" w:hAnsi="Times New Roman"/>
          <w:sz w:val="18"/>
          <w:szCs w:val="18"/>
          <w:color w:val="auto"/>
        </w:rPr>
        <w:t>”), outside counsel to the Company, solely on behalf of the Company. Transferor and Transferees hereby each further acknowledge that (i) he, she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 has had the opportunity to be, or have been, represented by independent counsel in connection with such party’s negotiation, execution and delivery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(ii) Cooley has represented solely the Company with respect to such negotiation.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Transferor and the Transferees have each executed this Agreement as of the Effective Date.</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TRANSFEROR:</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TAS Partners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Timothy Springer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TRANSFEREE: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Timothy Springer</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Timothy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TRANSFEREE: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Chafen Lu</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ectonic</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herapeutic</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ransfer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140" w:type="dxa"/>
            <w:vAlign w:val="bottom"/>
            <w:gridSpan w:val="4"/>
          </w:tcPr>
          <w:p>
            <w:pPr>
              <w:spacing w:after="0"/>
              <w:rPr>
                <w:sz w:val="17"/>
                <w:szCs w:val="17"/>
                <w:color w:val="auto"/>
              </w:rPr>
            </w:pPr>
          </w:p>
        </w:tc>
      </w:tr>
      <w:tr>
        <w:trPr>
          <w:trHeight w:val="453"/>
        </w:trPr>
        <w:tc>
          <w:tcPr>
            <w:tcW w:w="2300" w:type="dxa"/>
            <w:vAlign w:val="bottom"/>
          </w:tcPr>
          <w:p>
            <w:pPr>
              <w:spacing w:after="0"/>
              <w:rPr>
                <w:sz w:val="24"/>
                <w:szCs w:val="24"/>
                <w:color w:val="auto"/>
              </w:rPr>
            </w:pPr>
          </w:p>
        </w:tc>
        <w:tc>
          <w:tcPr>
            <w:tcW w:w="8940" w:type="dxa"/>
            <w:vAlign w:val="bottom"/>
            <w:gridSpan w:val="6"/>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LIST OF TRANSFEREES AND SHARES TRANSFERRED</w:t>
            </w:r>
          </w:p>
        </w:tc>
      </w:tr>
      <w:tr>
        <w:trPr>
          <w:trHeight w:val="453"/>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2300" w:type="dxa"/>
            <w:vAlign w:val="bottom"/>
            <w:tcBorders>
              <w:top w:val="single" w:sz="8" w:color="auto"/>
            </w:tcBorders>
            <w:shd w:val="clear" w:color="auto" w:fill="CEEEFE"/>
          </w:tcPr>
          <w:p>
            <w:pPr>
              <w:spacing w:after="0"/>
              <w:rPr>
                <w:sz w:val="20"/>
                <w:szCs w:val="20"/>
                <w:color w:val="auto"/>
              </w:rPr>
            </w:pPr>
            <w:r>
              <w:rPr>
                <w:rFonts w:ascii="Times New Roman" w:cs="Times New Roman" w:eastAsia="Times New Roman" w:hAnsi="Times New Roman"/>
                <w:sz w:val="18"/>
                <w:szCs w:val="18"/>
                <w:color w:val="auto"/>
              </w:rPr>
              <w:t>Timothy Springer</w:t>
            </w:r>
          </w:p>
        </w:tc>
        <w:tc>
          <w:tcPr>
            <w:tcW w:w="2860" w:type="dxa"/>
            <w:vAlign w:val="bottom"/>
            <w:tcBorders>
              <w:top w:val="single" w:sz="8" w:color="auto"/>
            </w:tcBorders>
            <w:shd w:val="clear" w:color="auto" w:fill="CEEEFE"/>
          </w:tcPr>
          <w:p>
            <w:pPr>
              <w:spacing w:after="0"/>
              <w:rPr>
                <w:sz w:val="18"/>
                <w:szCs w:val="18"/>
                <w:color w:val="auto"/>
              </w:rPr>
            </w:pPr>
          </w:p>
        </w:tc>
        <w:tc>
          <w:tcPr>
            <w:tcW w:w="940" w:type="dxa"/>
            <w:vAlign w:val="bottom"/>
            <w:tcBorders>
              <w:top w:val="single" w:sz="8" w:color="auto"/>
            </w:tcBorders>
            <w:shd w:val="clear" w:color="auto" w:fill="CEEEFE"/>
          </w:tcPr>
          <w:p>
            <w:pPr>
              <w:spacing w:after="0"/>
              <w:rPr>
                <w:sz w:val="18"/>
                <w:szCs w:val="18"/>
                <w:color w:val="auto"/>
              </w:rPr>
            </w:pPr>
          </w:p>
        </w:tc>
        <w:tc>
          <w:tcPr>
            <w:tcW w:w="3800" w:type="dxa"/>
            <w:vAlign w:val="bottom"/>
            <w:tcBorders>
              <w:top w:val="single" w:sz="8" w:color="auto"/>
            </w:tcBorders>
            <w:shd w:val="clear" w:color="auto" w:fill="CEEEFE"/>
          </w:tcPr>
          <w:p>
            <w:pPr>
              <w:spacing w:after="0"/>
              <w:rPr>
                <w:sz w:val="18"/>
                <w:szCs w:val="18"/>
                <w:color w:val="auto"/>
              </w:rPr>
            </w:pPr>
          </w:p>
        </w:tc>
        <w:tc>
          <w:tcPr>
            <w:tcW w:w="120" w:type="dxa"/>
            <w:vAlign w:val="bottom"/>
            <w:tcBorders>
              <w:top w:val="single" w:sz="8" w:color="CEEEFE"/>
            </w:tcBorders>
            <w:shd w:val="clear" w:color="auto" w:fill="CEEEFE"/>
          </w:tcPr>
          <w:p>
            <w:pPr>
              <w:spacing w:after="0"/>
              <w:rPr>
                <w:sz w:val="18"/>
                <w:szCs w:val="18"/>
                <w:color w:val="auto"/>
              </w:rPr>
            </w:pPr>
          </w:p>
        </w:tc>
        <w:tc>
          <w:tcPr>
            <w:tcW w:w="1120" w:type="dxa"/>
            <w:vAlign w:val="bottom"/>
            <w:tcBorders>
              <w:top w:val="single" w:sz="8" w:color="auto"/>
            </w:tcBorders>
            <w:shd w:val="clear" w:color="auto" w:fill="CEEEFE"/>
          </w:tcPr>
          <w:p>
            <w:pPr>
              <w:jc w:val="right"/>
              <w:spacing w:after="0"/>
              <w:rPr>
                <w:sz w:val="20"/>
                <w:szCs w:val="20"/>
                <w:color w:val="auto"/>
              </w:rPr>
            </w:pPr>
            <w:r>
              <w:rPr>
                <w:rFonts w:ascii="Times New Roman" w:cs="Times New Roman" w:eastAsia="Times New Roman" w:hAnsi="Times New Roman"/>
                <w:sz w:val="18"/>
                <w:szCs w:val="18"/>
                <w:color w:val="auto"/>
              </w:rPr>
              <w:t>1,054,759</w:t>
            </w:r>
          </w:p>
        </w:tc>
        <w:tc>
          <w:tcPr>
            <w:tcW w:w="100" w:type="dxa"/>
            <w:vAlign w:val="bottom"/>
            <w:tcBorders>
              <w:top w:val="single" w:sz="8" w:color="CEEEFE"/>
            </w:tcBorders>
            <w:shd w:val="clear" w:color="auto" w:fill="CEEEFE"/>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Chafen Lu</w:t>
            </w:r>
          </w:p>
        </w:tc>
        <w:tc>
          <w:tcPr>
            <w:tcW w:w="8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186,134</w:t>
            </w:r>
          </w:p>
        </w:tc>
      </w:tr>
      <w:tr>
        <w:trPr>
          <w:trHeight w:val="637"/>
        </w:trPr>
        <w:tc>
          <w:tcPr>
            <w:tcW w:w="2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6"/>
    </w:lvl>
    <w:lvl w:ilvl="1">
      <w:lvlJc w:val="left"/>
      <w:lvlText w:val="%2."/>
      <w:numFmt w:val="decimal"/>
      <w:start w:val="7"/>
    </w:lvl>
  </w:abstractNum>
  <w:abstractNum w:abstractNumId="3">
    <w:nsid w:val="3352255A"/>
    <w:multiLevelType w:val="hybridMultilevel"/>
    <w:lvl w:ilvl="0">
      <w:lvlJc w:val="left"/>
      <w:lvlText w:val="%1"/>
      <w:numFmt w:val="decimal"/>
      <w:start w:val="1"/>
    </w:lvl>
    <w:lvl w:ilvl="1">
      <w:lvlJc w:val="left"/>
      <w:lvlText w:val="%2."/>
      <w:numFmt w:val="decimal"/>
      <w:start w:val="13"/>
    </w:lvl>
  </w:abstractNum>
  <w:abstractNum w:abstractNumId="4">
    <w:nsid w:val="109CF92E"/>
    <w:multiLevelType w:val="hybridMultilevel"/>
    <w:lvl w:ilvl="0">
      <w:lvlJc w:val="left"/>
      <w:lvlText w:val="(%1)"/>
      <w:numFmt w:val="decimal"/>
      <w:start w:val="1"/>
    </w:lvl>
    <w:lvl w:ilvl="1">
      <w:lvlJc w:val="left"/>
      <w:lvlText w:val="%2"/>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6"/>
    </w:lvl>
    <w:lvl w:ilvl="1">
      <w:lvlJc w:val="left"/>
      <w:lvlText w:val="%2."/>
      <w:numFmt w:val="decimal"/>
      <w:start w:val="7"/>
    </w:lvl>
  </w:abstractNum>
  <w:abstractNum w:abstractNumId="7">
    <w:nsid w:val="1BEFD79F"/>
    <w:multiLevelType w:val="hybridMultilevel"/>
    <w:lvl w:ilvl="0">
      <w:lvlJc w:val="left"/>
      <w:lvlText w:val="%1"/>
      <w:numFmt w:val="decimal"/>
      <w:start w:val="1"/>
    </w:lvl>
    <w:lvl w:ilvl="1">
      <w:lvlJc w:val="left"/>
      <w:lvlText w:val="%2."/>
      <w:numFmt w:val="decimal"/>
      <w:start w:val="13"/>
    </w:lvl>
  </w:abstractNum>
  <w:abstractNum w:abstractNumId="8">
    <w:nsid w:val="41A7C4C9"/>
    <w:multiLevelType w:val="hybridMultilevel"/>
    <w:lvl w:ilvl="0">
      <w:lvlJc w:val="left"/>
      <w:lvlText w:val="(%1)"/>
      <w:numFmt w:val="decimal"/>
      <w:start w:val="1"/>
    </w:lvl>
    <w:lvl w:ilvl="1">
      <w:lvlJc w:val="left"/>
      <w:lvlText w:val="%2"/>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6"/>
    </w:lvl>
    <w:lvl w:ilvl="1">
      <w:lvlJc w:val="left"/>
      <w:lvlText w:val="%2."/>
      <w:numFmt w:val="decimal"/>
      <w:start w:val="7"/>
    </w:lvl>
  </w:abstractNum>
  <w:abstractNum w:abstractNumId="11">
    <w:nsid w:val="25E45D32"/>
    <w:multiLevelType w:val="hybridMultilevel"/>
    <w:lvl w:ilvl="0">
      <w:lvlJc w:val="left"/>
      <w:lvlText w:val="%1"/>
      <w:numFmt w:val="decimal"/>
      <w:start w:val="1"/>
    </w:lvl>
    <w:lvl w:ilvl="1">
      <w:lvlJc w:val="left"/>
      <w:lvlText w:val="%2."/>
      <w:numFmt w:val="decimal"/>
      <w:start w:val="13"/>
    </w:lvl>
  </w:abstractNum>
  <w:abstractNum w:abstractNumId="12">
    <w:nsid w:val="519B500D"/>
    <w:multiLevelType w:val="hybridMultilevel"/>
    <w:lvl w:ilvl="0">
      <w:lvlJc w:val="left"/>
      <w:lvlText w:val="(%1)"/>
      <w:numFmt w:val="decimal"/>
      <w:start w:val="1"/>
    </w:lvl>
    <w:lvl w:ilvl="1">
      <w:lvlJc w:val="left"/>
      <w:lvlText w:val="%2"/>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2"/>
    </w:lvl>
  </w:abstractNum>
  <w:abstractNum w:abstractNumId="15">
    <w:nsid w:val="7C83E458"/>
    <w:multiLevelType w:val="hybridMultilevel"/>
    <w:lvl w:ilvl="0">
      <w:lvlJc w:val="left"/>
      <w:lvlText w:val="(%1)"/>
      <w:numFmt w:val="lowerLetter"/>
      <w:start w:val="4"/>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2024-09-26T19:54:33Z</dcterms:created>
  <dcterms:modified xsi:type="dcterms:W3CDTF">2024-09-26T19:54:33Z</dcterms:modified>
</cp:coreProperties>
</file>