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32406B"/>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32406B"/>
        </w:rPr>
        <w:t>Registration No. 333-225213</w:t>
      </w:r>
    </w:p>
    <w:p>
      <w:pPr>
        <w:spacing w:after="0" w:line="143" w:lineRule="exact"/>
        <w:rPr>
          <w:sz w:val="24"/>
          <w:szCs w:val="24"/>
          <w:color w:val="auto"/>
        </w:rPr>
      </w:pPr>
    </w:p>
    <w:p>
      <w:pPr>
        <w:ind w:left="200"/>
        <w:spacing w:after="0"/>
        <w:rPr>
          <w:sz w:val="20"/>
          <w:szCs w:val="20"/>
          <w:color w:val="auto"/>
        </w:rPr>
      </w:pPr>
      <w:r>
        <w:rPr>
          <w:rFonts w:ascii="Arial" w:cs="Arial" w:eastAsia="Arial" w:hAnsi="Arial"/>
          <w:sz w:val="18"/>
          <w:szCs w:val="18"/>
          <w:color w:val="32406B"/>
        </w:rPr>
        <w:t>PROSPECTUS</w:t>
      </w:r>
    </w:p>
    <w:p>
      <w:pPr>
        <w:spacing w:after="0" w:line="18" w:lineRule="exact"/>
        <w:rPr>
          <w:sz w:val="24"/>
          <w:szCs w:val="24"/>
          <w:color w:val="auto"/>
        </w:rPr>
      </w:pPr>
    </w:p>
    <w:p>
      <w:pPr>
        <w:jc w:val="center"/>
        <w:ind w:right="-199"/>
        <w:spacing w:after="0"/>
        <w:rPr>
          <w:sz w:val="20"/>
          <w:szCs w:val="20"/>
          <w:color w:val="auto"/>
        </w:rPr>
      </w:pPr>
      <w:r>
        <w:rPr>
          <w:rFonts w:ascii="Arial" w:cs="Arial" w:eastAsia="Arial" w:hAnsi="Arial"/>
          <w:sz w:val="32"/>
          <w:szCs w:val="32"/>
          <w:i w:val="1"/>
          <w:iCs w:val="1"/>
          <w:color w:val="32406B"/>
        </w:rPr>
        <w:t>5,247,958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232410</wp:posOffset>
            </wp:positionV>
            <wp:extent cx="1551940"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194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99"/>
        <w:spacing w:after="0"/>
        <w:rPr>
          <w:sz w:val="20"/>
          <w:szCs w:val="20"/>
          <w:color w:val="auto"/>
        </w:rPr>
      </w:pPr>
      <w:r>
        <w:rPr>
          <w:rFonts w:ascii="Arial" w:cs="Arial" w:eastAsia="Arial" w:hAnsi="Arial"/>
          <w:sz w:val="22"/>
          <w:szCs w:val="22"/>
          <w:i w:val="1"/>
          <w:iCs w:val="1"/>
          <w:color w:val="32406B"/>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179070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6" w:lineRule="exact"/>
        <w:rPr>
          <w:sz w:val="24"/>
          <w:szCs w:val="24"/>
          <w:color w:val="auto"/>
        </w:rPr>
      </w:pPr>
    </w:p>
    <w:p>
      <w:pPr>
        <w:ind w:left="200" w:right="220"/>
        <w:spacing w:after="0" w:line="264" w:lineRule="auto"/>
        <w:rPr>
          <w:sz w:val="20"/>
          <w:szCs w:val="20"/>
          <w:color w:val="auto"/>
        </w:rPr>
      </w:pPr>
      <w:r>
        <w:rPr>
          <w:rFonts w:ascii="Arial" w:cs="Arial" w:eastAsia="Arial" w:hAnsi="Arial"/>
          <w:sz w:val="18"/>
          <w:szCs w:val="18"/>
          <w:b w:val="1"/>
          <w:bCs w:val="1"/>
          <w:i w:val="1"/>
          <w:iCs w:val="1"/>
          <w:color w:val="32406B"/>
        </w:rPr>
        <w:t>We are offering 5,247,958 shares of our common stock. This is our initial public offering and no public market currently exists for our common stock. The initial public offering price for our common stock is $19.00 per share. We have been approved to list our common stock on The Nasdaq Global Select Market under the symbol “AVRO.”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149860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4" w:lineRule="exact"/>
        <w:rPr>
          <w:sz w:val="24"/>
          <w:szCs w:val="24"/>
          <w:color w:val="auto"/>
        </w:rPr>
      </w:pPr>
    </w:p>
    <w:p>
      <w:pPr>
        <w:ind w:left="200" w:right="520"/>
        <w:spacing w:after="0" w:line="308" w:lineRule="auto"/>
        <w:rPr>
          <w:sz w:val="20"/>
          <w:szCs w:val="20"/>
          <w:color w:val="auto"/>
        </w:rPr>
      </w:pPr>
      <w:r>
        <w:rPr>
          <w:rFonts w:ascii="Arial" w:cs="Arial" w:eastAsia="Arial" w:hAnsi="Arial"/>
          <w:sz w:val="17"/>
          <w:szCs w:val="17"/>
          <w:b w:val="1"/>
          <w:bCs w:val="1"/>
          <w:i w:val="1"/>
          <w:iCs w:val="1"/>
          <w:color w:val="32406B"/>
        </w:rPr>
        <w:t>We are an “emerging growth company” as defined in Section 2(a) of the Securities Act of 1933 and will be subject to reduced public company reporting requirements. See “Prospectus Summary—Implications of Being an 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127635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2" w:lineRule="exact"/>
        <w:rPr>
          <w:sz w:val="24"/>
          <w:szCs w:val="24"/>
          <w:color w:val="auto"/>
        </w:rPr>
      </w:pPr>
    </w:p>
    <w:p>
      <w:pPr>
        <w:ind w:left="200" w:right="460"/>
        <w:spacing w:after="0" w:line="251" w:lineRule="auto"/>
        <w:rPr>
          <w:rFonts w:ascii="Arial" w:cs="Arial" w:eastAsia="Arial" w:hAnsi="Arial"/>
          <w:sz w:val="22"/>
          <w:szCs w:val="22"/>
          <w:b w:val="1"/>
          <w:bCs w:val="1"/>
          <w:i w:val="1"/>
          <w:iCs w:val="1"/>
          <w:color w:val="32406B"/>
        </w:rPr>
      </w:pPr>
      <w:r>
        <w:rPr>
          <w:rFonts w:ascii="Arial" w:cs="Arial" w:eastAsia="Arial" w:hAnsi="Arial"/>
          <w:sz w:val="22"/>
          <w:szCs w:val="22"/>
          <w:b w:val="1"/>
          <w:bCs w:val="1"/>
          <w:i w:val="1"/>
          <w:iCs w:val="1"/>
          <w:color w:val="32406B"/>
        </w:rPr>
        <w:t>Investing in our common stock involves a high degree of risk. Please read “</w:t>
      </w:r>
      <w:hyperlink w:anchor="page13">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32406B"/>
        </w:rPr>
        <w:t>” beginning on page 11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149225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3" w:lineRule="exact"/>
        <w:rPr>
          <w:sz w:val="24"/>
          <w:szCs w:val="24"/>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32406B"/>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Arial" w:cs="Arial" w:eastAsia="Arial" w:hAnsi="Arial"/>
          <w:sz w:val="18"/>
          <w:szCs w:val="18"/>
          <w:i w:val="1"/>
          <w:iCs w:val="1"/>
          <w:color w:val="32406B"/>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142875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89" w:lineRule="exact"/>
        <w:rPr>
          <w:sz w:val="24"/>
          <w:szCs w:val="24"/>
          <w:color w:val="auto"/>
        </w:rPr>
      </w:pPr>
    </w:p>
    <w:tbl>
      <w:tblPr>
        <w:tblLayout w:type="fixed"/>
        <w:tblInd w:w="200" w:type="dxa"/>
        <w:tblCellMar>
          <w:top w:w="0" w:type="dxa"/>
          <w:left w:w="0" w:type="dxa"/>
          <w:bottom w:w="0" w:type="dxa"/>
          <w:right w:w="0" w:type="dxa"/>
        </w:tblCellMar>
      </w:tblPr>
      <w:tr>
        <w:trPr>
          <w:trHeight w:val="167"/>
        </w:trPr>
        <w:tc>
          <w:tcPr>
            <w:tcW w:w="8260" w:type="dxa"/>
            <w:vAlign w:val="bottom"/>
            <w:vMerge w:val="restart"/>
          </w:tcPr>
          <w:p>
            <w:pPr>
              <w:spacing w:after="0"/>
              <w:rPr>
                <w:sz w:val="20"/>
                <w:szCs w:val="20"/>
                <w:color w:val="auto"/>
              </w:rPr>
            </w:pPr>
            <w:r>
              <w:rPr>
                <w:rFonts w:ascii="Arial" w:cs="Arial" w:eastAsia="Arial" w:hAnsi="Arial"/>
                <w:sz w:val="18"/>
                <w:szCs w:val="18"/>
                <w:i w:val="1"/>
                <w:iCs w:val="1"/>
                <w:color w:val="32406B"/>
              </w:rPr>
              <w:t>Public Offering Price</w:t>
            </w:r>
          </w:p>
        </w:tc>
        <w:tc>
          <w:tcPr>
            <w:tcW w:w="800" w:type="dxa"/>
            <w:vAlign w:val="bottom"/>
          </w:tcPr>
          <w:p>
            <w:pPr>
              <w:jc w:val="right"/>
              <w:spacing w:after="0"/>
              <w:rPr>
                <w:sz w:val="20"/>
                <w:szCs w:val="20"/>
                <w:color w:val="auto"/>
              </w:rPr>
            </w:pPr>
            <w:r>
              <w:rPr>
                <w:rFonts w:ascii="Arial" w:cs="Arial" w:eastAsia="Arial" w:hAnsi="Arial"/>
                <w:sz w:val="14"/>
                <w:szCs w:val="14"/>
                <w:b w:val="1"/>
                <w:bCs w:val="1"/>
                <w:i w:val="1"/>
                <w:iCs w:val="1"/>
                <w:color w:val="32406B"/>
                <w:w w:val="95"/>
              </w:rPr>
              <w:t>PER SHARE</w:t>
            </w:r>
          </w:p>
        </w:tc>
        <w:tc>
          <w:tcPr>
            <w:tcW w:w="5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i w:val="1"/>
                <w:iCs w:val="1"/>
                <w:color w:val="32406B"/>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i w:val="1"/>
                <w:iCs w:val="1"/>
                <w:color w:val="32406B"/>
                <w:w w:val="94"/>
              </w:rPr>
              <w:t>TOTAL</w:t>
            </w:r>
          </w:p>
        </w:tc>
        <w:tc>
          <w:tcPr>
            <w:tcW w:w="0" w:type="dxa"/>
            <w:vAlign w:val="bottom"/>
          </w:tcPr>
          <w:p>
            <w:pPr>
              <w:spacing w:after="0"/>
              <w:rPr>
                <w:sz w:val="1"/>
                <w:szCs w:val="1"/>
                <w:color w:val="auto"/>
              </w:rPr>
            </w:pPr>
          </w:p>
        </w:tc>
      </w:tr>
      <w:tr>
        <w:trPr>
          <w:trHeight w:val="20"/>
        </w:trPr>
        <w:tc>
          <w:tcPr>
            <w:tcW w:w="8260" w:type="dxa"/>
            <w:vAlign w:val="bottom"/>
            <w:vMerge w:val="continue"/>
          </w:tcPr>
          <w:p>
            <w:pPr>
              <w:spacing w:after="0" w:line="20" w:lineRule="exact"/>
              <w:rPr>
                <w:sz w:val="1"/>
                <w:szCs w:val="1"/>
                <w:color w:val="auto"/>
              </w:rPr>
            </w:pPr>
          </w:p>
        </w:tc>
        <w:tc>
          <w:tcPr>
            <w:tcW w:w="800" w:type="dxa"/>
            <w:vAlign w:val="bottom"/>
            <w:shd w:val="clear" w:color="auto" w:fill="32406B"/>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460" w:type="dxa"/>
            <w:vAlign w:val="bottom"/>
            <w:shd w:val="clear" w:color="auto" w:fill="32406B"/>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60" w:type="dxa"/>
            <w:vAlign w:val="bottom"/>
            <w:vMerge w:val="continue"/>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i w:val="1"/>
                <w:iCs w:val="1"/>
                <w:color w:val="32406B"/>
              </w:rPr>
              <w:t>$19.00</w:t>
            </w:r>
          </w:p>
        </w:tc>
        <w:tc>
          <w:tcPr>
            <w:tcW w:w="5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720" w:type="dxa"/>
            <w:vAlign w:val="bottom"/>
            <w:gridSpan w:val="2"/>
          </w:tcPr>
          <w:p>
            <w:pPr>
              <w:jc w:val="right"/>
              <w:spacing w:after="0" w:line="182" w:lineRule="exact"/>
              <w:rPr>
                <w:sz w:val="20"/>
                <w:szCs w:val="20"/>
                <w:color w:val="auto"/>
              </w:rPr>
            </w:pPr>
            <w:r>
              <w:rPr>
                <w:rFonts w:ascii="Arial" w:cs="Arial" w:eastAsia="Arial" w:hAnsi="Arial"/>
                <w:sz w:val="18"/>
                <w:szCs w:val="18"/>
                <w:i w:val="1"/>
                <w:iCs w:val="1"/>
                <w:color w:val="32406B"/>
                <w:w w:val="77"/>
              </w:rPr>
              <w:t>99,711,202</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i w:val="1"/>
                <w:iCs w:val="1"/>
                <w:color w:val="32406B"/>
              </w:rPr>
              <w:t>Underwriting Discounts and Commissions (1)</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i w:val="1"/>
                <w:iCs w:val="1"/>
                <w:color w:val="32406B"/>
              </w:rPr>
              <w:t>1.33</w:t>
            </w:r>
          </w:p>
        </w:tc>
        <w:tc>
          <w:tcPr>
            <w:tcW w:w="1400" w:type="dxa"/>
            <w:vAlign w:val="bottom"/>
            <w:gridSpan w:val="3"/>
          </w:tcPr>
          <w:p>
            <w:pPr>
              <w:jc w:val="right"/>
              <w:spacing w:after="0"/>
              <w:rPr>
                <w:sz w:val="20"/>
                <w:szCs w:val="20"/>
                <w:color w:val="auto"/>
              </w:rPr>
            </w:pPr>
            <w:r>
              <w:rPr>
                <w:rFonts w:ascii="Arial" w:cs="Arial" w:eastAsia="Arial" w:hAnsi="Arial"/>
                <w:sz w:val="18"/>
                <w:szCs w:val="18"/>
                <w:i w:val="1"/>
                <w:iCs w:val="1"/>
                <w:color w:val="32406B"/>
              </w:rPr>
              <w:t>6,979,784</w:t>
            </w:r>
          </w:p>
        </w:tc>
        <w:tc>
          <w:tcPr>
            <w:tcW w:w="0" w:type="dxa"/>
            <w:vAlign w:val="bottom"/>
          </w:tcPr>
          <w:p>
            <w:pPr>
              <w:spacing w:after="0"/>
              <w:rPr>
                <w:sz w:val="1"/>
                <w:szCs w:val="1"/>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i w:val="1"/>
                <w:iCs w:val="1"/>
                <w:color w:val="32406B"/>
              </w:rPr>
              <w:t>Proceeds to us, before expenses</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i w:val="1"/>
                <w:iCs w:val="1"/>
                <w:color w:val="32406B"/>
              </w:rPr>
              <w:t>17.67</w:t>
            </w:r>
          </w:p>
        </w:tc>
        <w:tc>
          <w:tcPr>
            <w:tcW w:w="1400" w:type="dxa"/>
            <w:vAlign w:val="bottom"/>
            <w:gridSpan w:val="3"/>
          </w:tcPr>
          <w:p>
            <w:pPr>
              <w:jc w:val="right"/>
              <w:spacing w:after="0"/>
              <w:rPr>
                <w:sz w:val="20"/>
                <w:szCs w:val="20"/>
                <w:color w:val="auto"/>
              </w:rPr>
            </w:pPr>
            <w:r>
              <w:rPr>
                <w:rFonts w:ascii="Arial" w:cs="Arial" w:eastAsia="Arial" w:hAnsi="Arial"/>
                <w:sz w:val="18"/>
                <w:szCs w:val="18"/>
                <w:i w:val="1"/>
                <w:iCs w:val="1"/>
                <w:color w:val="32406B"/>
              </w:rPr>
              <w:t>92,731,418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8"/>
          <w:szCs w:val="18"/>
          <w:i w:val="1"/>
          <w:iCs w:val="1"/>
          <w:color w:val="32406B"/>
        </w:rPr>
      </w:pPr>
      <w:r>
        <w:rPr>
          <w:rFonts w:ascii="Arial" w:cs="Arial" w:eastAsia="Arial" w:hAnsi="Arial"/>
          <w:sz w:val="18"/>
          <w:szCs w:val="18"/>
          <w:i w:val="1"/>
          <w:iCs w:val="1"/>
          <w:color w:val="32406B"/>
        </w:rPr>
        <w:t>See “Underwriters” in this prospectus for a description of compensation payable to the underwriters.</w:t>
      </w:r>
    </w:p>
    <w:p>
      <w:pPr>
        <w:spacing w:after="0" w:line="225" w:lineRule="exact"/>
        <w:rPr>
          <w:sz w:val="24"/>
          <w:szCs w:val="24"/>
          <w:color w:val="auto"/>
        </w:rPr>
      </w:pPr>
    </w:p>
    <w:p>
      <w:pPr>
        <w:ind w:left="200" w:right="140"/>
        <w:spacing w:after="0" w:line="264" w:lineRule="auto"/>
        <w:rPr>
          <w:sz w:val="20"/>
          <w:szCs w:val="20"/>
          <w:color w:val="auto"/>
        </w:rPr>
      </w:pPr>
      <w:r>
        <w:rPr>
          <w:rFonts w:ascii="Arial" w:cs="Arial" w:eastAsia="Arial" w:hAnsi="Arial"/>
          <w:sz w:val="18"/>
          <w:szCs w:val="18"/>
          <w:i w:val="1"/>
          <w:iCs w:val="1"/>
          <w:color w:val="32406B"/>
        </w:rPr>
        <w:t>We have granted the underwriters an option for a period of 30 days to purchase an additional 787,193 shares of our common stock. If the underwriters exercise the option in full, the total underwriting discounts and commissions payable by us will be $8,026,751, and the total proceeds to us, before expenses, will be $106,641,118.</w:t>
      </w:r>
    </w:p>
    <w:p>
      <w:pPr>
        <w:spacing w:after="0" w:line="181" w:lineRule="exact"/>
        <w:rPr>
          <w:sz w:val="24"/>
          <w:szCs w:val="24"/>
          <w:color w:val="auto"/>
        </w:rPr>
      </w:pPr>
    </w:p>
    <w:p>
      <w:pPr>
        <w:ind w:left="200" w:right="100"/>
        <w:spacing w:after="0" w:line="277" w:lineRule="auto"/>
        <w:rPr>
          <w:sz w:val="20"/>
          <w:szCs w:val="20"/>
          <w:color w:val="auto"/>
        </w:rPr>
      </w:pPr>
      <w:r>
        <w:rPr>
          <w:rFonts w:ascii="Arial" w:cs="Arial" w:eastAsia="Arial" w:hAnsi="Arial"/>
          <w:sz w:val="18"/>
          <w:szCs w:val="18"/>
          <w:i w:val="1"/>
          <w:iCs w:val="1"/>
          <w:color w:val="32406B"/>
        </w:rPr>
        <w:t>Certain of our existing stockholders, including certain affiliates of our directors, have agreed to purchase an aggregate of approximately $23 million of shares of our common stock in this offering at the initial public offering price.</w:t>
      </w:r>
    </w:p>
    <w:p>
      <w:pPr>
        <w:spacing w:after="0" w:line="170" w:lineRule="exact"/>
        <w:rPr>
          <w:sz w:val="24"/>
          <w:szCs w:val="24"/>
          <w:color w:val="auto"/>
        </w:rPr>
      </w:pPr>
    </w:p>
    <w:p>
      <w:pPr>
        <w:ind w:left="200"/>
        <w:spacing w:after="0"/>
        <w:rPr>
          <w:sz w:val="20"/>
          <w:szCs w:val="20"/>
          <w:color w:val="auto"/>
        </w:rPr>
      </w:pPr>
      <w:r>
        <w:rPr>
          <w:rFonts w:ascii="Arial" w:cs="Arial" w:eastAsia="Arial" w:hAnsi="Arial"/>
          <w:sz w:val="18"/>
          <w:szCs w:val="18"/>
          <w:i w:val="1"/>
          <w:iCs w:val="1"/>
          <w:color w:val="32406B"/>
        </w:rPr>
        <w:t>Delivery of the shares of common stock is expected to be made on or about June 25,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177800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200"/>
        <w:spacing w:after="0"/>
        <w:tabs>
          <w:tab w:leader="none" w:pos="5200" w:val="left"/>
          <w:tab w:leader="none" w:pos="8800" w:val="left"/>
        </w:tabs>
        <w:rPr>
          <w:sz w:val="20"/>
          <w:szCs w:val="20"/>
          <w:color w:val="auto"/>
        </w:rPr>
      </w:pPr>
      <w:r>
        <w:rPr>
          <w:rFonts w:ascii="Arial" w:cs="Arial" w:eastAsia="Arial" w:hAnsi="Arial"/>
          <w:sz w:val="20"/>
          <w:szCs w:val="20"/>
          <w:i w:val="1"/>
          <w:iCs w:val="1"/>
          <w:color w:val="32406B"/>
        </w:rPr>
        <w:t>MORGAN STANLEY</w:t>
      </w:r>
      <w:r>
        <w:rPr>
          <w:sz w:val="20"/>
          <w:szCs w:val="20"/>
          <w:color w:val="auto"/>
        </w:rPr>
        <w:tab/>
      </w:r>
      <w:r>
        <w:rPr>
          <w:rFonts w:ascii="Arial" w:cs="Arial" w:eastAsia="Arial" w:hAnsi="Arial"/>
          <w:sz w:val="20"/>
          <w:szCs w:val="20"/>
          <w:i w:val="1"/>
          <w:iCs w:val="1"/>
          <w:color w:val="32406B"/>
        </w:rPr>
        <w:t>COWEN</w:t>
      </w:r>
      <w:r>
        <w:rPr>
          <w:sz w:val="20"/>
          <w:szCs w:val="20"/>
          <w:color w:val="auto"/>
        </w:rPr>
        <w:tab/>
      </w:r>
      <w:r>
        <w:rPr>
          <w:rFonts w:ascii="Arial" w:cs="Arial" w:eastAsia="Arial" w:hAnsi="Arial"/>
          <w:sz w:val="16"/>
          <w:szCs w:val="16"/>
          <w:i w:val="1"/>
          <w:iCs w:val="1"/>
          <w:color w:val="32406B"/>
        </w:rPr>
        <w:t>WELLS FARGO SECURITIES</w:t>
      </w:r>
    </w:p>
    <w:p>
      <w:pPr>
        <w:spacing w:after="0" w:line="216" w:lineRule="exact"/>
        <w:rPr>
          <w:sz w:val="24"/>
          <w:szCs w:val="24"/>
          <w:color w:val="auto"/>
        </w:rPr>
      </w:pPr>
    </w:p>
    <w:p>
      <w:pPr>
        <w:jc w:val="center"/>
        <w:ind w:right="-199"/>
        <w:spacing w:after="0"/>
        <w:rPr>
          <w:sz w:val="20"/>
          <w:szCs w:val="20"/>
          <w:color w:val="auto"/>
        </w:rPr>
      </w:pPr>
      <w:r>
        <w:rPr>
          <w:rFonts w:ascii="Arial" w:cs="Arial" w:eastAsia="Arial" w:hAnsi="Arial"/>
          <w:sz w:val="20"/>
          <w:szCs w:val="20"/>
          <w:i w:val="1"/>
          <w:iCs w:val="1"/>
          <w:color w:val="32406B"/>
        </w:rPr>
        <w:t>WEDBUSH PACGROW</w:t>
      </w:r>
    </w:p>
    <w:p>
      <w:pPr>
        <w:spacing w:after="0" w:line="110" w:lineRule="exact"/>
        <w:rPr>
          <w:sz w:val="24"/>
          <w:szCs w:val="24"/>
          <w:color w:val="auto"/>
        </w:rPr>
      </w:pPr>
    </w:p>
    <w:p>
      <w:pPr>
        <w:ind w:left="200"/>
        <w:spacing w:after="0"/>
        <w:rPr>
          <w:sz w:val="20"/>
          <w:szCs w:val="20"/>
          <w:color w:val="auto"/>
        </w:rPr>
      </w:pPr>
      <w:r>
        <w:rPr>
          <w:rFonts w:ascii="Arial" w:cs="Arial" w:eastAsia="Arial" w:hAnsi="Arial"/>
          <w:sz w:val="18"/>
          <w:szCs w:val="18"/>
          <w:i w:val="1"/>
          <w:iCs w:val="1"/>
          <w:color w:val="32406B"/>
        </w:rPr>
        <w:t>Prospectus dated June 20, 2018</w:t>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32406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256540</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80" w:type="dxa"/>
            <w:vAlign w:val="bottom"/>
            <w:gridSpan w:val="10"/>
            <w:vMerge w:val="restart"/>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PROSPECTUS SUMMARY</w:t>
              </w:r>
            </w:hyperlink>
          </w:p>
        </w:tc>
        <w:tc>
          <w:tcPr>
            <w:tcW w:w="2420" w:type="dxa"/>
            <w:vAlign w:val="bottom"/>
            <w:gridSpan w:val="7"/>
            <w:vMerge w:val="restart"/>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32406B"/>
              </w:rPr>
              <w:t>PAGE</w:t>
            </w:r>
          </w:p>
        </w:tc>
        <w:tc>
          <w:tcPr>
            <w:tcW w:w="0" w:type="dxa"/>
            <w:vAlign w:val="bottom"/>
          </w:tcPr>
          <w:p>
            <w:pPr>
              <w:spacing w:after="0"/>
              <w:rPr>
                <w:sz w:val="1"/>
                <w:szCs w:val="1"/>
                <w:color w:val="auto"/>
              </w:rPr>
            </w:pPr>
          </w:p>
        </w:tc>
      </w:tr>
      <w:tr>
        <w:trPr>
          <w:trHeight w:val="174"/>
        </w:trPr>
        <w:tc>
          <w:tcPr>
            <w:tcW w:w="2080" w:type="dxa"/>
            <w:vAlign w:val="bottom"/>
            <w:tcBorders>
              <w:bottom w:val="single" w:sz="8" w:color="0000EE"/>
            </w:tcBorders>
            <w:gridSpan w:val="10"/>
            <w:vMerge w:val="continue"/>
          </w:tcPr>
          <w:p>
            <w:pPr>
              <w:spacing w:after="0"/>
              <w:rPr>
                <w:sz w:val="14"/>
                <w:szCs w:val="14"/>
                <w:color w:val="auto"/>
              </w:rPr>
            </w:pPr>
          </w:p>
        </w:tc>
        <w:tc>
          <w:tcPr>
            <w:tcW w:w="2420" w:type="dxa"/>
            <w:vAlign w:val="bottom"/>
            <w:gridSpan w:val="7"/>
            <w:vMerge w:val="continue"/>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top w:val="single" w:sz="8" w:color="32406B"/>
            </w:tcBorders>
          </w:tcPr>
          <w:p>
            <w:pPr>
              <w:jc w:val="right"/>
              <w:spacing w:after="0" w:line="170" w:lineRule="exact"/>
              <w:rPr>
                <w:sz w:val="20"/>
                <w:szCs w:val="20"/>
                <w:color w:val="auto"/>
              </w:rPr>
            </w:pPr>
            <w:r>
              <w:rPr>
                <w:rFonts w:ascii="Arial" w:cs="Arial" w:eastAsia="Arial" w:hAnsi="Arial"/>
                <w:sz w:val="18"/>
                <w:szCs w:val="18"/>
                <w:color w:val="32406B"/>
              </w:rPr>
              <w:t>1</w:t>
            </w:r>
          </w:p>
        </w:tc>
        <w:tc>
          <w:tcPr>
            <w:tcW w:w="0" w:type="dxa"/>
            <w:vAlign w:val="bottom"/>
          </w:tcPr>
          <w:p>
            <w:pPr>
              <w:spacing w:after="0"/>
              <w:rPr>
                <w:sz w:val="1"/>
                <w:szCs w:val="1"/>
                <w:color w:val="auto"/>
              </w:rPr>
            </w:pPr>
          </w:p>
        </w:tc>
      </w:tr>
      <w:tr>
        <w:trPr>
          <w:trHeight w:val="196"/>
        </w:trPr>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RISK FACTORS</w:t>
              </w:r>
            </w:hyperlink>
          </w:p>
        </w:tc>
        <w:tc>
          <w:tcPr>
            <w:tcW w:w="3260" w:type="dxa"/>
            <w:vAlign w:val="bottom"/>
            <w:gridSpan w:val="13"/>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11</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SPECIAL NOTE REGARDING FORWARD-LOOKING</w:t>
              </w:r>
            </w:hyperlink>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39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STATEMENTS</w:t>
              </w:r>
            </w:hyperlink>
          </w:p>
        </w:tc>
        <w:tc>
          <w:tcPr>
            <w:tcW w:w="360" w:type="dxa"/>
            <w:vAlign w:val="bottom"/>
            <w:gridSpan w:val="2"/>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57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USE OF PROCEEDS</w:t>
              </w:r>
            </w:hyperlink>
          </w:p>
        </w:tc>
        <w:tc>
          <w:tcPr>
            <w:tcW w:w="2920" w:type="dxa"/>
            <w:vAlign w:val="bottom"/>
            <w:gridSpan w:val="8"/>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59</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DIVIDEND POLICY</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60</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CAPITALIZATION</w:t>
              </w:r>
            </w:hyperlink>
          </w:p>
        </w:tc>
        <w:tc>
          <w:tcPr>
            <w:tcW w:w="2940" w:type="dxa"/>
            <w:vAlign w:val="bottom"/>
            <w:gridSpan w:val="9"/>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61</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9"/>
              </w:rPr>
            </w:pPr>
            <w:hyperlink w:anchor="page65">
              <w:r>
                <w:rPr>
                  <w:rFonts w:ascii="Arial" w:cs="Arial" w:eastAsia="Arial" w:hAnsi="Arial"/>
                  <w:sz w:val="18"/>
                  <w:szCs w:val="18"/>
                  <w:color w:val="0000EE"/>
                  <w:w w:val="99"/>
                </w:rPr>
                <w:t>DILUTION</w:t>
              </w:r>
            </w:hyperlink>
          </w:p>
        </w:tc>
        <w:tc>
          <w:tcPr>
            <w:tcW w:w="580" w:type="dxa"/>
            <w:vAlign w:val="bottom"/>
            <w:tcBorders>
              <w:top w:val="single" w:sz="8" w:color="0000EE"/>
            </w:tcBorders>
            <w:gridSpan w:val="4"/>
          </w:tcPr>
          <w:p>
            <w:pPr>
              <w:spacing w:after="0"/>
              <w:rPr>
                <w:sz w:val="17"/>
                <w:szCs w:val="17"/>
                <w:color w:val="auto"/>
              </w:rPr>
            </w:pPr>
          </w:p>
        </w:tc>
        <w:tc>
          <w:tcPr>
            <w:tcW w:w="3060" w:type="dxa"/>
            <w:vAlign w:val="bottom"/>
            <w:gridSpan w:val="10"/>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63</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w:anchor="page67">
              <w:r>
                <w:rPr>
                  <w:rFonts w:ascii="Arial" w:cs="Arial" w:eastAsia="Arial" w:hAnsi="Arial"/>
                  <w:sz w:val="18"/>
                  <w:szCs w:val="18"/>
                  <w:color w:val="0000EE"/>
                  <w:w w:val="97"/>
                </w:rPr>
                <w:t>SELECTED FINANCIAL DATA</w:t>
              </w:r>
            </w:hyperlink>
          </w:p>
        </w:tc>
        <w:tc>
          <w:tcPr>
            <w:tcW w:w="2080" w:type="dxa"/>
            <w:vAlign w:val="bottom"/>
            <w:gridSpan w:val="5"/>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65</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MANAGEMENT’S DISCUSSION AND ANALYSIS OF</w:t>
              </w:r>
            </w:hyperlink>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35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FINANCIAL CONDITION AND RESULTS OF</w:t>
              </w:r>
            </w:hyperlink>
          </w:p>
        </w:tc>
        <w:tc>
          <w:tcPr>
            <w:tcW w:w="480" w:type="dxa"/>
            <w:vAlign w:val="bottom"/>
            <w:tcBorders>
              <w:top w:val="single" w:sz="8" w:color="0000EE"/>
            </w:tcBorders>
            <w:gridSpan w:val="2"/>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4340" w:type="dxa"/>
            <w:vAlign w:val="bottom"/>
            <w:gridSpan w:val="1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OPERATIONS</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67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BUSINESS</w:t>
              </w:r>
            </w:hyperlink>
          </w:p>
        </w:tc>
        <w:tc>
          <w:tcPr>
            <w:tcW w:w="3660" w:type="dxa"/>
            <w:vAlign w:val="bottom"/>
            <w:gridSpan w:val="15"/>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86</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MANAGEMENT</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126</w:t>
            </w:r>
          </w:p>
        </w:tc>
        <w:tc>
          <w:tcPr>
            <w:tcW w:w="0" w:type="dxa"/>
            <w:vAlign w:val="bottom"/>
          </w:tcPr>
          <w:p>
            <w:pPr>
              <w:spacing w:after="0"/>
              <w:rPr>
                <w:sz w:val="1"/>
                <w:szCs w:val="1"/>
                <w:color w:val="auto"/>
              </w:rPr>
            </w:pPr>
          </w:p>
        </w:tc>
      </w:tr>
      <w:tr>
        <w:trPr>
          <w:trHeight w:val="20"/>
        </w:trPr>
        <w:tc>
          <w:tcPr>
            <w:tcW w:w="1280" w:type="dxa"/>
            <w:vAlign w:val="bottom"/>
            <w:gridSpan w:val="6"/>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35">
              <w:r>
                <w:rPr>
                  <w:rFonts w:ascii="Arial" w:cs="Arial" w:eastAsia="Arial" w:hAnsi="Arial"/>
                  <w:sz w:val="18"/>
                  <w:szCs w:val="18"/>
                  <w:color w:val="0000EE"/>
                  <w:w w:val="95"/>
                </w:rPr>
                <w:t>EXECUTIVE COMPENSATION</w:t>
              </w:r>
            </w:hyperlink>
          </w:p>
        </w:tc>
        <w:tc>
          <w:tcPr>
            <w:tcW w:w="2060" w:type="dxa"/>
            <w:vAlign w:val="bottom"/>
            <w:gridSpan w:val="4"/>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133</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DIRECTOR COMPENSATION</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143</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960" w:type="dxa"/>
            <w:vAlign w:val="bottom"/>
            <w:gridSpan w:val="15"/>
            <w:vMerge w:val="restart"/>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CERTAIN RELATIONSHIPS AND RELATED PARTY</w:t>
              </w:r>
            </w:hyperlink>
          </w:p>
        </w:tc>
        <w:tc>
          <w:tcPr>
            <w:tcW w:w="380" w:type="dxa"/>
            <w:vAlign w:val="bottom"/>
            <w:tcBorders>
              <w:bottom w:val="single" w:sz="8" w:color="32406B"/>
            </w:tcBorders>
          </w:tcPr>
          <w:p>
            <w:pPr>
              <w:jc w:val="right"/>
              <w:spacing w:after="0"/>
              <w:rPr>
                <w:sz w:val="20"/>
                <w:szCs w:val="20"/>
                <w:color w:val="auto"/>
              </w:rPr>
            </w:pPr>
            <w:r>
              <w:rPr>
                <w:rFonts w:ascii="Arial" w:cs="Arial" w:eastAsia="Arial" w:hAnsi="Arial"/>
                <w:sz w:val="14"/>
                <w:szCs w:val="14"/>
                <w:b w:val="1"/>
                <w:bCs w:val="1"/>
                <w:color w:val="32406B"/>
                <w:w w:val="90"/>
              </w:rPr>
              <w:t>PAGE</w:t>
            </w:r>
          </w:p>
        </w:tc>
        <w:tc>
          <w:tcPr>
            <w:tcW w:w="0" w:type="dxa"/>
            <w:vAlign w:val="bottom"/>
          </w:tcPr>
          <w:p>
            <w:pPr>
              <w:spacing w:after="0"/>
              <w:rPr>
                <w:sz w:val="1"/>
                <w:szCs w:val="1"/>
                <w:color w:val="auto"/>
              </w:rPr>
            </w:pPr>
          </w:p>
        </w:tc>
      </w:tr>
      <w:tr>
        <w:trPr>
          <w:trHeight w:val="156"/>
        </w:trPr>
        <w:tc>
          <w:tcPr>
            <w:tcW w:w="4960" w:type="dxa"/>
            <w:vAlign w:val="bottom"/>
            <w:gridSpan w:val="15"/>
            <w:vMerge w:val="continue"/>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146">
              <w:r>
                <w:rPr>
                  <w:rFonts w:ascii="Arial" w:cs="Arial" w:eastAsia="Arial" w:hAnsi="Arial"/>
                  <w:sz w:val="18"/>
                  <w:szCs w:val="18"/>
                  <w:color w:val="0000EE"/>
                  <w:w w:val="96"/>
                </w:rPr>
                <w:t>TRANSACTIONS</w:t>
              </w:r>
            </w:hyperlink>
          </w:p>
        </w:tc>
        <w:tc>
          <w:tcPr>
            <w:tcW w:w="2500" w:type="dxa"/>
            <w:vAlign w:val="bottom"/>
            <w:tcBorders>
              <w:top w:val="single" w:sz="8" w:color="0000EE"/>
            </w:tcBorders>
            <w:gridSpan w:val="7"/>
          </w:tcPr>
          <w:p>
            <w:pPr>
              <w:spacing w:after="0"/>
              <w:rPr>
                <w:sz w:val="17"/>
                <w:szCs w:val="17"/>
                <w:color w:val="auto"/>
              </w:rPr>
            </w:pPr>
          </w:p>
        </w:tc>
        <w:tc>
          <w:tcPr>
            <w:tcW w:w="9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32406B"/>
              </w:rPr>
              <w:t>144</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PRINCIPAL STOCKHOLDERS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32406B"/>
              </w:rPr>
              <w:t>148</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153">
              <w:r>
                <w:rPr>
                  <w:rFonts w:ascii="Arial" w:cs="Arial" w:eastAsia="Arial" w:hAnsi="Arial"/>
                  <w:sz w:val="18"/>
                  <w:szCs w:val="18"/>
                  <w:color w:val="0000EE"/>
                  <w:w w:val="95"/>
                </w:rPr>
                <w:t>DESCRIPTION OF CAPITAL STOCK</w:t>
              </w:r>
            </w:hyperlink>
          </w:p>
        </w:tc>
        <w:tc>
          <w:tcPr>
            <w:tcW w:w="20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32406B"/>
              </w:rPr>
              <w:t>151</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SHARES ELIGIBLE FOR FUTURE SALE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32406B"/>
              </w:rPr>
              <w:t>157</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161">
              <w:r>
                <w:rPr>
                  <w:rFonts w:ascii="Arial" w:cs="Arial" w:eastAsia="Arial" w:hAnsi="Arial"/>
                  <w:sz w:val="18"/>
                  <w:szCs w:val="18"/>
                  <w:color w:val="0000EE"/>
                  <w:w w:val="97"/>
                </w:rPr>
                <w:t>MATERIAL U.S. FEDERAL INCOME TAX</w:t>
              </w:r>
            </w:hyperlink>
          </w:p>
        </w:tc>
        <w:tc>
          <w:tcPr>
            <w:tcW w:w="166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780" w:type="dxa"/>
            <w:vAlign w:val="bottom"/>
            <w:gridSpan w:val="14"/>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CONSIDERATIONS FOR NON-U.S. HOLDERS OF</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161">
              <w:r>
                <w:rPr>
                  <w:rFonts w:ascii="Arial" w:cs="Arial" w:eastAsia="Arial" w:hAnsi="Arial"/>
                  <w:sz w:val="18"/>
                  <w:szCs w:val="18"/>
                  <w:color w:val="0000EE"/>
                  <w:w w:val="96"/>
                </w:rPr>
                <w:t>COMMON STOCK</w:t>
              </w:r>
            </w:hyperlink>
          </w:p>
        </w:tc>
        <w:tc>
          <w:tcPr>
            <w:tcW w:w="2420" w:type="dxa"/>
            <w:vAlign w:val="bottom"/>
            <w:tcBorders>
              <w:top w:val="single" w:sz="8" w:color="0000EE"/>
            </w:tcBorders>
            <w:gridSpan w:val="7"/>
          </w:tcPr>
          <w:p>
            <w:pPr>
              <w:spacing w:after="0"/>
              <w:rPr>
                <w:sz w:val="17"/>
                <w:szCs w:val="17"/>
                <w:color w:val="auto"/>
              </w:rPr>
            </w:pPr>
          </w:p>
        </w:tc>
        <w:tc>
          <w:tcPr>
            <w:tcW w:w="8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32406B"/>
              </w:rPr>
              <w:t>159</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UNDERWRITERS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32406B"/>
              </w:rPr>
              <w:t>163</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LEGAL MATTERS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32406B"/>
              </w:rPr>
              <w:t>169</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71">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17"/>
                <w:szCs w:val="17"/>
                <w:color w:val="auto"/>
              </w:rPr>
            </w:pPr>
          </w:p>
        </w:tc>
        <w:tc>
          <w:tcPr>
            <w:tcW w:w="35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32406B"/>
              </w:rPr>
              <w:t>169</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WHERE YOU CAN FIND MORE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32406B"/>
              </w:rPr>
              <w:t>169</w:t>
            </w:r>
          </w:p>
        </w:tc>
        <w:tc>
          <w:tcPr>
            <w:tcW w:w="0" w:type="dxa"/>
            <w:vAlign w:val="bottom"/>
          </w:tcPr>
          <w:p>
            <w:pPr>
              <w:spacing w:after="0"/>
              <w:rPr>
                <w:sz w:val="1"/>
                <w:szCs w:val="1"/>
                <w:color w:val="auto"/>
              </w:rPr>
            </w:pPr>
          </w:p>
        </w:tc>
      </w:tr>
      <w:tr>
        <w:trPr>
          <w:trHeight w:val="20"/>
        </w:trPr>
        <w:tc>
          <w:tcPr>
            <w:tcW w:w="3820" w:type="dxa"/>
            <w:vAlign w:val="bottom"/>
            <w:gridSpan w:val="11"/>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w:anchor="page172">
              <w:r>
                <w:rPr>
                  <w:rFonts w:ascii="Arial" w:cs="Arial" w:eastAsia="Arial" w:hAnsi="Arial"/>
                  <w:sz w:val="18"/>
                  <w:szCs w:val="18"/>
                  <w:color w:val="0000EE"/>
                  <w:w w:val="97"/>
                </w:rPr>
                <w:t>INDEX TO CONSOLIDATED FINANCIAL STATEMENTS</w:t>
              </w:r>
            </w:hyperlink>
          </w:p>
        </w:tc>
        <w:tc>
          <w:tcPr>
            <w:tcW w:w="5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32406B"/>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754380</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861" w:lineRule="exact"/>
        <w:rPr>
          <w:sz w:val="20"/>
          <w:szCs w:val="20"/>
          <w:color w:val="auto"/>
        </w:rPr>
      </w:pPr>
    </w:p>
    <w:p>
      <w:pPr>
        <w:sectPr>
          <w:pgSz w:w="11900" w:h="16838" w:orient="portrait"/>
          <w:cols w:equalWidth="0" w:num="2">
            <w:col w:w="5440" w:space="380"/>
            <w:col w:w="5380"/>
          </w:cols>
          <w:pgMar w:left="240" w:top="459" w:right="45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200" w:right="80" w:firstLine="441"/>
        <w:spacing w:after="0" w:line="314" w:lineRule="auto"/>
        <w:rPr>
          <w:sz w:val="20"/>
          <w:szCs w:val="20"/>
          <w:color w:val="auto"/>
        </w:rPr>
      </w:pPr>
      <w:r>
        <w:rPr>
          <w:rFonts w:ascii="Arial" w:cs="Arial" w:eastAsia="Arial" w:hAnsi="Arial"/>
          <w:sz w:val="16"/>
          <w:szCs w:val="16"/>
          <w:b w:val="1"/>
          <w:bCs w:val="1"/>
          <w:color w:val="32406B"/>
        </w:rPr>
        <w:t>Through and including July 15, 2018 (25 days after the date of this prospectus), all dealers effecting transactions in these securities,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4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You should rely only on the information contained in this prospectus or in any free writing prospectus we file with the Securities and Exchange Commission. Neither we nor the underwriters have authorized anyone to provide you with information other than that contained in this prospectus or any free writing prospectus prepared by or on behalf of us or to which we have referred you. We take no responsibility for, and can provide no assurance as to the reliability of, any other information that others may give you. We and the underwriters are offering to sell, and seeking offers to buy, common stock only in jurisdictions where offers and sales are permitted. The information contained in this prospectus is accurate only as of the date on the front cover page of this prospectus, or other earlier date stated in this prospectus, regardless of the time of delivery of this prospectus or of any sale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The market data and certain other statistical information used throughout this prospectus are based on independent industry publications, governmental publications, reports by market research firms, or other independent sources that we believe to be reliable sources. We are responsible for all of the disclosure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 Some data are also based on our good faith estimates.</w:t>
      </w:r>
    </w:p>
    <w:p>
      <w:pPr>
        <w:sectPr>
          <w:pgSz w:w="11900" w:h="16838" w:orient="portrait"/>
          <w:cols w:equalWidth="0" w:num="1">
            <w:col w:w="11200"/>
          </w:cols>
          <w:pgMar w:left="240" w:top="459" w:right="4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98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65989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32406B"/>
        </w:rPr>
        <w:t>PROSPECTUS SUMMARY</w:t>
      </w:r>
    </w:p>
    <w:p>
      <w:pPr>
        <w:spacing w:after="0" w:line="229"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i w:val="1"/>
          <w:iCs w:val="1"/>
          <w:color w:val="32406B"/>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matters described under “Risk Factors” and “Management’s Discussion and Analysis of Financial Condition and Results of Operations,” in each case appearing elsewhere in this prospectus. As used in this prospectus, unless the context otherwise requires, references to the “company,” “we,” “us” and “our” refer to AVROBIO, Inc.</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Overview</w:t>
      </w:r>
    </w:p>
    <w:p>
      <w:pPr>
        <w:spacing w:after="0" w:line="121" w:lineRule="exact"/>
        <w:rPr>
          <w:sz w:val="20"/>
          <w:szCs w:val="20"/>
          <w:color w:val="auto"/>
        </w:rPr>
      </w:pPr>
    </w:p>
    <w:p>
      <w:pPr>
        <w:ind w:left="380" w:right="180" w:firstLine="426"/>
        <w:spacing w:after="0" w:line="291" w:lineRule="auto"/>
        <w:rPr>
          <w:sz w:val="20"/>
          <w:szCs w:val="20"/>
          <w:color w:val="auto"/>
        </w:rPr>
      </w:pPr>
      <w:r>
        <w:rPr>
          <w:rFonts w:ascii="Arial" w:cs="Arial" w:eastAsia="Arial" w:hAnsi="Arial"/>
          <w:sz w:val="16"/>
          <w:szCs w:val="16"/>
          <w:color w:val="32406B"/>
        </w:rPr>
        <w:t xml:space="preserve">We are a Phase 2 clinical stage gene therapy company focused on developing potentially curative </w:t>
      </w:r>
      <w:r>
        <w:rPr>
          <w:rFonts w:ascii="Arial" w:cs="Arial" w:eastAsia="Arial" w:hAnsi="Arial"/>
          <w:sz w:val="16"/>
          <w:szCs w:val="16"/>
          <w:i w:val="1"/>
          <w:iCs w:val="1"/>
          <w:color w:val="32406B"/>
        </w:rPr>
        <w:t>ex vivo</w:t>
      </w:r>
      <w:r>
        <w:rPr>
          <w:rFonts w:ascii="Arial" w:cs="Arial" w:eastAsia="Arial" w:hAnsi="Arial"/>
          <w:sz w:val="16"/>
          <w:szCs w:val="16"/>
          <w:color w:val="32406B"/>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which transforms stem cells from patients into therapeutic products, has the potential to provide curative benefit for a range of diseases in an outpatient setting. Our initial focus is on a group of rare genetic diseases referred to as lysosomal storage diseases, which today are primarily managed with enzyme replacement therapies, or ERTs. These lysosomal storage diseases have well understood biologies, identified patient populations and represent large market opportunities with approximately $4.0 billion in worldwide net sales in 2017.</w:t>
      </w:r>
    </w:p>
    <w:p>
      <w:pPr>
        <w:spacing w:after="0" w:line="167"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32406B"/>
        </w:rPr>
        <w:t>Our initial pipeline is comprised of four lentiviral-based gene therapies, including AVR-RD-01 for the treatment of Fabry disease, AVR-RD-02 for the treatment of Gaucher disease, AVR-RD-03 for the treatment of Pompe disease and AVR-RD-04 for the treatment of cystinosis. AVR-RD-01 is currently being evaluated in an investigator-sponsored Phase 1 clinical trial and our company-sponsored Phase 2 clinical trial to assess safety and toxicity, as well as preliminary efficacy. In addition, Phase 1/2 clinical trials for both AVR-RD-02 and AVR-RD-04 are being planned and we expect patients will be dosed in 2019.</w:t>
      </w:r>
    </w:p>
    <w:p>
      <w:pPr>
        <w:spacing w:after="0" w:line="188" w:lineRule="exact"/>
        <w:rPr>
          <w:sz w:val="20"/>
          <w:szCs w:val="20"/>
          <w:color w:val="auto"/>
        </w:rPr>
      </w:pPr>
    </w:p>
    <w:p>
      <w:pPr>
        <w:ind w:left="380" w:right="20" w:firstLine="426"/>
        <w:spacing w:after="0" w:line="254" w:lineRule="auto"/>
        <w:rPr>
          <w:sz w:val="20"/>
          <w:szCs w:val="20"/>
          <w:color w:val="auto"/>
        </w:rPr>
      </w:pPr>
      <w:r>
        <w:rPr>
          <w:rFonts w:ascii="Arial" w:cs="Arial" w:eastAsia="Arial" w:hAnsi="Arial"/>
          <w:sz w:val="18"/>
          <w:szCs w:val="18"/>
          <w:color w:val="32406B"/>
        </w:rPr>
        <w:t>The first two patients in the ongoing Phase 1 clinical trial of AVR-RD-01 have been dosed. The primary goal for this clinical trial is to assess the safety and toxicity of AVR-RD-01. In this trial, safety and toxicity are measured by the frequency of clinically notable abnormal vital signs and laboratory results and the frequency of treatment-related adverse events. A secondary objective for this clinical trial is to obtain preliminary efficacy signals of AVR-RD-01 therapy as assessed by a-galactosidase enzyme activity compared to baseline. Enrollment in this clinical trial is ongoing, with up to six patients with Fabry disease who have been treated with ERT expected to be enrolled. Because this is a Phase 1 trial, the currently approved standard of care, ERT, is suspended for enrolled patients one month prior to receiving AVR-RD-01 and is then resumed one month after AVR-RD-01 treatment. We believe the preliminary results from this trial support the potential of AVR-RD-01 to drive active enzyme production for long durations.</w:t>
      </w:r>
    </w:p>
    <w:p>
      <w:pPr>
        <w:spacing w:after="0" w:line="192" w:lineRule="exact"/>
        <w:rPr>
          <w:sz w:val="20"/>
          <w:szCs w:val="20"/>
          <w:color w:val="auto"/>
        </w:rPr>
      </w:pPr>
    </w:p>
    <w:p>
      <w:pPr>
        <w:ind w:left="380" w:right="240" w:firstLine="426"/>
        <w:spacing w:after="0" w:line="259" w:lineRule="auto"/>
        <w:rPr>
          <w:sz w:val="20"/>
          <w:szCs w:val="20"/>
          <w:color w:val="auto"/>
        </w:rPr>
      </w:pPr>
      <w:r>
        <w:rPr>
          <w:rFonts w:ascii="Arial" w:cs="Arial" w:eastAsia="Arial" w:hAnsi="Arial"/>
          <w:sz w:val="18"/>
          <w:szCs w:val="18"/>
          <w:color w:val="32406B"/>
        </w:rPr>
        <w:t>On June 7, 2018, we dosed the first patient in our company-sponsored Phase 2 clinical trial of AVR-RD-01. The primary objective for this clinical trial is to assess safety and efficacy, measured by multiple indicators, such as globotriaosylceramide levels in multiple tissues, organ function, gastrointestinal symptoms and pain and quality of life. Enrollment in this trial is ongoing, with up to 12 treatment-naïve patients with Fabry disease expected to be enrolled.</w:t>
      </w:r>
    </w:p>
    <w:p>
      <w:pPr>
        <w:spacing w:after="0" w:line="187"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32406B"/>
        </w:rPr>
        <w:t xml:space="preserve">Lentiviral-based gene therapy has been observed to be well-tolerated in third parties’ ongoing clinical trials for rare diseases such as beta thalassemia, ALD and ADA-SCID. To date, over 200 patients have been treated with lentiviral-based gene therapies in third parties’ rare disease clinical trials. Historically, the use of </w:t>
      </w:r>
      <w:r>
        <w:rPr>
          <w:rFonts w:ascii="Arial" w:cs="Arial" w:eastAsia="Arial" w:hAnsi="Arial"/>
          <w:sz w:val="18"/>
          <w:szCs w:val="18"/>
          <w:i w:val="1"/>
          <w:iCs w:val="1"/>
          <w:color w:val="32406B"/>
        </w:rPr>
        <w:t>ex vivo</w:t>
      </w:r>
      <w:r>
        <w:rPr>
          <w:rFonts w:ascii="Arial" w:cs="Arial" w:eastAsia="Arial" w:hAnsi="Arial"/>
          <w:sz w:val="18"/>
          <w:szCs w:val="18"/>
          <w:color w:val="32406B"/>
        </w:rPr>
        <w:t xml:space="preserve"> lentiviral-based gene therapies has been restricted primarily to the most acutely severe diseases where risks of the typical requirement for heavily ablating the patients’ bone marrow and thus significantly impairing these patients’ immune systems had an acceptable risk/benefit profile. The ablation procedure, also known as the conditioning regimen, is administered prior to the gene therapy. The more intensive the conditioning regimen, the greater the risk of toxicity and thus the need for more intensive in-patient monitoring and potential for lengthy hospitalization.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32406B"/>
        </w:rPr>
        <w:t>1</w:t>
      </w:r>
    </w:p>
    <w:p>
      <w:pPr>
        <w:sectPr>
          <w:pgSz w:w="11900" w:h="16838" w:orient="portrait"/>
          <w:cols w:equalWidth="0" w:num="1">
            <w:col w:w="11000"/>
          </w:cols>
          <w:pgMar w:left="240" w:top="459" w:right="6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3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6435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color w:val="32406B"/>
        </w:rPr>
        <w:t>Our goal is to broaden the applicability of lentiviral-based gene therapy by initially targeting diseases where we generally believe durable effects can be achieved following a milder conditioning regimen that allows for outpatient treatment. We believe our approach of choosing diseases where the conditioning regimen can be milder, thus improving patient tolerability, will extend the reach of our gene therapies to a broad range of diseases as first-line therapies.</w:t>
      </w:r>
    </w:p>
    <w:p>
      <w:pPr>
        <w:spacing w:after="0" w:line="187" w:lineRule="exact"/>
        <w:rPr>
          <w:sz w:val="20"/>
          <w:szCs w:val="20"/>
          <w:color w:val="auto"/>
        </w:rPr>
      </w:pPr>
    </w:p>
    <w:p>
      <w:pPr>
        <w:ind w:left="380" w:right="100" w:firstLine="426"/>
        <w:spacing w:after="0" w:line="289" w:lineRule="auto"/>
        <w:rPr>
          <w:sz w:val="20"/>
          <w:szCs w:val="20"/>
          <w:color w:val="auto"/>
        </w:rPr>
      </w:pPr>
      <w:r>
        <w:rPr>
          <w:rFonts w:ascii="Arial" w:cs="Arial" w:eastAsia="Arial" w:hAnsi="Arial"/>
          <w:sz w:val="16"/>
          <w:szCs w:val="16"/>
          <w:color w:val="32406B"/>
        </w:rPr>
        <w:t>We are initially targeting rare diseases in which current standard of care provides the mechanistic proof that the enzymes or other proteins produced endogenously following treatment with our gene therapies can offer benefit to patients. Typically in lysosomal storage diseases, a gene mutation results in the deficiency or malfunction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the diseases continue to progress. Further, the frequent, periodic and life-long dosing schedule required for ERTs results in significant costs for the healthcare system and is burdensome for the patient.</w:t>
      </w:r>
    </w:p>
    <w:p>
      <w:pPr>
        <w:spacing w:after="0" w:line="167"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32406B"/>
        </w:rPr>
        <w:t>We believe our gene therapies leverage the well 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cure these diseases while also providing significant health economic advantages.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Our Pipeline</w:t>
      </w:r>
    </w:p>
    <w:p>
      <w:pPr>
        <w:spacing w:after="0" w:line="121" w:lineRule="exact"/>
        <w:rPr>
          <w:sz w:val="20"/>
          <w:szCs w:val="20"/>
          <w:color w:val="auto"/>
        </w:rPr>
      </w:pPr>
    </w:p>
    <w:p>
      <w:pPr>
        <w:ind w:left="380" w:right="520" w:firstLine="426"/>
        <w:spacing w:after="0" w:line="277" w:lineRule="auto"/>
        <w:rPr>
          <w:sz w:val="20"/>
          <w:szCs w:val="20"/>
          <w:color w:val="auto"/>
        </w:rPr>
      </w:pPr>
      <w:r>
        <w:rPr>
          <w:rFonts w:ascii="Arial" w:cs="Arial" w:eastAsia="Arial" w:hAnsi="Arial"/>
          <w:sz w:val="18"/>
          <w:szCs w:val="18"/>
          <w:color w:val="32406B"/>
        </w:rPr>
        <w:t>Our programs leverage years of extensive preclinical and early clinical research by leading researchers, as well as our internal research efforts. The status of our lentiviral-based gene therapy programs is reflected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2</w:t>
      </w:r>
    </w:p>
    <w:p>
      <w:pPr>
        <w:sectPr>
          <w:pgSz w:w="11900" w:h="16838" w:orient="portrait"/>
          <w:cols w:equalWidth="0" w:num="1">
            <w:col w:w="11040"/>
          </w:cols>
          <w:pgMar w:left="240" w:top="459" w:right="6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556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5955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firstLine="426"/>
        <w:spacing w:after="0" w:line="291" w:lineRule="auto"/>
        <w:rPr>
          <w:sz w:val="20"/>
          <w:szCs w:val="20"/>
          <w:color w:val="auto"/>
        </w:rPr>
      </w:pPr>
      <w:r>
        <w:rPr>
          <w:rFonts w:ascii="Arial" w:cs="Arial" w:eastAsia="Arial" w:hAnsi="Arial"/>
          <w:sz w:val="16"/>
          <w:szCs w:val="16"/>
          <w:b w:val="1"/>
          <w:bCs w:val="1"/>
          <w:i w:val="1"/>
          <w:iCs w:val="1"/>
          <w:color w:val="32406B"/>
        </w:rPr>
        <w:t xml:space="preserve">AVR-RD-01. </w:t>
      </w:r>
      <w:r>
        <w:rPr>
          <w:rFonts w:ascii="Arial" w:cs="Arial" w:eastAsia="Arial" w:hAnsi="Arial"/>
          <w:sz w:val="16"/>
          <w:szCs w:val="16"/>
          <w:color w:val="32406B"/>
        </w:rPr>
        <w:t>Our lead product candidate, AVR-RD-01 for the treatment of Fabry disease, is derived from hematopoietic stem cells to which</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 xml:space="preserve">the gene encoding the enzyme a-galactosidase A, or AGA, is added in an </w:t>
      </w:r>
      <w:r>
        <w:rPr>
          <w:rFonts w:ascii="Arial" w:cs="Arial" w:eastAsia="Arial" w:hAnsi="Arial"/>
          <w:sz w:val="16"/>
          <w:szCs w:val="16"/>
          <w:i w:val="1"/>
          <w:iCs w:val="1"/>
          <w:color w:val="32406B"/>
        </w:rPr>
        <w:t>ex vivo</w:t>
      </w:r>
      <w:r>
        <w:rPr>
          <w:rFonts w:ascii="Arial" w:cs="Arial" w:eastAsia="Arial" w:hAnsi="Arial"/>
          <w:sz w:val="16"/>
          <w:szCs w:val="16"/>
          <w:color w:val="32406B"/>
        </w:rPr>
        <w:t xml:space="preserve"> process using a lentiviral vector. In an ongoing Phase 1 clinical trial of patients with Fabry disease, AVR-RD-01 has led to the production of active AGA enzyme in the two patients treated to date. In both patients, within days of receiving AVR-RD-01, the level of AGA enzyme activity began to rise from nearly undetectable levels before treatment to levels above the range for males with classic Fabry disease. As of twelve months after receiving AVR-RD-01, the first patient’s plasma AGA enzyme activity levels continued to be above the range for males with classic Fabry disease. Plasma AGA enzyme activity levels in the second patient remained above the range for males with classic Fabry disease, defined as less than 1 nmol/hr/ml, as of three months after treatment.</w:t>
      </w:r>
    </w:p>
    <w:p>
      <w:pPr>
        <w:spacing w:after="0" w:line="2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32406B"/>
        </w:rPr>
        <w:t>Plasma AGA Activity (nmol/hr/ml) Following Treatment with AVR-RD-01</w:t>
      </w:r>
    </w:p>
    <w:p>
      <w:pPr>
        <w:spacing w:after="0" w:line="251" w:lineRule="exact"/>
        <w:rPr>
          <w:sz w:val="20"/>
          <w:szCs w:val="20"/>
          <w:color w:val="auto"/>
        </w:rPr>
      </w:pPr>
    </w:p>
    <w:tbl>
      <w:tblPr>
        <w:tblLayout w:type="fixed"/>
        <w:tblInd w:w="390" w:type="dxa"/>
        <w:tblCellMar>
          <w:top w:w="0" w:type="dxa"/>
          <w:left w:w="0" w:type="dxa"/>
          <w:bottom w:w="0" w:type="dxa"/>
          <w:right w:w="0" w:type="dxa"/>
        </w:tblCellMar>
      </w:tblPr>
      <w:tr>
        <w:trPr>
          <w:trHeight w:val="139"/>
        </w:trPr>
        <w:tc>
          <w:tcPr>
            <w:tcW w:w="2420" w:type="dxa"/>
            <w:vAlign w:val="bottom"/>
            <w:tcBorders>
              <w:top w:val="single" w:sz="8" w:color="32406B"/>
              <w:left w:val="single" w:sz="8" w:color="32406B"/>
              <w:right w:val="single" w:sz="8" w:color="32406B"/>
            </w:tcBorders>
          </w:tcPr>
          <w:p>
            <w:pPr>
              <w:spacing w:after="0"/>
              <w:rPr>
                <w:sz w:val="12"/>
                <w:szCs w:val="12"/>
                <w:color w:val="auto"/>
              </w:rPr>
            </w:pPr>
          </w:p>
        </w:tc>
        <w:tc>
          <w:tcPr>
            <w:tcW w:w="3360" w:type="dxa"/>
            <w:vAlign w:val="bottom"/>
            <w:tcBorders>
              <w:top w:val="single" w:sz="8" w:color="32406B"/>
              <w:right w:val="single" w:sz="8" w:color="32406B"/>
            </w:tcBorders>
          </w:tcPr>
          <w:p>
            <w:pPr>
              <w:jc w:val="center"/>
              <w:ind w:left="1539"/>
              <w:spacing w:after="0" w:line="139" w:lineRule="exact"/>
              <w:rPr>
                <w:sz w:val="20"/>
                <w:szCs w:val="20"/>
                <w:color w:val="auto"/>
              </w:rPr>
            </w:pPr>
            <w:r>
              <w:rPr>
                <w:rFonts w:ascii="Arial" w:cs="Arial" w:eastAsia="Arial" w:hAnsi="Arial"/>
                <w:sz w:val="14"/>
                <w:szCs w:val="14"/>
                <w:b w:val="1"/>
                <w:bCs w:val="1"/>
                <w:color w:val="32406B"/>
                <w:w w:val="90"/>
              </w:rPr>
              <w:t>Day 0</w:t>
            </w:r>
          </w:p>
        </w:tc>
        <w:tc>
          <w:tcPr>
            <w:tcW w:w="2380" w:type="dxa"/>
            <w:vAlign w:val="bottom"/>
            <w:tcBorders>
              <w:top w:val="single" w:sz="8" w:color="32406B"/>
              <w:right w:val="single" w:sz="8" w:color="32406B"/>
            </w:tcBorders>
          </w:tcPr>
          <w:p>
            <w:pPr>
              <w:jc w:val="right"/>
              <w:ind w:right="76"/>
              <w:spacing w:after="0" w:line="139" w:lineRule="exact"/>
              <w:rPr>
                <w:sz w:val="20"/>
                <w:szCs w:val="20"/>
                <w:color w:val="auto"/>
              </w:rPr>
            </w:pPr>
            <w:r>
              <w:rPr>
                <w:rFonts w:ascii="Arial" w:cs="Arial" w:eastAsia="Arial" w:hAnsi="Arial"/>
                <w:sz w:val="14"/>
                <w:szCs w:val="14"/>
                <w:b w:val="1"/>
                <w:bCs w:val="1"/>
                <w:color w:val="32406B"/>
              </w:rPr>
              <w:t>3 Months</w:t>
            </w:r>
          </w:p>
        </w:tc>
        <w:tc>
          <w:tcPr>
            <w:tcW w:w="2500" w:type="dxa"/>
            <w:vAlign w:val="bottom"/>
            <w:tcBorders>
              <w:top w:val="single" w:sz="8" w:color="32406B"/>
              <w:right w:val="single" w:sz="8" w:color="32406B"/>
            </w:tcBorders>
          </w:tcPr>
          <w:p>
            <w:pPr>
              <w:ind w:left="1660"/>
              <w:spacing w:after="0" w:line="139" w:lineRule="exact"/>
              <w:rPr>
                <w:sz w:val="20"/>
                <w:szCs w:val="20"/>
                <w:color w:val="auto"/>
              </w:rPr>
            </w:pPr>
            <w:r>
              <w:rPr>
                <w:rFonts w:ascii="Arial" w:cs="Arial" w:eastAsia="Arial" w:hAnsi="Arial"/>
                <w:sz w:val="14"/>
                <w:szCs w:val="14"/>
                <w:b w:val="1"/>
                <w:bCs w:val="1"/>
                <w:color w:val="32406B"/>
              </w:rPr>
              <w:t>12 Months</w:t>
            </w:r>
          </w:p>
        </w:tc>
      </w:tr>
      <w:tr>
        <w:trPr>
          <w:trHeight w:val="185"/>
        </w:trPr>
        <w:tc>
          <w:tcPr>
            <w:tcW w:w="2420" w:type="dxa"/>
            <w:vAlign w:val="bottom"/>
            <w:tcBorders>
              <w:left w:val="single" w:sz="8" w:color="32406B"/>
              <w:bottom w:val="single" w:sz="8" w:color="32406B"/>
              <w:right w:val="single" w:sz="8" w:color="32406B"/>
            </w:tcBorders>
          </w:tcPr>
          <w:p>
            <w:pPr>
              <w:spacing w:after="0"/>
              <w:rPr>
                <w:sz w:val="16"/>
                <w:szCs w:val="16"/>
                <w:color w:val="auto"/>
              </w:rPr>
            </w:pPr>
          </w:p>
        </w:tc>
        <w:tc>
          <w:tcPr>
            <w:tcW w:w="3360" w:type="dxa"/>
            <w:vAlign w:val="bottom"/>
            <w:tcBorders>
              <w:bottom w:val="single" w:sz="8" w:color="32406B"/>
              <w:right w:val="single" w:sz="8" w:color="32406B"/>
            </w:tcBorders>
          </w:tcPr>
          <w:p>
            <w:pPr>
              <w:ind w:left="1640"/>
              <w:spacing w:after="0"/>
              <w:rPr>
                <w:sz w:val="20"/>
                <w:szCs w:val="20"/>
                <w:color w:val="auto"/>
              </w:rPr>
            </w:pPr>
            <w:r>
              <w:rPr>
                <w:rFonts w:ascii="Arial" w:cs="Arial" w:eastAsia="Arial" w:hAnsi="Arial"/>
                <w:sz w:val="14"/>
                <w:szCs w:val="14"/>
                <w:b w:val="1"/>
                <w:bCs w:val="1"/>
                <w:color w:val="32406B"/>
              </w:rPr>
              <w:t>(Infusion of AVR-RD-01)</w:t>
            </w:r>
          </w:p>
        </w:tc>
        <w:tc>
          <w:tcPr>
            <w:tcW w:w="2380" w:type="dxa"/>
            <w:vAlign w:val="bottom"/>
            <w:tcBorders>
              <w:bottom w:val="single" w:sz="8" w:color="32406B"/>
              <w:right w:val="single" w:sz="8" w:color="32406B"/>
            </w:tcBorders>
          </w:tcPr>
          <w:p>
            <w:pPr>
              <w:spacing w:after="0"/>
              <w:rPr>
                <w:sz w:val="16"/>
                <w:szCs w:val="16"/>
                <w:color w:val="auto"/>
              </w:rPr>
            </w:pPr>
          </w:p>
        </w:tc>
        <w:tc>
          <w:tcPr>
            <w:tcW w:w="2500" w:type="dxa"/>
            <w:vAlign w:val="bottom"/>
            <w:tcBorders>
              <w:bottom w:val="single" w:sz="8" w:color="32406B"/>
              <w:right w:val="single" w:sz="8" w:color="32406B"/>
            </w:tcBorders>
          </w:tcPr>
          <w:p>
            <w:pPr>
              <w:spacing w:after="0"/>
              <w:rPr>
                <w:sz w:val="16"/>
                <w:szCs w:val="16"/>
                <w:color w:val="auto"/>
              </w:rPr>
            </w:pPr>
          </w:p>
        </w:tc>
      </w:tr>
      <w:tr>
        <w:trPr>
          <w:trHeight w:val="210"/>
        </w:trPr>
        <w:tc>
          <w:tcPr>
            <w:tcW w:w="2420" w:type="dxa"/>
            <w:vAlign w:val="bottom"/>
            <w:tcBorders>
              <w:left w:val="single" w:sz="8" w:color="32406B"/>
              <w:bottom w:val="single" w:sz="8" w:color="32406B"/>
              <w:right w:val="single" w:sz="8" w:color="32406B"/>
            </w:tcBorders>
            <w:shd w:val="clear" w:color="auto" w:fill="CCEEFF"/>
          </w:tcPr>
          <w:p>
            <w:pPr>
              <w:ind w:left="180"/>
              <w:spacing w:after="0"/>
              <w:rPr>
                <w:sz w:val="20"/>
                <w:szCs w:val="20"/>
                <w:color w:val="auto"/>
              </w:rPr>
            </w:pPr>
            <w:r>
              <w:rPr>
                <w:rFonts w:ascii="Arial" w:cs="Arial" w:eastAsia="Arial" w:hAnsi="Arial"/>
                <w:sz w:val="18"/>
                <w:szCs w:val="18"/>
                <w:b w:val="1"/>
                <w:bCs w:val="1"/>
                <w:color w:val="32406B"/>
              </w:rPr>
              <w:t>Patient 1</w:t>
            </w:r>
          </w:p>
        </w:tc>
        <w:tc>
          <w:tcPr>
            <w:tcW w:w="3360" w:type="dxa"/>
            <w:vAlign w:val="bottom"/>
            <w:tcBorders>
              <w:bottom w:val="single" w:sz="8" w:color="32406B"/>
              <w:right w:val="single" w:sz="8" w:color="32406B"/>
            </w:tcBorders>
            <w:shd w:val="clear" w:color="auto" w:fill="CCEEFF"/>
          </w:tcPr>
          <w:p>
            <w:pPr>
              <w:jc w:val="center"/>
              <w:ind w:left="1539"/>
              <w:spacing w:after="0"/>
              <w:rPr>
                <w:sz w:val="20"/>
                <w:szCs w:val="20"/>
                <w:color w:val="auto"/>
              </w:rPr>
            </w:pPr>
            <w:r>
              <w:rPr>
                <w:rFonts w:ascii="Arial" w:cs="Arial" w:eastAsia="Arial" w:hAnsi="Arial"/>
                <w:sz w:val="18"/>
                <w:szCs w:val="18"/>
                <w:color w:val="32406B"/>
                <w:w w:val="87"/>
              </w:rPr>
              <w:t>0.1</w:t>
            </w:r>
          </w:p>
        </w:tc>
        <w:tc>
          <w:tcPr>
            <w:tcW w:w="2380" w:type="dxa"/>
            <w:vAlign w:val="bottom"/>
            <w:tcBorders>
              <w:bottom w:val="single" w:sz="8" w:color="32406B"/>
              <w:right w:val="single" w:sz="8" w:color="32406B"/>
            </w:tcBorders>
            <w:shd w:val="clear" w:color="auto" w:fill="CCEEFF"/>
          </w:tcPr>
          <w:p>
            <w:pPr>
              <w:jc w:val="right"/>
              <w:ind w:right="216"/>
              <w:spacing w:after="0"/>
              <w:rPr>
                <w:sz w:val="20"/>
                <w:szCs w:val="20"/>
                <w:color w:val="auto"/>
              </w:rPr>
            </w:pPr>
            <w:r>
              <w:rPr>
                <w:rFonts w:ascii="Arial" w:cs="Arial" w:eastAsia="Arial" w:hAnsi="Arial"/>
                <w:sz w:val="18"/>
                <w:szCs w:val="18"/>
                <w:color w:val="32406B"/>
              </w:rPr>
              <w:t>5.8</w:t>
            </w:r>
          </w:p>
        </w:tc>
        <w:tc>
          <w:tcPr>
            <w:tcW w:w="2500" w:type="dxa"/>
            <w:vAlign w:val="bottom"/>
            <w:tcBorders>
              <w:bottom w:val="single" w:sz="8" w:color="32406B"/>
              <w:right w:val="single" w:sz="8" w:color="32406B"/>
            </w:tcBorders>
            <w:shd w:val="clear" w:color="auto" w:fill="CCEEFF"/>
          </w:tcPr>
          <w:p>
            <w:pPr>
              <w:jc w:val="right"/>
              <w:ind w:right="276"/>
              <w:spacing w:after="0"/>
              <w:rPr>
                <w:sz w:val="20"/>
                <w:szCs w:val="20"/>
                <w:color w:val="auto"/>
              </w:rPr>
            </w:pPr>
            <w:r>
              <w:rPr>
                <w:rFonts w:ascii="Arial" w:cs="Arial" w:eastAsia="Arial" w:hAnsi="Arial"/>
                <w:sz w:val="18"/>
                <w:szCs w:val="18"/>
                <w:color w:val="32406B"/>
              </w:rPr>
              <w:t>5.8</w:t>
            </w:r>
          </w:p>
        </w:tc>
      </w:tr>
      <w:tr>
        <w:trPr>
          <w:trHeight w:val="210"/>
        </w:trPr>
        <w:tc>
          <w:tcPr>
            <w:tcW w:w="2420" w:type="dxa"/>
            <w:vAlign w:val="bottom"/>
            <w:tcBorders>
              <w:left w:val="single" w:sz="8" w:color="32406B"/>
              <w:bottom w:val="single" w:sz="8" w:color="32406B"/>
              <w:right w:val="single" w:sz="8" w:color="32406B"/>
            </w:tcBorders>
          </w:tcPr>
          <w:p>
            <w:pPr>
              <w:ind w:left="180"/>
              <w:spacing w:after="0"/>
              <w:rPr>
                <w:sz w:val="20"/>
                <w:szCs w:val="20"/>
                <w:color w:val="auto"/>
              </w:rPr>
            </w:pPr>
            <w:r>
              <w:rPr>
                <w:rFonts w:ascii="Arial" w:cs="Arial" w:eastAsia="Arial" w:hAnsi="Arial"/>
                <w:sz w:val="18"/>
                <w:szCs w:val="18"/>
                <w:b w:val="1"/>
                <w:bCs w:val="1"/>
                <w:color w:val="32406B"/>
              </w:rPr>
              <w:t>Patient 2</w:t>
            </w:r>
          </w:p>
        </w:tc>
        <w:tc>
          <w:tcPr>
            <w:tcW w:w="3360" w:type="dxa"/>
            <w:vAlign w:val="bottom"/>
            <w:tcBorders>
              <w:bottom w:val="single" w:sz="8" w:color="32406B"/>
              <w:right w:val="single" w:sz="8" w:color="32406B"/>
            </w:tcBorders>
          </w:tcPr>
          <w:p>
            <w:pPr>
              <w:jc w:val="center"/>
              <w:ind w:left="1539"/>
              <w:spacing w:after="0"/>
              <w:rPr>
                <w:sz w:val="20"/>
                <w:szCs w:val="20"/>
                <w:color w:val="auto"/>
              </w:rPr>
            </w:pPr>
            <w:r>
              <w:rPr>
                <w:rFonts w:ascii="Arial" w:cs="Arial" w:eastAsia="Arial" w:hAnsi="Arial"/>
                <w:sz w:val="18"/>
                <w:szCs w:val="18"/>
                <w:color w:val="32406B"/>
                <w:w w:val="87"/>
              </w:rPr>
              <w:t>0.2</w:t>
            </w:r>
          </w:p>
        </w:tc>
        <w:tc>
          <w:tcPr>
            <w:tcW w:w="2380" w:type="dxa"/>
            <w:vAlign w:val="bottom"/>
            <w:tcBorders>
              <w:bottom w:val="single" w:sz="8" w:color="32406B"/>
              <w:right w:val="single" w:sz="8" w:color="32406B"/>
            </w:tcBorders>
          </w:tcPr>
          <w:p>
            <w:pPr>
              <w:jc w:val="right"/>
              <w:ind w:right="216"/>
              <w:spacing w:after="0"/>
              <w:rPr>
                <w:sz w:val="20"/>
                <w:szCs w:val="20"/>
                <w:color w:val="auto"/>
              </w:rPr>
            </w:pPr>
            <w:r>
              <w:rPr>
                <w:rFonts w:ascii="Arial" w:cs="Arial" w:eastAsia="Arial" w:hAnsi="Arial"/>
                <w:sz w:val="18"/>
                <w:szCs w:val="18"/>
                <w:color w:val="32406B"/>
              </w:rPr>
              <w:t>7.6</w:t>
            </w:r>
          </w:p>
        </w:tc>
        <w:tc>
          <w:tcPr>
            <w:tcW w:w="2500" w:type="dxa"/>
            <w:vAlign w:val="bottom"/>
            <w:tcBorders>
              <w:bottom w:val="single" w:sz="8" w:color="32406B"/>
              <w:right w:val="single" w:sz="8" w:color="32406B"/>
            </w:tcBorders>
          </w:tcPr>
          <w:p>
            <w:pPr>
              <w:jc w:val="center"/>
              <w:ind w:left="1496"/>
              <w:spacing w:after="0"/>
              <w:rPr>
                <w:sz w:val="20"/>
                <w:szCs w:val="20"/>
                <w:color w:val="auto"/>
              </w:rPr>
            </w:pPr>
            <w:r>
              <w:rPr>
                <w:rFonts w:ascii="Arial" w:cs="Arial" w:eastAsia="Arial" w:hAnsi="Arial"/>
                <w:sz w:val="18"/>
                <w:szCs w:val="18"/>
                <w:color w:val="32406B"/>
              </w:rPr>
              <w:t>N/A</w:t>
            </w:r>
          </w:p>
        </w:tc>
      </w:tr>
    </w:tbl>
    <w:p>
      <w:pPr>
        <w:spacing w:after="0" w:line="202" w:lineRule="exact"/>
        <w:rPr>
          <w:sz w:val="20"/>
          <w:szCs w:val="20"/>
          <w:color w:val="auto"/>
        </w:rPr>
      </w:pPr>
    </w:p>
    <w:p>
      <w:pPr>
        <w:ind w:left="380" w:right="240" w:firstLine="426"/>
        <w:spacing w:after="0" w:line="277" w:lineRule="auto"/>
        <w:rPr>
          <w:sz w:val="20"/>
          <w:szCs w:val="20"/>
          <w:color w:val="auto"/>
        </w:rPr>
      </w:pPr>
      <w:r>
        <w:rPr>
          <w:rFonts w:ascii="Arial" w:cs="Arial" w:eastAsia="Arial" w:hAnsi="Arial"/>
          <w:sz w:val="18"/>
          <w:szCs w:val="18"/>
          <w:color w:val="32406B"/>
        </w:rPr>
        <w:t>We believe these preliminary results support the potential of AVR-RD-01 to drive active enzyme production for long durations. On June 7, 2018, we dosed the first patient in our company-sponsored Phase 2 clinical trial.</w:t>
      </w:r>
    </w:p>
    <w:p>
      <w:pPr>
        <w:spacing w:after="0" w:line="170"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b w:val="1"/>
          <w:bCs w:val="1"/>
          <w:i w:val="1"/>
          <w:iCs w:val="1"/>
          <w:color w:val="32406B"/>
        </w:rPr>
        <w:t xml:space="preserve">AVR-RD-02. </w:t>
      </w:r>
      <w:r>
        <w:rPr>
          <w:rFonts w:ascii="Arial" w:cs="Arial" w:eastAsia="Arial" w:hAnsi="Arial"/>
          <w:sz w:val="18"/>
          <w:szCs w:val="18"/>
          <w:color w:val="32406B"/>
        </w:rPr>
        <w:t>We are developing AVR-RD-02 for the treatment of Type 1 Gaucher disease. We will manufacture AVR-RD-02 from</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hematopoietic stem cells that are first extracted from the patient, modified to add the gene that encodes for glucocerebrosidase, or GCase, and then infused into the patient. We plan to initiate a Phase 1/2 clinical trial for AVR-RD-02 in patients with Type 1 Gaucher disease and expect to dose the first patient in this clinical trial in 2019.</w:t>
      </w:r>
    </w:p>
    <w:p>
      <w:pPr>
        <w:spacing w:after="0" w:line="187"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b w:val="1"/>
          <w:bCs w:val="1"/>
          <w:i w:val="1"/>
          <w:iCs w:val="1"/>
          <w:color w:val="32406B"/>
        </w:rPr>
        <w:t xml:space="preserve">AVR-RD-03. </w:t>
      </w:r>
      <w:r>
        <w:rPr>
          <w:rFonts w:ascii="Arial" w:cs="Arial" w:eastAsia="Arial" w:hAnsi="Arial"/>
          <w:sz w:val="18"/>
          <w:szCs w:val="18"/>
          <w:color w:val="32406B"/>
        </w:rPr>
        <w:t>We are developing AVR-RD-03 for the treatment of Pompe disease. We will manufacture AVR-RD-03 from hematopoietic stem</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cells that are first extracted from the patient, modified to add the gene that encodes for acid alpha glucosidase A, or GAA, attached to a peptide sequence known as a glycosylation-independent lysosomal targeting, or GILT, tag and then infused into the patient. AVR-RD-03 will incorporate a GILT tag because the addition of a GILT tag has been shown to increase the uptake of GAA into cells, especially in muscle cells, which is a particularly important target tissue for patients with Pompe disease.</w:t>
      </w:r>
    </w:p>
    <w:p>
      <w:pPr>
        <w:spacing w:after="0" w:line="188" w:lineRule="exact"/>
        <w:rPr>
          <w:sz w:val="20"/>
          <w:szCs w:val="20"/>
          <w:color w:val="auto"/>
        </w:rPr>
      </w:pPr>
    </w:p>
    <w:p>
      <w:pPr>
        <w:ind w:left="380" w:right="340" w:firstLine="426"/>
        <w:spacing w:after="0" w:line="286" w:lineRule="auto"/>
        <w:rPr>
          <w:sz w:val="20"/>
          <w:szCs w:val="20"/>
          <w:color w:val="auto"/>
        </w:rPr>
      </w:pPr>
      <w:r>
        <w:rPr>
          <w:rFonts w:ascii="Arial" w:cs="Arial" w:eastAsia="Arial" w:hAnsi="Arial"/>
          <w:sz w:val="17"/>
          <w:szCs w:val="17"/>
          <w:b w:val="1"/>
          <w:bCs w:val="1"/>
          <w:i w:val="1"/>
          <w:iCs w:val="1"/>
          <w:color w:val="32406B"/>
        </w:rPr>
        <w:t xml:space="preserve">AVR-RD-04. </w:t>
      </w:r>
      <w:r>
        <w:rPr>
          <w:rFonts w:ascii="Arial" w:cs="Arial" w:eastAsia="Arial" w:hAnsi="Arial"/>
          <w:sz w:val="17"/>
          <w:szCs w:val="17"/>
          <w:color w:val="32406B"/>
        </w:rPr>
        <w:t>We are developing AVR-RD-04 for the treatment of patients with cystinosis. We will manufacture AVR-RD-04 from</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hematopoietic stem cells that are first extracted from the patient, modified to add the gene that encodes for cystinosin, and then infused into the patient. In a planned academic sponsored Phase 1/2 clinical trial, we expect the first patient will be dosed in 2019.</w:t>
      </w:r>
    </w:p>
    <w:p>
      <w:pPr>
        <w:spacing w:after="0" w:line="166" w:lineRule="exact"/>
        <w:rPr>
          <w:sz w:val="20"/>
          <w:szCs w:val="20"/>
          <w:color w:val="auto"/>
        </w:rPr>
      </w:pPr>
    </w:p>
    <w:p>
      <w:pPr>
        <w:ind w:left="380" w:right="60" w:firstLine="426"/>
        <w:spacing w:after="0" w:line="308" w:lineRule="auto"/>
        <w:rPr>
          <w:sz w:val="20"/>
          <w:szCs w:val="20"/>
          <w:color w:val="auto"/>
        </w:rPr>
      </w:pPr>
      <w:r>
        <w:rPr>
          <w:rFonts w:ascii="Arial" w:cs="Arial" w:eastAsia="Arial" w:hAnsi="Arial"/>
          <w:sz w:val="17"/>
          <w:szCs w:val="17"/>
          <w:color w:val="32406B"/>
        </w:rPr>
        <w:t>We continue to seek opportunities to expand our approach to other rare and non-rare diseases. We plan to identify and develop future product candidates through our own internal research efforts as well as through collaborations with leading researchers worldwide.</w:t>
      </w:r>
    </w:p>
    <w:p>
      <w:pPr>
        <w:spacing w:after="0" w:line="147"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32406B"/>
        </w:rPr>
        <w:t>We have developed a detailed plan for the more cost efficient and scalable manufacturing of our product candidates. We are establishing global manufacturing capabilities to support all aspects of the development and, if approved, the eventual commercialization of our gene therapies, from lentiviral vector production to cell processing. We are currently executing on our plans to move to a closed, automated manufacturing system. We also utilize a cryopreservation process that we believe will allow for the global distribution and, if approved, commercialization of our gene therapies.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32406B"/>
        </w:rPr>
        <w:t>3</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814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62814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Our Expertise</w:t>
      </w:r>
    </w:p>
    <w:p>
      <w:pPr>
        <w:spacing w:after="0" w:line="121" w:lineRule="exact"/>
        <w:rPr>
          <w:sz w:val="20"/>
          <w:szCs w:val="20"/>
          <w:color w:val="auto"/>
        </w:rPr>
      </w:pPr>
    </w:p>
    <w:p>
      <w:pPr>
        <w:ind w:left="380" w:right="180" w:firstLine="426"/>
        <w:spacing w:after="0" w:line="302" w:lineRule="auto"/>
        <w:rPr>
          <w:sz w:val="20"/>
          <w:szCs w:val="20"/>
          <w:color w:val="auto"/>
        </w:rPr>
      </w:pPr>
      <w:r>
        <w:rPr>
          <w:rFonts w:ascii="Arial" w:cs="Arial" w:eastAsia="Arial" w:hAnsi="Arial"/>
          <w:sz w:val="16"/>
          <w:szCs w:val="16"/>
          <w:color w:val="32406B"/>
        </w:rPr>
        <w:t>We are led by biopharmaceutical experts with extensive experience in gene and cellular therapy and rare diseases. Our team has broad expertise in the clinical, regulatory and commercialization aspects of rare diseases as well as process development and manufacturing for cellular therapies. Members of our management team have held senior positions at Shire, Genzyme, Novartis, Lonza and other companies pursuing development, manufacturing and commercialization of gene and cellular therapies and therapies to treat rare diseases.</w:t>
      </w:r>
    </w:p>
    <w:p>
      <w:pPr>
        <w:spacing w:after="0" w:line="2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Our Strategy</w:t>
      </w:r>
    </w:p>
    <w:p>
      <w:pPr>
        <w:spacing w:after="0" w:line="121" w:lineRule="exact"/>
        <w:rPr>
          <w:sz w:val="20"/>
          <w:szCs w:val="20"/>
          <w:color w:val="auto"/>
        </w:rPr>
      </w:pPr>
    </w:p>
    <w:p>
      <w:pPr>
        <w:ind w:left="380" w:right="40" w:firstLine="426"/>
        <w:spacing w:after="0" w:line="277" w:lineRule="auto"/>
        <w:rPr>
          <w:sz w:val="20"/>
          <w:szCs w:val="20"/>
          <w:color w:val="auto"/>
        </w:rPr>
      </w:pPr>
      <w:r>
        <w:rPr>
          <w:rFonts w:ascii="Arial" w:cs="Arial" w:eastAsia="Arial" w:hAnsi="Arial"/>
          <w:sz w:val="18"/>
          <w:szCs w:val="18"/>
          <w:color w:val="32406B"/>
        </w:rPr>
        <w:t>Our goal is to develop and commercialize potentially curative lentiviral-based gene therapies for patients and expand the use of this approach to treat a number of diseases. Key elements of our strategy to achieve our goal include:</w:t>
      </w:r>
    </w:p>
    <w:p>
      <w:pPr>
        <w:spacing w:after="0" w:line="76" w:lineRule="exact"/>
        <w:rPr>
          <w:sz w:val="20"/>
          <w:szCs w:val="20"/>
          <w:color w:val="auto"/>
        </w:rPr>
      </w:pPr>
    </w:p>
    <w:p>
      <w:pPr>
        <w:ind w:left="1220" w:hanging="415"/>
        <w:spacing w:after="0"/>
        <w:tabs>
          <w:tab w:leader="none" w:pos="122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Rapidly advance our initial gene therapies;</w:t>
      </w:r>
    </w:p>
    <w:p>
      <w:pPr>
        <w:spacing w:after="0" w:line="130" w:lineRule="exact"/>
        <w:rPr>
          <w:rFonts w:ascii="Arial" w:cs="Arial" w:eastAsia="Arial" w:hAnsi="Arial"/>
          <w:sz w:val="18"/>
          <w:szCs w:val="18"/>
          <w:color w:val="32406B"/>
        </w:rPr>
      </w:pPr>
    </w:p>
    <w:p>
      <w:pPr>
        <w:ind w:left="1220" w:hanging="415"/>
        <w:spacing w:after="0"/>
        <w:tabs>
          <w:tab w:leader="none" w:pos="122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Develop first-line gene therapies for lysosomal storage diseases;</w:t>
      </w:r>
    </w:p>
    <w:p>
      <w:pPr>
        <w:spacing w:after="0" w:line="130" w:lineRule="exact"/>
        <w:rPr>
          <w:rFonts w:ascii="Arial" w:cs="Arial" w:eastAsia="Arial" w:hAnsi="Arial"/>
          <w:sz w:val="18"/>
          <w:szCs w:val="18"/>
          <w:color w:val="32406B"/>
        </w:rPr>
      </w:pPr>
    </w:p>
    <w:p>
      <w:pPr>
        <w:ind w:left="1220" w:hanging="415"/>
        <w:spacing w:after="0"/>
        <w:tabs>
          <w:tab w:leader="none" w:pos="122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Globally develop, manufacture and commercialize our gene therapies;</w:t>
      </w:r>
    </w:p>
    <w:p>
      <w:pPr>
        <w:spacing w:after="0" w:line="130" w:lineRule="exact"/>
        <w:rPr>
          <w:rFonts w:ascii="Arial" w:cs="Arial" w:eastAsia="Arial" w:hAnsi="Arial"/>
          <w:sz w:val="18"/>
          <w:szCs w:val="18"/>
          <w:color w:val="32406B"/>
        </w:rPr>
      </w:pPr>
    </w:p>
    <w:p>
      <w:pPr>
        <w:ind w:left="1220" w:hanging="415"/>
        <w:spacing w:after="0"/>
        <w:tabs>
          <w:tab w:leader="none" w:pos="122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Industrialize lentiviral-based gene therapy; and</w:t>
      </w:r>
    </w:p>
    <w:p>
      <w:pPr>
        <w:spacing w:after="0" w:line="130" w:lineRule="exact"/>
        <w:rPr>
          <w:rFonts w:ascii="Arial" w:cs="Arial" w:eastAsia="Arial" w:hAnsi="Arial"/>
          <w:sz w:val="18"/>
          <w:szCs w:val="18"/>
          <w:color w:val="32406B"/>
        </w:rPr>
      </w:pPr>
    </w:p>
    <w:p>
      <w:pPr>
        <w:ind w:left="1220" w:hanging="415"/>
        <w:spacing w:after="0"/>
        <w:tabs>
          <w:tab w:leader="none" w:pos="122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Leverage our approach beyond our initial indications.</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Risks Associated with Our Business</w:t>
      </w:r>
    </w:p>
    <w:p>
      <w:pPr>
        <w:spacing w:after="0" w:line="121" w:lineRule="exact"/>
        <w:rPr>
          <w:sz w:val="20"/>
          <w:szCs w:val="20"/>
          <w:color w:val="auto"/>
        </w:rPr>
      </w:pPr>
    </w:p>
    <w:p>
      <w:pPr>
        <w:ind w:left="380" w:right="160" w:firstLine="426"/>
        <w:spacing w:after="0" w:line="342" w:lineRule="auto"/>
        <w:rPr>
          <w:sz w:val="20"/>
          <w:szCs w:val="20"/>
          <w:color w:val="auto"/>
        </w:rPr>
      </w:pPr>
      <w:r>
        <w:rPr>
          <w:rFonts w:ascii="Arial" w:cs="Arial" w:eastAsia="Arial" w:hAnsi="Arial"/>
          <w:sz w:val="16"/>
          <w:szCs w:val="16"/>
          <w:color w:val="32406B"/>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29" w:lineRule="exact"/>
        <w:rPr>
          <w:sz w:val="20"/>
          <w:szCs w:val="20"/>
          <w:color w:val="auto"/>
        </w:rPr>
      </w:pPr>
    </w:p>
    <w:p>
      <w:pPr>
        <w:ind w:left="1220" w:right="60" w:hanging="415"/>
        <w:spacing w:after="0" w:line="277" w:lineRule="auto"/>
        <w:tabs>
          <w:tab w:leader="none" w:pos="122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We have incurred net losses since inception. We expect to incur net losses for the foreseeable future and may never achieve or maintain profitability.</w:t>
      </w:r>
    </w:p>
    <w:p>
      <w:pPr>
        <w:spacing w:after="0" w:line="75" w:lineRule="exact"/>
        <w:rPr>
          <w:rFonts w:ascii="Arial" w:cs="Arial" w:eastAsia="Arial" w:hAnsi="Arial"/>
          <w:sz w:val="18"/>
          <w:szCs w:val="18"/>
          <w:color w:val="32406B"/>
        </w:rPr>
      </w:pPr>
    </w:p>
    <w:p>
      <w:pPr>
        <w:ind w:left="1220" w:right="180" w:hanging="415"/>
        <w:spacing w:after="0" w:line="277" w:lineRule="auto"/>
        <w:tabs>
          <w:tab w:leader="none" w:pos="122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Our lentiviral-based gene therapy product candidates are based on a novel technology, which makes it difficult to predict the time and cost of product candidate development and of subsequently obtaining regulatory approval.</w:t>
      </w:r>
    </w:p>
    <w:p>
      <w:pPr>
        <w:spacing w:after="0" w:line="75" w:lineRule="exact"/>
        <w:rPr>
          <w:rFonts w:ascii="Arial" w:cs="Arial" w:eastAsia="Arial" w:hAnsi="Arial"/>
          <w:sz w:val="18"/>
          <w:szCs w:val="18"/>
          <w:color w:val="32406B"/>
        </w:rPr>
      </w:pPr>
    </w:p>
    <w:p>
      <w:pPr>
        <w:ind w:left="1220" w:right="480" w:hanging="415"/>
        <w:spacing w:after="0" w:line="264" w:lineRule="auto"/>
        <w:tabs>
          <w:tab w:leader="none" w:pos="122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86" w:lineRule="exact"/>
        <w:rPr>
          <w:rFonts w:ascii="Arial" w:cs="Arial" w:eastAsia="Arial" w:hAnsi="Arial"/>
          <w:sz w:val="18"/>
          <w:szCs w:val="18"/>
          <w:color w:val="32406B"/>
        </w:rPr>
      </w:pPr>
    </w:p>
    <w:p>
      <w:pPr>
        <w:ind w:left="1220" w:right="100" w:hanging="415"/>
        <w:spacing w:after="0" w:line="259" w:lineRule="auto"/>
        <w:tabs>
          <w:tab w:leader="none" w:pos="122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AVR-RD-01 is being investigated in an investigator-sponsored ongoing Phase 1 clinical trial, in which two patients have been dosed to date and a company-sponsored Phase 2 clinical trial, in which one patient has been dosed to date. We have not commenced clinical trials for any of our other product candidates. We have never completed pivotal clinical trials, and may be unable to do so for any product candidates we may develop, including AVR-RD-01.</w:t>
      </w:r>
    </w:p>
    <w:p>
      <w:pPr>
        <w:spacing w:after="0" w:line="92" w:lineRule="exact"/>
        <w:rPr>
          <w:rFonts w:ascii="Arial" w:cs="Arial" w:eastAsia="Arial" w:hAnsi="Arial"/>
          <w:sz w:val="18"/>
          <w:szCs w:val="18"/>
          <w:color w:val="32406B"/>
        </w:rPr>
      </w:pPr>
    </w:p>
    <w:p>
      <w:pPr>
        <w:ind w:left="1220" w:right="240" w:hanging="415"/>
        <w:spacing w:after="0" w:line="277" w:lineRule="auto"/>
        <w:tabs>
          <w:tab w:leader="none" w:pos="122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We may find it difficult to enroll patients in our clinical trials, which could delay or prevent us from proceeding with clinical trials of our product candidates.</w:t>
      </w:r>
    </w:p>
    <w:p>
      <w:pPr>
        <w:spacing w:after="0" w:line="75" w:lineRule="exact"/>
        <w:rPr>
          <w:rFonts w:ascii="Arial" w:cs="Arial" w:eastAsia="Arial" w:hAnsi="Arial"/>
          <w:sz w:val="18"/>
          <w:szCs w:val="18"/>
          <w:color w:val="32406B"/>
        </w:rPr>
      </w:pPr>
    </w:p>
    <w:p>
      <w:pPr>
        <w:ind w:left="1220" w:hanging="415"/>
        <w:spacing w:after="0" w:line="279" w:lineRule="auto"/>
        <w:tabs>
          <w:tab w:leader="none" w:pos="1220" w:val="left"/>
        </w:tabs>
        <w:numPr>
          <w:ilvl w:val="0"/>
          <w:numId w:val="3"/>
        </w:numPr>
        <w:rPr>
          <w:rFonts w:ascii="Arial" w:cs="Arial" w:eastAsia="Arial" w:hAnsi="Arial"/>
          <w:sz w:val="17"/>
          <w:szCs w:val="17"/>
          <w:color w:val="32406B"/>
        </w:rPr>
      </w:pPr>
      <w:r>
        <w:rPr>
          <w:rFonts w:ascii="Arial" w:cs="Arial" w:eastAsia="Arial" w:hAnsi="Arial"/>
          <w:sz w:val="17"/>
          <w:szCs w:val="17"/>
          <w:color w:val="32406B"/>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4</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85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6058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960" w:hanging="415"/>
        <w:spacing w:after="0" w:line="342" w:lineRule="auto"/>
        <w:tabs>
          <w:tab w:leader="none" w:pos="1220" w:val="left"/>
        </w:tabs>
        <w:numPr>
          <w:ilvl w:val="0"/>
          <w:numId w:val="4"/>
        </w:numPr>
        <w:rPr>
          <w:rFonts w:ascii="Arial" w:cs="Arial" w:eastAsia="Arial" w:hAnsi="Arial"/>
          <w:sz w:val="16"/>
          <w:szCs w:val="16"/>
          <w:color w:val="32406B"/>
        </w:rPr>
      </w:pPr>
      <w:r>
        <w:rPr>
          <w:rFonts w:ascii="Arial" w:cs="Arial" w:eastAsia="Arial" w:hAnsi="Arial"/>
          <w:sz w:val="16"/>
          <w:szCs w:val="16"/>
          <w:color w:val="32406B"/>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29" w:lineRule="exact"/>
        <w:rPr>
          <w:rFonts w:ascii="Arial" w:cs="Arial" w:eastAsia="Arial" w:hAnsi="Arial"/>
          <w:sz w:val="16"/>
          <w:szCs w:val="16"/>
          <w:color w:val="32406B"/>
        </w:rPr>
      </w:pPr>
    </w:p>
    <w:p>
      <w:pPr>
        <w:ind w:left="1220" w:right="180" w:hanging="415"/>
        <w:spacing w:after="0" w:line="277" w:lineRule="auto"/>
        <w:tabs>
          <w:tab w:leader="none" w:pos="1220" w:val="left"/>
        </w:tabs>
        <w:numPr>
          <w:ilvl w:val="0"/>
          <w:numId w:val="4"/>
        </w:numPr>
        <w:rPr>
          <w:rFonts w:ascii="Arial" w:cs="Arial" w:eastAsia="Arial" w:hAnsi="Arial"/>
          <w:sz w:val="18"/>
          <w:szCs w:val="18"/>
          <w:color w:val="32406B"/>
        </w:rPr>
      </w:pPr>
      <w:r>
        <w:rPr>
          <w:rFonts w:ascii="Arial" w:cs="Arial" w:eastAsia="Arial" w:hAnsi="Arial"/>
          <w:sz w:val="18"/>
          <w:szCs w:val="18"/>
          <w:color w:val="32406B"/>
        </w:rPr>
        <w:t>Gene therapies are novel, complex and difficult to manufacture. We could experience production problems that result in delays in our development or commercialization programs or otherwise adversely affect our business.</w:t>
      </w:r>
    </w:p>
    <w:p>
      <w:pPr>
        <w:spacing w:after="0" w:line="75" w:lineRule="exact"/>
        <w:rPr>
          <w:rFonts w:ascii="Arial" w:cs="Arial" w:eastAsia="Arial" w:hAnsi="Arial"/>
          <w:sz w:val="18"/>
          <w:szCs w:val="18"/>
          <w:color w:val="32406B"/>
        </w:rPr>
      </w:pPr>
    </w:p>
    <w:p>
      <w:pPr>
        <w:ind w:left="1220" w:hanging="415"/>
        <w:spacing w:after="0"/>
        <w:tabs>
          <w:tab w:leader="none" w:pos="1220" w:val="left"/>
        </w:tabs>
        <w:numPr>
          <w:ilvl w:val="0"/>
          <w:numId w:val="4"/>
        </w:numPr>
        <w:rPr>
          <w:rFonts w:ascii="Arial" w:cs="Arial" w:eastAsia="Arial" w:hAnsi="Arial"/>
          <w:sz w:val="17"/>
          <w:szCs w:val="17"/>
          <w:color w:val="32406B"/>
        </w:rPr>
      </w:pPr>
      <w:r>
        <w:rPr>
          <w:rFonts w:ascii="Arial" w:cs="Arial" w:eastAsia="Arial" w:hAnsi="Arial"/>
          <w:sz w:val="17"/>
          <w:szCs w:val="17"/>
          <w:color w:val="32406B"/>
        </w:rPr>
        <w:t>Third-party claims of intellectual property infringement may prevent or delay our development and commercialization efforts.</w:t>
      </w:r>
    </w:p>
    <w:p>
      <w:pPr>
        <w:spacing w:after="0" w:line="142" w:lineRule="exact"/>
        <w:rPr>
          <w:rFonts w:ascii="Arial" w:cs="Arial" w:eastAsia="Arial" w:hAnsi="Arial"/>
          <w:sz w:val="17"/>
          <w:szCs w:val="17"/>
          <w:color w:val="32406B"/>
        </w:rPr>
      </w:pPr>
    </w:p>
    <w:p>
      <w:pPr>
        <w:ind w:left="1220" w:right="20" w:hanging="415"/>
        <w:spacing w:after="0" w:line="259" w:lineRule="auto"/>
        <w:tabs>
          <w:tab w:leader="none" w:pos="1220" w:val="left"/>
        </w:tabs>
        <w:numPr>
          <w:ilvl w:val="0"/>
          <w:numId w:val="4"/>
        </w:numPr>
        <w:rPr>
          <w:rFonts w:ascii="Arial" w:cs="Arial" w:eastAsia="Arial" w:hAnsi="Arial"/>
          <w:sz w:val="18"/>
          <w:szCs w:val="18"/>
          <w:color w:val="32406B"/>
        </w:rPr>
      </w:pPr>
      <w:r>
        <w:rPr>
          <w:rFonts w:ascii="Arial" w:cs="Arial" w:eastAsia="Arial" w:hAnsi="Arial"/>
          <w:sz w:val="18"/>
          <w:szCs w:val="18"/>
          <w:color w:val="32406B"/>
        </w:rPr>
        <w:t>Our rights to develop and commercialize our product candidates are subject, in part, to the terms and conditions of licenses granted to us by others. In particular, we have in-licensed certain intellectual property rights and know-how relevant to AVR-RD-01 for our Fabry program and AVR-RD-02 for our Gaucher program, but do not own or license any patents or patent applications covering these product candidates.</w:t>
      </w:r>
    </w:p>
    <w:p>
      <w:pPr>
        <w:spacing w:after="0" w:line="92" w:lineRule="exact"/>
        <w:rPr>
          <w:rFonts w:ascii="Arial" w:cs="Arial" w:eastAsia="Arial" w:hAnsi="Arial"/>
          <w:sz w:val="18"/>
          <w:szCs w:val="18"/>
          <w:color w:val="32406B"/>
        </w:rPr>
      </w:pPr>
    </w:p>
    <w:p>
      <w:pPr>
        <w:ind w:left="1220" w:right="140" w:hanging="415"/>
        <w:spacing w:after="0" w:line="264" w:lineRule="auto"/>
        <w:tabs>
          <w:tab w:leader="none" w:pos="1220" w:val="left"/>
        </w:tabs>
        <w:numPr>
          <w:ilvl w:val="0"/>
          <w:numId w:val="4"/>
        </w:numPr>
        <w:rPr>
          <w:rFonts w:ascii="Arial" w:cs="Arial" w:eastAsia="Arial" w:hAnsi="Arial"/>
          <w:sz w:val="18"/>
          <w:szCs w:val="18"/>
          <w:color w:val="32406B"/>
        </w:rPr>
      </w:pPr>
      <w:r>
        <w:rPr>
          <w:rFonts w:ascii="Arial" w:cs="Arial" w:eastAsia="Arial" w:hAnsi="Arial"/>
          <w:sz w:val="18"/>
          <w:szCs w:val="18"/>
          <w:color w:val="32406B"/>
        </w:rPr>
        <w:t>We are aware of issued patents in the United States that cover the lentiviral vectors used in the manufacture of our product candidates. While we believe that we have reasonable defenses against a claim of infringement, there can be no assurance that we will prevail in any such action by the holder of these patents.</w:t>
      </w:r>
    </w:p>
    <w:p>
      <w:pPr>
        <w:spacing w:after="0" w:line="86" w:lineRule="exact"/>
        <w:rPr>
          <w:rFonts w:ascii="Arial" w:cs="Arial" w:eastAsia="Arial" w:hAnsi="Arial"/>
          <w:sz w:val="18"/>
          <w:szCs w:val="18"/>
          <w:color w:val="32406B"/>
        </w:rPr>
      </w:pPr>
    </w:p>
    <w:p>
      <w:pPr>
        <w:ind w:left="1220" w:right="300" w:hanging="415"/>
        <w:spacing w:after="0" w:line="277" w:lineRule="auto"/>
        <w:tabs>
          <w:tab w:leader="none" w:pos="1220" w:val="left"/>
        </w:tabs>
        <w:numPr>
          <w:ilvl w:val="0"/>
          <w:numId w:val="4"/>
        </w:numPr>
        <w:rPr>
          <w:rFonts w:ascii="Arial" w:cs="Arial" w:eastAsia="Arial" w:hAnsi="Arial"/>
          <w:sz w:val="18"/>
          <w:szCs w:val="18"/>
          <w:color w:val="32406B"/>
        </w:rPr>
      </w:pPr>
      <w:r>
        <w:rPr>
          <w:rFonts w:ascii="Arial" w:cs="Arial" w:eastAsia="Arial" w:hAnsi="Arial"/>
          <w:sz w:val="18"/>
          <w:szCs w:val="18"/>
          <w:color w:val="32406B"/>
        </w:rPr>
        <w:t>We and our independent registered public accounting firm have identified material weaknesses in our internal control over financial reporting which will require remediation.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Corporate History</w:t>
      </w:r>
    </w:p>
    <w:p>
      <w:pPr>
        <w:spacing w:after="0" w:line="121"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32406B"/>
        </w:rPr>
        <w:t>We were formed as a corporation under the laws of the State of Delaware in November 2015 under the name AvroBio, Inc. Our corporate name was changed to AVROBIO, Inc. in June 2017. Our executive offices are located at One Kendall Square, Building 300, Suite 201, Cambridge, MA 02139 and our telephone number is (617) 914-8420. Our website address is www.avrobio.com. We do not incorporate the information on or accessible through our website into this prospectus, and you should not consider any information on, or that can be accessed through, our website as part of this prospectus.</w:t>
      </w:r>
    </w:p>
    <w:p>
      <w:pPr>
        <w:spacing w:after="0" w:line="188" w:lineRule="exact"/>
        <w:rPr>
          <w:sz w:val="20"/>
          <w:szCs w:val="20"/>
          <w:color w:val="auto"/>
        </w:rPr>
      </w:pPr>
    </w:p>
    <w:p>
      <w:pPr>
        <w:ind w:left="380" w:right="280" w:firstLine="426"/>
        <w:spacing w:after="0" w:line="312" w:lineRule="auto"/>
        <w:rPr>
          <w:sz w:val="20"/>
          <w:szCs w:val="20"/>
          <w:color w:val="auto"/>
        </w:rPr>
      </w:pPr>
      <w:r>
        <w:rPr>
          <w:rFonts w:ascii="Arial" w:cs="Arial" w:eastAsia="Arial" w:hAnsi="Arial"/>
          <w:sz w:val="16"/>
          <w:szCs w:val="16"/>
          <w:color w:val="32406B"/>
        </w:rPr>
        <w:t xml:space="preserve">The trademarks, trade names and service marks appearing in this prospectus are the property of their respective owners. Solely for convenience, the trademarks and trade names in this prospectus are referred to without the symbols </w:t>
      </w:r>
      <w:r>
        <w:rPr>
          <w:rFonts w:ascii="Arial" w:cs="Arial" w:eastAsia="Arial" w:hAnsi="Arial"/>
          <w:sz w:val="13"/>
          <w:szCs w:val="13"/>
          <w:color w:val="32406B"/>
        </w:rPr>
        <w:t>®</w:t>
      </w:r>
      <w:r>
        <w:rPr>
          <w:rFonts w:ascii="Arial" w:cs="Arial" w:eastAsia="Arial" w:hAnsi="Arial"/>
          <w:sz w:val="16"/>
          <w:szCs w:val="16"/>
          <w:color w:val="32406B"/>
        </w:rPr>
        <w:t xml:space="preserve"> and ™, but such references should not be construed as any indicator that their respective owners will not assert, to the fullest extent under applicable law, their rights thereto.</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Implications of Being an Emerging Growth Company</w:t>
      </w:r>
    </w:p>
    <w:p>
      <w:pPr>
        <w:spacing w:after="0" w:line="121" w:lineRule="exact"/>
        <w:rPr>
          <w:sz w:val="20"/>
          <w:szCs w:val="20"/>
          <w:color w:val="auto"/>
        </w:rPr>
      </w:pPr>
    </w:p>
    <w:p>
      <w:pPr>
        <w:jc w:val="both"/>
        <w:ind w:left="380" w:right="140" w:firstLine="426"/>
        <w:spacing w:after="0" w:line="264" w:lineRule="auto"/>
        <w:rPr>
          <w:sz w:val="20"/>
          <w:szCs w:val="20"/>
          <w:color w:val="auto"/>
        </w:rPr>
      </w:pPr>
      <w:r>
        <w:rPr>
          <w:rFonts w:ascii="Arial" w:cs="Arial" w:eastAsia="Arial" w:hAnsi="Arial"/>
          <w:sz w:val="18"/>
          <w:szCs w:val="18"/>
          <w:color w:val="32406B"/>
        </w:rPr>
        <w:t>We qualify as an “emerging growth company” as defined in the Jumpstart Our Business Startups Act of 2012, as amended. As an emerging growth company, we may take advantage of specified reduced disclosure and other requirements that are otherwise applicable generally to public companies. These provisions include:</w:t>
      </w:r>
    </w:p>
    <w:p>
      <w:pPr>
        <w:spacing w:after="0" w:line="87" w:lineRule="exact"/>
        <w:rPr>
          <w:sz w:val="20"/>
          <w:szCs w:val="20"/>
          <w:color w:val="auto"/>
        </w:rPr>
      </w:pPr>
    </w:p>
    <w:p>
      <w:pPr>
        <w:ind w:left="1220" w:right="100" w:hanging="415"/>
        <w:spacing w:after="0" w:line="308" w:lineRule="auto"/>
        <w:tabs>
          <w:tab w:leader="none" w:pos="1220" w:val="left"/>
        </w:tabs>
        <w:numPr>
          <w:ilvl w:val="0"/>
          <w:numId w:val="5"/>
        </w:numPr>
        <w:rPr>
          <w:rFonts w:ascii="Arial" w:cs="Arial" w:eastAsia="Arial" w:hAnsi="Arial"/>
          <w:sz w:val="17"/>
          <w:szCs w:val="17"/>
          <w:color w:val="32406B"/>
        </w:rPr>
      </w:pPr>
      <w:r>
        <w:rPr>
          <w:rFonts w:ascii="Arial" w:cs="Arial" w:eastAsia="Arial" w:hAnsi="Arial"/>
          <w:sz w:val="17"/>
          <w:szCs w:val="17"/>
          <w:color w:val="32406B"/>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32406B"/>
        </w:rPr>
      </w:pPr>
    </w:p>
    <w:p>
      <w:pPr>
        <w:ind w:left="1220" w:hanging="415"/>
        <w:spacing w:after="0"/>
        <w:tabs>
          <w:tab w:leader="none" w:pos="122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Reduced disclosure about our executive compensation arrangements;</w:t>
      </w:r>
    </w:p>
    <w:p>
      <w:pPr>
        <w:spacing w:after="0" w:line="130" w:lineRule="exact"/>
        <w:rPr>
          <w:rFonts w:ascii="Arial" w:cs="Arial" w:eastAsia="Arial" w:hAnsi="Arial"/>
          <w:sz w:val="18"/>
          <w:szCs w:val="18"/>
          <w:color w:val="32406B"/>
        </w:rPr>
      </w:pPr>
    </w:p>
    <w:p>
      <w:pPr>
        <w:ind w:left="1220" w:hanging="415"/>
        <w:spacing w:after="0"/>
        <w:tabs>
          <w:tab w:leader="none" w:pos="122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No advisory votes on executive compensation or golden parachute arrangements;</w:t>
      </w:r>
    </w:p>
    <w:p>
      <w:pPr>
        <w:spacing w:after="0" w:line="130" w:lineRule="exact"/>
        <w:rPr>
          <w:rFonts w:ascii="Arial" w:cs="Arial" w:eastAsia="Arial" w:hAnsi="Arial"/>
          <w:sz w:val="18"/>
          <w:szCs w:val="18"/>
          <w:color w:val="32406B"/>
        </w:rPr>
      </w:pPr>
    </w:p>
    <w:p>
      <w:pPr>
        <w:ind w:left="1220" w:hanging="415"/>
        <w:spacing w:after="0"/>
        <w:tabs>
          <w:tab w:leader="none" w:pos="122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Exemption from the auditor attestation requirement in the assessment of our internal control over financial reporting;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32406B"/>
        </w:rPr>
        <w:t>5</w:t>
      </w:r>
    </w:p>
    <w:p>
      <w:pPr>
        <w:sectPr>
          <w:pgSz w:w="11900" w:h="16838" w:orient="portrait"/>
          <w:cols w:equalWidth="0" w:num="1">
            <w:col w:w="11000"/>
          </w:cols>
          <w:pgMar w:left="24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933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19335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240" w:hanging="415"/>
        <w:spacing w:after="0" w:line="342" w:lineRule="auto"/>
        <w:tabs>
          <w:tab w:leader="none" w:pos="1220" w:val="left"/>
        </w:tabs>
        <w:numPr>
          <w:ilvl w:val="0"/>
          <w:numId w:val="6"/>
        </w:numPr>
        <w:rPr>
          <w:rFonts w:ascii="Arial" w:cs="Arial" w:eastAsia="Arial" w:hAnsi="Arial"/>
          <w:sz w:val="16"/>
          <w:szCs w:val="16"/>
          <w:color w:val="32406B"/>
        </w:rPr>
      </w:pPr>
      <w:r>
        <w:rPr>
          <w:rFonts w:ascii="Arial" w:cs="Arial" w:eastAsia="Arial" w:hAnsi="Arial"/>
          <w:sz w:val="16"/>
          <w:szCs w:val="16"/>
          <w:color w:val="32406B"/>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24"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32406B"/>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$1.07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Securities and Exchange Commission, or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will not be subject to the same new or revised accounting standards as other public companies that are not emerging growth companies.</w:t>
      </w:r>
    </w:p>
    <w:p>
      <w:pPr>
        <w:spacing w:after="0" w:line="200" w:lineRule="exact"/>
        <w:rPr>
          <w:sz w:val="20"/>
          <w:szCs w:val="20"/>
          <w:color w:val="auto"/>
        </w:rPr>
      </w:pPr>
    </w:p>
    <w:p>
      <w:pPr>
        <w:spacing w:after="0" w:line="39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32406B"/>
        </w:rPr>
        <w:t>6</w:t>
      </w:r>
    </w:p>
    <w:p>
      <w:pPr>
        <w:sectPr>
          <w:pgSz w:w="11900" w:h="16838" w:orient="portrait"/>
          <w:cols w:equalWidth="0" w:num="1">
            <w:col w:w="11000"/>
          </w:cols>
          <w:pgMar w:left="24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08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50895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32406B"/>
              </w:rPr>
              <w:t>THE OFFERING</w:t>
            </w:r>
          </w:p>
        </w:tc>
        <w:tc>
          <w:tcPr>
            <w:tcW w:w="0" w:type="dxa"/>
            <w:vAlign w:val="bottom"/>
          </w:tcPr>
          <w:p>
            <w:pPr>
              <w:spacing w:after="0"/>
              <w:rPr>
                <w:sz w:val="1"/>
                <w:szCs w:val="1"/>
                <w:color w:val="auto"/>
              </w:rPr>
            </w:pPr>
          </w:p>
        </w:tc>
      </w:tr>
      <w:tr>
        <w:trPr>
          <w:trHeight w:val="527"/>
        </w:trPr>
        <w:tc>
          <w:tcPr>
            <w:tcW w:w="4620" w:type="dxa"/>
            <w:vAlign w:val="bottom"/>
          </w:tcPr>
          <w:p>
            <w:pPr>
              <w:spacing w:after="0"/>
              <w:rPr>
                <w:sz w:val="20"/>
                <w:szCs w:val="20"/>
                <w:color w:val="auto"/>
              </w:rPr>
            </w:pPr>
            <w:r>
              <w:rPr>
                <w:rFonts w:ascii="Arial" w:cs="Arial" w:eastAsia="Arial" w:hAnsi="Arial"/>
                <w:sz w:val="18"/>
                <w:szCs w:val="18"/>
                <w:color w:val="32406B"/>
              </w:rPr>
              <w:t>Common stock offered by us</w:t>
            </w:r>
          </w:p>
        </w:tc>
        <w:tc>
          <w:tcPr>
            <w:tcW w:w="6000" w:type="dxa"/>
            <w:vAlign w:val="bottom"/>
          </w:tcPr>
          <w:p>
            <w:pPr>
              <w:ind w:left="1020"/>
              <w:spacing w:after="0"/>
              <w:rPr>
                <w:sz w:val="20"/>
                <w:szCs w:val="20"/>
                <w:color w:val="auto"/>
              </w:rPr>
            </w:pPr>
            <w:r>
              <w:rPr>
                <w:rFonts w:ascii="Arial" w:cs="Arial" w:eastAsia="Arial" w:hAnsi="Arial"/>
                <w:sz w:val="18"/>
                <w:szCs w:val="18"/>
                <w:color w:val="32406B"/>
              </w:rPr>
              <w:t>5,247,958 shares</w:t>
            </w: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Arial" w:cs="Arial" w:eastAsia="Arial" w:hAnsi="Arial"/>
                <w:sz w:val="18"/>
                <w:szCs w:val="18"/>
                <w:color w:val="32406B"/>
                <w:w w:val="91"/>
              </w:rPr>
              <w:t>Common stock to be outstanding immediately after this offering</w:t>
            </w:r>
          </w:p>
        </w:tc>
        <w:tc>
          <w:tcPr>
            <w:tcW w:w="6000" w:type="dxa"/>
            <w:vAlign w:val="bottom"/>
            <w:vMerge w:val="restart"/>
          </w:tcPr>
          <w:p>
            <w:pPr>
              <w:ind w:left="1020"/>
              <w:spacing w:after="0"/>
              <w:rPr>
                <w:sz w:val="20"/>
                <w:szCs w:val="20"/>
                <w:color w:val="auto"/>
              </w:rPr>
            </w:pPr>
            <w:r>
              <w:rPr>
                <w:rFonts w:ascii="Arial" w:cs="Arial" w:eastAsia="Arial" w:hAnsi="Arial"/>
                <w:sz w:val="18"/>
                <w:szCs w:val="18"/>
                <w:color w:val="32406B"/>
                <w:w w:val="93"/>
              </w:rPr>
              <w:t>23,149,645 shares (23,936,838 shares if the underwriters exercise</w:t>
            </w: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6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rPr>
              <w:t>their option to purchase additional shares in full)</w:t>
            </w:r>
          </w:p>
        </w:tc>
        <w:tc>
          <w:tcPr>
            <w:tcW w:w="0" w:type="dxa"/>
            <w:vAlign w:val="bottom"/>
          </w:tcPr>
          <w:p>
            <w:pPr>
              <w:spacing w:after="0"/>
              <w:rPr>
                <w:sz w:val="1"/>
                <w:szCs w:val="1"/>
                <w:color w:val="auto"/>
              </w:rPr>
            </w:pPr>
          </w:p>
        </w:tc>
      </w:tr>
      <w:tr>
        <w:trPr>
          <w:trHeight w:val="269"/>
        </w:trPr>
        <w:tc>
          <w:tcPr>
            <w:tcW w:w="4620" w:type="dxa"/>
            <w:vAlign w:val="bottom"/>
          </w:tcPr>
          <w:p>
            <w:pPr>
              <w:spacing w:after="0"/>
              <w:rPr>
                <w:sz w:val="20"/>
                <w:szCs w:val="20"/>
                <w:color w:val="auto"/>
              </w:rPr>
            </w:pPr>
            <w:r>
              <w:rPr>
                <w:rFonts w:ascii="Arial" w:cs="Arial" w:eastAsia="Arial" w:hAnsi="Arial"/>
                <w:sz w:val="18"/>
                <w:szCs w:val="18"/>
                <w:color w:val="32406B"/>
              </w:rPr>
              <w:t>Underwriters’ option to purchase additional shares</w:t>
            </w:r>
          </w:p>
        </w:tc>
        <w:tc>
          <w:tcPr>
            <w:tcW w:w="6000" w:type="dxa"/>
            <w:vAlign w:val="bottom"/>
          </w:tcPr>
          <w:p>
            <w:pPr>
              <w:ind w:left="1020"/>
              <w:spacing w:after="0"/>
              <w:rPr>
                <w:sz w:val="20"/>
                <w:szCs w:val="20"/>
                <w:color w:val="auto"/>
              </w:rPr>
            </w:pPr>
            <w:r>
              <w:rPr>
                <w:rFonts w:ascii="Arial" w:cs="Arial" w:eastAsia="Arial" w:hAnsi="Arial"/>
                <w:sz w:val="18"/>
                <w:szCs w:val="18"/>
                <w:color w:val="32406B"/>
                <w:w w:val="91"/>
              </w:rPr>
              <w:t>We have granted a 30-day option to the underwriters to purchase up</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w w:val="95"/>
              </w:rPr>
              <w:t>to an aggregate of 787,193 additional shares of common stock</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w w:val="96"/>
              </w:rPr>
              <w:t>from us at the public offering price, less underwriting discounts</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w w:val="88"/>
              </w:rPr>
              <w:t>and commissions on the same terms as set forth in this prospectus.</w:t>
            </w:r>
          </w:p>
        </w:tc>
        <w:tc>
          <w:tcPr>
            <w:tcW w:w="0" w:type="dxa"/>
            <w:vAlign w:val="bottom"/>
          </w:tcPr>
          <w:p>
            <w:pPr>
              <w:spacing w:after="0"/>
              <w:rPr>
                <w:sz w:val="1"/>
                <w:szCs w:val="1"/>
                <w:color w:val="auto"/>
              </w:rPr>
            </w:pPr>
          </w:p>
        </w:tc>
      </w:tr>
      <w:tr>
        <w:trPr>
          <w:trHeight w:val="269"/>
        </w:trPr>
        <w:tc>
          <w:tcPr>
            <w:tcW w:w="4620" w:type="dxa"/>
            <w:vAlign w:val="bottom"/>
          </w:tcPr>
          <w:p>
            <w:pPr>
              <w:spacing w:after="0"/>
              <w:rPr>
                <w:sz w:val="20"/>
                <w:szCs w:val="20"/>
                <w:color w:val="auto"/>
              </w:rPr>
            </w:pPr>
            <w:r>
              <w:rPr>
                <w:rFonts w:ascii="Arial" w:cs="Arial" w:eastAsia="Arial" w:hAnsi="Arial"/>
                <w:sz w:val="18"/>
                <w:szCs w:val="18"/>
                <w:color w:val="32406B"/>
              </w:rPr>
              <w:t>Use of proceeds</w:t>
            </w:r>
          </w:p>
        </w:tc>
        <w:tc>
          <w:tcPr>
            <w:tcW w:w="6000" w:type="dxa"/>
            <w:vAlign w:val="bottom"/>
          </w:tcPr>
          <w:p>
            <w:pPr>
              <w:ind w:left="1020"/>
              <w:spacing w:after="0"/>
              <w:rPr>
                <w:sz w:val="20"/>
                <w:szCs w:val="20"/>
                <w:color w:val="auto"/>
              </w:rPr>
            </w:pPr>
            <w:r>
              <w:rPr>
                <w:rFonts w:ascii="Arial" w:cs="Arial" w:eastAsia="Arial" w:hAnsi="Arial"/>
                <w:sz w:val="18"/>
                <w:szCs w:val="18"/>
                <w:color w:val="32406B"/>
                <w:w w:val="89"/>
              </w:rPr>
              <w:t>We estimate that we will receive net proceeds from the sale of shares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rPr>
              <w:t>of our common stock in this offering of approximately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w w:val="94"/>
              </w:rPr>
              <w:t>$90.5 million, or $104.4 million if the underwriters exercise their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w w:val="95"/>
              </w:rPr>
              <w:t>option to purchase additional shares in full, and after deducting</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w w:val="94"/>
              </w:rPr>
              <w:t>underwriting discounts and commissions and estimated offering</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w w:val="92"/>
              </w:rPr>
              <w:t>expenses payable by us. We intend to use the net proceeds from</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w w:val="90"/>
              </w:rPr>
              <w:t>this offering, together with our existing cash and cash equivalents,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w w:val="94"/>
              </w:rPr>
              <w:t>to advance our lead product candidate AVR-RD-01; to advance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w w:val="93"/>
              </w:rPr>
              <w:t>our other product candidates and programs; for our external and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w w:val="96"/>
              </w:rPr>
              <w:t>internal manufacturing and process development activities; for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w w:val="90"/>
              </w:rPr>
              <w:t>research and development activities that relate to all of our clinical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w w:val="94"/>
              </w:rPr>
              <w:t>and preclinical activities; and the remainder for planned general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w w:val="95"/>
              </w:rPr>
              <w:t>and administrative expenses, the costs of operating as a public</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w w:val="93"/>
              </w:rPr>
              <w:t>company, working capital and other general corporate purposes.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rPr>
              <w:t>For a more complete description of our intended use of the</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rPr>
              <w:t>proceeds from this offering, see “Use of Proceeds.”</w:t>
            </w:r>
          </w:p>
        </w:tc>
        <w:tc>
          <w:tcPr>
            <w:tcW w:w="0" w:type="dxa"/>
            <w:vAlign w:val="bottom"/>
          </w:tcPr>
          <w:p>
            <w:pPr>
              <w:spacing w:after="0"/>
              <w:rPr>
                <w:sz w:val="1"/>
                <w:szCs w:val="1"/>
                <w:color w:val="auto"/>
              </w:rPr>
            </w:pPr>
          </w:p>
        </w:tc>
      </w:tr>
      <w:tr>
        <w:trPr>
          <w:trHeight w:val="269"/>
        </w:trPr>
        <w:tc>
          <w:tcPr>
            <w:tcW w:w="4620" w:type="dxa"/>
            <w:vAlign w:val="bottom"/>
          </w:tcPr>
          <w:p>
            <w:pPr>
              <w:spacing w:after="0"/>
              <w:rPr>
                <w:sz w:val="20"/>
                <w:szCs w:val="20"/>
                <w:color w:val="auto"/>
              </w:rPr>
            </w:pPr>
            <w:r>
              <w:rPr>
                <w:rFonts w:ascii="Arial" w:cs="Arial" w:eastAsia="Arial" w:hAnsi="Arial"/>
                <w:sz w:val="18"/>
                <w:szCs w:val="18"/>
                <w:color w:val="32406B"/>
              </w:rPr>
              <w:t>Risk factors</w:t>
            </w:r>
          </w:p>
        </w:tc>
        <w:tc>
          <w:tcPr>
            <w:tcW w:w="6000" w:type="dxa"/>
            <w:vAlign w:val="bottom"/>
          </w:tcPr>
          <w:p>
            <w:pPr>
              <w:ind w:left="1020"/>
              <w:spacing w:after="0"/>
              <w:rPr>
                <w:sz w:val="20"/>
                <w:szCs w:val="20"/>
                <w:color w:val="auto"/>
              </w:rPr>
            </w:pPr>
            <w:r>
              <w:rPr>
                <w:rFonts w:ascii="Arial" w:cs="Arial" w:eastAsia="Arial" w:hAnsi="Arial"/>
                <w:sz w:val="18"/>
                <w:szCs w:val="18"/>
                <w:color w:val="32406B"/>
              </w:rPr>
              <w:t>You should carefully read the “Risk Factors” section of this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w w:val="96"/>
              </w:rPr>
              <w:t>prospectus for a discussion of factors that you should consider</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32406B"/>
              </w:rPr>
              <w:t>before deciding to invest in our common stock.</w:t>
            </w: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Arial" w:cs="Arial" w:eastAsia="Arial" w:hAnsi="Arial"/>
                <w:sz w:val="18"/>
                <w:szCs w:val="18"/>
                <w:color w:val="32406B"/>
              </w:rPr>
              <w:t>Nasdaq Global Select Market symbol</w:t>
            </w:r>
          </w:p>
        </w:tc>
        <w:tc>
          <w:tcPr>
            <w:tcW w:w="6000" w:type="dxa"/>
            <w:vAlign w:val="bottom"/>
          </w:tcPr>
          <w:p>
            <w:pPr>
              <w:ind w:left="1020"/>
              <w:spacing w:after="0"/>
              <w:rPr>
                <w:sz w:val="20"/>
                <w:szCs w:val="20"/>
                <w:color w:val="auto"/>
              </w:rPr>
            </w:pPr>
            <w:r>
              <w:rPr>
                <w:rFonts w:ascii="Arial" w:cs="Arial" w:eastAsia="Arial" w:hAnsi="Arial"/>
                <w:sz w:val="18"/>
                <w:szCs w:val="18"/>
                <w:color w:val="32406B"/>
              </w:rPr>
              <w:t>“AVRO”</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440" w:firstLine="426"/>
        <w:spacing w:after="0" w:line="277" w:lineRule="auto"/>
        <w:rPr>
          <w:sz w:val="20"/>
          <w:szCs w:val="20"/>
          <w:color w:val="auto"/>
        </w:rPr>
      </w:pPr>
      <w:r>
        <w:rPr>
          <w:rFonts w:ascii="Arial" w:cs="Arial" w:eastAsia="Arial" w:hAnsi="Arial"/>
          <w:sz w:val="18"/>
          <w:szCs w:val="18"/>
          <w:color w:val="32406B"/>
        </w:rPr>
        <w:t>Certain of our existing stockholders, including certain affiliates of our directors, have agreed to purchase an aggregate of approximately $23 million of shares of our common stock in this offering at the initial public offering price.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7</w:t>
      </w:r>
    </w:p>
    <w:p>
      <w:pPr>
        <w:sectPr>
          <w:pgSz w:w="11900" w:h="16838" w:orient="portrait"/>
          <w:cols w:equalWidth="0" w:num="1">
            <w:col w:w="11020"/>
          </w:cols>
          <w:pgMar w:left="24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215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4215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640" w:firstLine="426"/>
        <w:spacing w:after="0" w:line="264" w:lineRule="auto"/>
        <w:rPr>
          <w:sz w:val="20"/>
          <w:szCs w:val="20"/>
          <w:color w:val="auto"/>
        </w:rPr>
      </w:pPr>
      <w:r>
        <w:rPr>
          <w:rFonts w:ascii="Arial" w:cs="Arial" w:eastAsia="Arial" w:hAnsi="Arial"/>
          <w:sz w:val="18"/>
          <w:szCs w:val="18"/>
          <w:color w:val="32406B"/>
        </w:rPr>
        <w:t>The number of shares of our common stock to be outstanding after this offering is based on 2,581,474 shares of our common stock outstanding as of March 31, 2018, and gives effect to the conversion of all of our outstanding preferred stock into 15,320,213 shares of our common stock immediately prior to the closing of this offering, and excludes:</w:t>
      </w:r>
    </w:p>
    <w:p>
      <w:pPr>
        <w:spacing w:after="0" w:line="87" w:lineRule="exact"/>
        <w:rPr>
          <w:sz w:val="20"/>
          <w:szCs w:val="20"/>
          <w:color w:val="auto"/>
        </w:rPr>
      </w:pPr>
    </w:p>
    <w:p>
      <w:pPr>
        <w:ind w:left="1220" w:right="420" w:hanging="415"/>
        <w:spacing w:after="0" w:line="277" w:lineRule="auto"/>
        <w:tabs>
          <w:tab w:leader="none" w:pos="1220" w:val="left"/>
        </w:tabs>
        <w:numPr>
          <w:ilvl w:val="0"/>
          <w:numId w:val="7"/>
        </w:numPr>
        <w:rPr>
          <w:rFonts w:ascii="Arial" w:cs="Arial" w:eastAsia="Arial" w:hAnsi="Arial"/>
          <w:sz w:val="18"/>
          <w:szCs w:val="18"/>
          <w:color w:val="32406B"/>
        </w:rPr>
      </w:pPr>
      <w:r>
        <w:rPr>
          <w:rFonts w:ascii="Arial" w:cs="Arial" w:eastAsia="Arial" w:hAnsi="Arial"/>
          <w:sz w:val="18"/>
          <w:szCs w:val="18"/>
          <w:color w:val="32406B"/>
        </w:rPr>
        <w:t>1,788,750 shares of common stock issuable upon the exercise of stock options outstanding as of March 31, 2018, with a weighted-average exercise price of $2.56 per share;</w:t>
      </w:r>
    </w:p>
    <w:p>
      <w:pPr>
        <w:spacing w:after="0" w:line="75" w:lineRule="exact"/>
        <w:rPr>
          <w:rFonts w:ascii="Arial" w:cs="Arial" w:eastAsia="Arial" w:hAnsi="Arial"/>
          <w:sz w:val="18"/>
          <w:szCs w:val="18"/>
          <w:color w:val="32406B"/>
        </w:rPr>
      </w:pPr>
    </w:p>
    <w:p>
      <w:pPr>
        <w:ind w:left="1220" w:hanging="415"/>
        <w:spacing w:after="0" w:line="264" w:lineRule="auto"/>
        <w:tabs>
          <w:tab w:leader="none" w:pos="1220" w:val="left"/>
        </w:tabs>
        <w:numPr>
          <w:ilvl w:val="0"/>
          <w:numId w:val="7"/>
        </w:numPr>
        <w:rPr>
          <w:rFonts w:ascii="Arial" w:cs="Arial" w:eastAsia="Arial" w:hAnsi="Arial"/>
          <w:sz w:val="18"/>
          <w:szCs w:val="18"/>
          <w:color w:val="32406B"/>
        </w:rPr>
      </w:pPr>
      <w:r>
        <w:rPr>
          <w:rFonts w:ascii="Arial" w:cs="Arial" w:eastAsia="Arial" w:hAnsi="Arial"/>
          <w:sz w:val="18"/>
          <w:szCs w:val="18"/>
          <w:color w:val="32406B"/>
        </w:rPr>
        <w:t>6,850 shares of common stock issuable upon the exercise of a warrant to purchase preferred stock outstanding as of March 31, 2018 that will automatically become a warrant to purchase common stock upon the completion of this offering, with an exercise price of $3.2845 per share;</w:t>
      </w:r>
    </w:p>
    <w:p>
      <w:pPr>
        <w:spacing w:after="0" w:line="86" w:lineRule="exact"/>
        <w:rPr>
          <w:rFonts w:ascii="Arial" w:cs="Arial" w:eastAsia="Arial" w:hAnsi="Arial"/>
          <w:sz w:val="18"/>
          <w:szCs w:val="18"/>
          <w:color w:val="32406B"/>
        </w:rPr>
      </w:pPr>
    </w:p>
    <w:p>
      <w:pPr>
        <w:ind w:left="1220" w:hanging="415"/>
        <w:spacing w:after="0" w:line="277" w:lineRule="auto"/>
        <w:tabs>
          <w:tab w:leader="none" w:pos="1220" w:val="left"/>
        </w:tabs>
        <w:numPr>
          <w:ilvl w:val="0"/>
          <w:numId w:val="7"/>
        </w:numPr>
        <w:rPr>
          <w:rFonts w:ascii="Arial" w:cs="Arial" w:eastAsia="Arial" w:hAnsi="Arial"/>
          <w:sz w:val="18"/>
          <w:szCs w:val="18"/>
          <w:color w:val="32406B"/>
        </w:rPr>
      </w:pPr>
      <w:r>
        <w:rPr>
          <w:rFonts w:ascii="Arial" w:cs="Arial" w:eastAsia="Arial" w:hAnsi="Arial"/>
          <w:sz w:val="18"/>
          <w:szCs w:val="18"/>
          <w:color w:val="32406B"/>
        </w:rPr>
        <w:t>an additional 58,472 shares of common stock reserved for issuance under our Amended and Restated 2015 Stock Option and Grant Plan as of March 31, 2018, which shares will no longer be reserved following this offering;</w:t>
      </w:r>
    </w:p>
    <w:p>
      <w:pPr>
        <w:spacing w:after="0" w:line="75" w:lineRule="exact"/>
        <w:rPr>
          <w:rFonts w:ascii="Arial" w:cs="Arial" w:eastAsia="Arial" w:hAnsi="Arial"/>
          <w:sz w:val="18"/>
          <w:szCs w:val="18"/>
          <w:color w:val="32406B"/>
        </w:rPr>
      </w:pPr>
    </w:p>
    <w:p>
      <w:pPr>
        <w:ind w:left="1220" w:right="320" w:hanging="415"/>
        <w:spacing w:after="0" w:line="277" w:lineRule="auto"/>
        <w:tabs>
          <w:tab w:leader="none" w:pos="1220" w:val="left"/>
        </w:tabs>
        <w:numPr>
          <w:ilvl w:val="0"/>
          <w:numId w:val="7"/>
        </w:numPr>
        <w:rPr>
          <w:rFonts w:ascii="Arial" w:cs="Arial" w:eastAsia="Arial" w:hAnsi="Arial"/>
          <w:sz w:val="18"/>
          <w:szCs w:val="18"/>
          <w:color w:val="32406B"/>
        </w:rPr>
      </w:pPr>
      <w:r>
        <w:rPr>
          <w:rFonts w:ascii="Arial" w:cs="Arial" w:eastAsia="Arial" w:hAnsi="Arial"/>
          <w:sz w:val="18"/>
          <w:szCs w:val="18"/>
          <w:color w:val="32406B"/>
        </w:rPr>
        <w:t>an additional 616,300 shares of common stock that were made available for future issuance under our 2018 Stock Option and Grant Plan upon the effectiveness of the registration statement of which this prospectus forms a part; and</w:t>
      </w:r>
    </w:p>
    <w:p>
      <w:pPr>
        <w:spacing w:after="0" w:line="75" w:lineRule="exact"/>
        <w:rPr>
          <w:rFonts w:ascii="Arial" w:cs="Arial" w:eastAsia="Arial" w:hAnsi="Arial"/>
          <w:sz w:val="18"/>
          <w:szCs w:val="18"/>
          <w:color w:val="32406B"/>
        </w:rPr>
      </w:pPr>
    </w:p>
    <w:p>
      <w:pPr>
        <w:ind w:left="1220" w:right="160" w:hanging="415"/>
        <w:spacing w:after="0" w:line="277" w:lineRule="auto"/>
        <w:tabs>
          <w:tab w:leader="none" w:pos="1220" w:val="left"/>
        </w:tabs>
        <w:numPr>
          <w:ilvl w:val="0"/>
          <w:numId w:val="7"/>
        </w:numPr>
        <w:rPr>
          <w:rFonts w:ascii="Arial" w:cs="Arial" w:eastAsia="Arial" w:hAnsi="Arial"/>
          <w:sz w:val="18"/>
          <w:szCs w:val="18"/>
          <w:color w:val="32406B"/>
        </w:rPr>
      </w:pPr>
      <w:r>
        <w:rPr>
          <w:rFonts w:ascii="Arial" w:cs="Arial" w:eastAsia="Arial" w:hAnsi="Arial"/>
          <w:sz w:val="18"/>
          <w:szCs w:val="18"/>
          <w:color w:val="32406B"/>
        </w:rPr>
        <w:t>an additional 223,200 shares of common stock that were made available for future issuance under our 2018 Employee Stock Purchase Plan upon the effectiveness of the registration statement of which this prospectus forms a part.</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32406B"/>
        </w:rPr>
        <w:t>Unless otherwise indicated, all information in this prospectus reflects or assumes the following:</w:t>
      </w:r>
    </w:p>
    <w:p>
      <w:pPr>
        <w:spacing w:after="0" w:line="131" w:lineRule="exact"/>
        <w:rPr>
          <w:sz w:val="20"/>
          <w:szCs w:val="20"/>
          <w:color w:val="auto"/>
        </w:rPr>
      </w:pPr>
    </w:p>
    <w:p>
      <w:pPr>
        <w:ind w:left="1220" w:right="180" w:hanging="415"/>
        <w:spacing w:after="0" w:line="277" w:lineRule="auto"/>
        <w:tabs>
          <w:tab w:leader="none" w:pos="122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the filing of our amended and restated certificate of incorporation and the effectiveness of our amended and restated by-laws upon the closing of this offering;</w:t>
      </w:r>
    </w:p>
    <w:p>
      <w:pPr>
        <w:spacing w:after="0" w:line="75" w:lineRule="exact"/>
        <w:rPr>
          <w:rFonts w:ascii="Arial" w:cs="Arial" w:eastAsia="Arial" w:hAnsi="Arial"/>
          <w:sz w:val="18"/>
          <w:szCs w:val="18"/>
          <w:color w:val="32406B"/>
        </w:rPr>
      </w:pPr>
    </w:p>
    <w:p>
      <w:pPr>
        <w:ind w:left="1220" w:right="280" w:hanging="415"/>
        <w:spacing w:after="0" w:line="277" w:lineRule="auto"/>
        <w:tabs>
          <w:tab w:leader="none" w:pos="122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the automatic conversion of all of our outstanding shares of preferred stock into an aggregate of 15,320,213 shares of common stock upon the closing of this offering;</w:t>
      </w:r>
    </w:p>
    <w:p>
      <w:pPr>
        <w:spacing w:after="0" w:line="75" w:lineRule="exact"/>
        <w:rPr>
          <w:rFonts w:ascii="Arial" w:cs="Arial" w:eastAsia="Arial" w:hAnsi="Arial"/>
          <w:sz w:val="18"/>
          <w:szCs w:val="18"/>
          <w:color w:val="32406B"/>
        </w:rPr>
      </w:pPr>
    </w:p>
    <w:p>
      <w:pPr>
        <w:ind w:left="1220" w:hanging="415"/>
        <w:spacing w:after="0"/>
        <w:tabs>
          <w:tab w:leader="none" w:pos="122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no issuance or exercise of outstanding options or warrants after March 31, 2018;</w:t>
      </w:r>
    </w:p>
    <w:p>
      <w:pPr>
        <w:spacing w:after="0" w:line="130" w:lineRule="exact"/>
        <w:rPr>
          <w:rFonts w:ascii="Arial" w:cs="Arial" w:eastAsia="Arial" w:hAnsi="Arial"/>
          <w:sz w:val="18"/>
          <w:szCs w:val="18"/>
          <w:color w:val="32406B"/>
        </w:rPr>
      </w:pPr>
    </w:p>
    <w:p>
      <w:pPr>
        <w:ind w:left="1220" w:hanging="415"/>
        <w:spacing w:after="0"/>
        <w:tabs>
          <w:tab w:leader="none" w:pos="122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a 1-for-4.132 reverse split of our common stock effected on June 7, 2018; and</w:t>
      </w:r>
    </w:p>
    <w:p>
      <w:pPr>
        <w:spacing w:after="0" w:line="130" w:lineRule="exact"/>
        <w:rPr>
          <w:rFonts w:ascii="Arial" w:cs="Arial" w:eastAsia="Arial" w:hAnsi="Arial"/>
          <w:sz w:val="18"/>
          <w:szCs w:val="18"/>
          <w:color w:val="32406B"/>
        </w:rPr>
      </w:pPr>
    </w:p>
    <w:p>
      <w:pPr>
        <w:ind w:left="1220" w:hanging="415"/>
        <w:spacing w:after="0"/>
        <w:tabs>
          <w:tab w:leader="none" w:pos="1220" w:val="left"/>
        </w:tabs>
        <w:numPr>
          <w:ilvl w:val="0"/>
          <w:numId w:val="8"/>
        </w:numPr>
        <w:rPr>
          <w:rFonts w:ascii="Arial" w:cs="Arial" w:eastAsia="Arial" w:hAnsi="Arial"/>
          <w:sz w:val="17"/>
          <w:szCs w:val="17"/>
          <w:color w:val="32406B"/>
        </w:rPr>
      </w:pPr>
      <w:r>
        <w:rPr>
          <w:rFonts w:ascii="Arial" w:cs="Arial" w:eastAsia="Arial" w:hAnsi="Arial"/>
          <w:sz w:val="17"/>
          <w:szCs w:val="17"/>
          <w:color w:val="32406B"/>
        </w:rPr>
        <w:t>no exercise by the underwriters of their option to purchase up to 787,193 additional shares of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8</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67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66675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32406B"/>
        </w:rPr>
        <w:t>SUMMARY CONSOLIDATED FINANCIAL DATA</w:t>
      </w:r>
    </w:p>
    <w:p>
      <w:pPr>
        <w:spacing w:after="0" w:line="229" w:lineRule="exact"/>
        <w:rPr>
          <w:sz w:val="20"/>
          <w:szCs w:val="20"/>
          <w:color w:val="auto"/>
        </w:rPr>
      </w:pPr>
    </w:p>
    <w:p>
      <w:pPr>
        <w:ind w:left="380" w:right="60" w:firstLine="426"/>
        <w:spacing w:after="0" w:line="289" w:lineRule="auto"/>
        <w:rPr>
          <w:sz w:val="20"/>
          <w:szCs w:val="20"/>
          <w:color w:val="auto"/>
        </w:rPr>
      </w:pPr>
      <w:r>
        <w:rPr>
          <w:rFonts w:ascii="Arial" w:cs="Arial" w:eastAsia="Arial" w:hAnsi="Arial"/>
          <w:sz w:val="16"/>
          <w:szCs w:val="16"/>
          <w:color w:val="32406B"/>
        </w:rPr>
        <w:t>The summary consolidated statements of operations data presented below for the years ended December 31, 2016 and 2017 are derived from our audited consolidated financial statements included elsewhere in this prospectus. The consolidated statements of operations data for the three months ended March 31, 2017 and 2018 and the consolidated balance sheet data as of March 31, 2018 have been derived from our unaudited condensed consolidated financial statements included elsewhere in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contained in those statements. Our historical results are not necessarily indicative of the results that may be expected in any future period. You should read the following summary consolidated financial data together with the information in the sections titled “Selected Consolidated Financial Data” and “Management’s Discussion and Analysis of Financial Condition and Results of Operations” and our consolidated financial statements and related notes included elsewhere in this prospectus.</w:t>
      </w:r>
    </w:p>
    <w:p>
      <w:pPr>
        <w:spacing w:after="0" w:line="17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vMerge w:val="restart"/>
          </w:tcPr>
          <w:p>
            <w:pPr>
              <w:jc w:val="right"/>
              <w:ind w:right="840"/>
              <w:spacing w:after="0"/>
              <w:rPr>
                <w:sz w:val="20"/>
                <w:szCs w:val="20"/>
                <w:color w:val="auto"/>
              </w:rPr>
            </w:pPr>
            <w:r>
              <w:rPr>
                <w:rFonts w:ascii="Arial" w:cs="Arial" w:eastAsia="Arial" w:hAnsi="Arial"/>
                <w:sz w:val="14"/>
                <w:szCs w:val="14"/>
                <w:b w:val="1"/>
                <w:bCs w:val="1"/>
                <w:color w:val="32406B"/>
              </w:rPr>
              <w:t>Year Ended December 31,</w:t>
            </w:r>
          </w:p>
        </w:tc>
        <w:tc>
          <w:tcPr>
            <w:tcW w:w="100" w:type="dxa"/>
            <w:vAlign w:val="bottom"/>
          </w:tcPr>
          <w:p>
            <w:pPr>
              <w:spacing w:after="0"/>
              <w:rPr>
                <w:sz w:val="14"/>
                <w:szCs w:val="14"/>
                <w:color w:val="auto"/>
              </w:rPr>
            </w:pPr>
          </w:p>
        </w:tc>
        <w:tc>
          <w:tcPr>
            <w:tcW w:w="22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32406B"/>
              </w:rPr>
              <w:t>Three Months Ended</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32406B"/>
                <w:w w:val="92"/>
              </w:rPr>
              <w:t>March 31,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32406B"/>
              </w:rPr>
              <w:t>2016</w:t>
            </w: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32406B"/>
              </w:rPr>
              <w:t>2017</w:t>
            </w:r>
          </w:p>
        </w:tc>
        <w:tc>
          <w:tcPr>
            <w:tcW w:w="5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32406B"/>
              </w:rPr>
              <w:t>2017</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32406B"/>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20" w:type="dxa"/>
            <w:vAlign w:val="bottom"/>
            <w:gridSpan w:val="7"/>
          </w:tcPr>
          <w:p>
            <w:pPr>
              <w:jc w:val="right"/>
              <w:ind w:right="68"/>
              <w:spacing w:after="0" w:line="142" w:lineRule="exact"/>
              <w:rPr>
                <w:sz w:val="20"/>
                <w:szCs w:val="20"/>
                <w:color w:val="auto"/>
              </w:rPr>
            </w:pPr>
            <w:r>
              <w:rPr>
                <w:rFonts w:ascii="Arial" w:cs="Arial" w:eastAsia="Arial" w:hAnsi="Arial"/>
                <w:sz w:val="14"/>
                <w:szCs w:val="14"/>
                <w:b w:val="1"/>
                <w:bCs w:val="1"/>
                <w:color w:val="32406B"/>
                <w:w w:val="93"/>
              </w:rPr>
              <w:t>(in thousands, except share and per share data)</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32406B"/>
              </w:rPr>
              <w:t>Consolidated Statement of Operations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32406B"/>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2,663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32406B"/>
              </w:rPr>
              <w:t>15,191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12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32406B"/>
              </w:rPr>
              <w:t>1,434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5,647</w:t>
            </w:r>
          </w:p>
        </w:tc>
        <w:tc>
          <w:tcPr>
            <w:tcW w:w="0" w:type="dxa"/>
            <w:vAlign w:val="bottom"/>
          </w:tcPr>
          <w:p>
            <w:pPr>
              <w:spacing w:after="0"/>
              <w:rPr>
                <w:sz w:val="1"/>
                <w:szCs w:val="1"/>
                <w:color w:val="auto"/>
              </w:rPr>
            </w:pPr>
          </w:p>
        </w:tc>
      </w:tr>
      <w:tr>
        <w:trPr>
          <w:trHeight w:val="216"/>
        </w:trPr>
        <w:tc>
          <w:tcPr>
            <w:tcW w:w="5540" w:type="dxa"/>
            <w:vAlign w:val="bottom"/>
          </w:tcPr>
          <w:p>
            <w:pPr>
              <w:ind w:left="380"/>
              <w:spacing w:after="0"/>
              <w:rPr>
                <w:sz w:val="20"/>
                <w:szCs w:val="20"/>
                <w:color w:val="auto"/>
              </w:rPr>
            </w:pPr>
            <w:r>
              <w:rPr>
                <w:rFonts w:ascii="Arial" w:cs="Arial" w:eastAsia="Arial" w:hAnsi="Arial"/>
                <w:sz w:val="18"/>
                <w:szCs w:val="18"/>
                <w:color w:val="32406B"/>
              </w:rPr>
              <w:t>General and administrative</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32406B"/>
              </w:rPr>
              <w:t>1,962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32406B"/>
              </w:rPr>
              <w:t>3,195</w:t>
            </w:r>
          </w:p>
        </w:tc>
        <w:tc>
          <w:tcPr>
            <w:tcW w:w="100" w:type="dxa"/>
            <w:vAlign w:val="bottom"/>
          </w:tcPr>
          <w:p>
            <w:pPr>
              <w:spacing w:after="0"/>
              <w:rPr>
                <w:sz w:val="18"/>
                <w:szCs w:val="18"/>
                <w:color w:val="auto"/>
              </w:rPr>
            </w:pPr>
          </w:p>
        </w:tc>
        <w:tc>
          <w:tcPr>
            <w:tcW w:w="1260" w:type="dxa"/>
            <w:vAlign w:val="bottom"/>
            <w:gridSpan w:val="2"/>
          </w:tcPr>
          <w:p>
            <w:pPr>
              <w:jc w:val="right"/>
              <w:ind w:right="468"/>
              <w:spacing w:after="0"/>
              <w:rPr>
                <w:sz w:val="20"/>
                <w:szCs w:val="20"/>
                <w:color w:val="auto"/>
              </w:rPr>
            </w:pPr>
            <w:r>
              <w:rPr>
                <w:rFonts w:ascii="Arial" w:cs="Arial" w:eastAsia="Arial" w:hAnsi="Arial"/>
                <w:sz w:val="18"/>
                <w:szCs w:val="18"/>
                <w:color w:val="32406B"/>
              </w:rPr>
              <w:t>610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32406B"/>
              </w:rPr>
              <w:t>2,141</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740"/>
              <w:spacing w:after="0"/>
              <w:rPr>
                <w:sz w:val="20"/>
                <w:szCs w:val="20"/>
                <w:color w:val="auto"/>
              </w:rPr>
            </w:pPr>
            <w:r>
              <w:rPr>
                <w:rFonts w:ascii="Arial" w:cs="Arial" w:eastAsia="Arial" w:hAnsi="Arial"/>
                <w:sz w:val="18"/>
                <w:szCs w:val="18"/>
                <w:color w:val="32406B"/>
              </w:rPr>
              <w:t>Total operating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4,625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32406B"/>
              </w:rPr>
              <w:t>18,386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32406B"/>
              </w:rPr>
              <w:t>2,044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7,788</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32406B"/>
              </w:rPr>
              <w:t>Loss from operations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(4,625)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(18,386)</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(2,044)</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(7,788)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Other income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80"/>
              <w:spacing w:after="0"/>
              <w:rPr>
                <w:sz w:val="20"/>
                <w:szCs w:val="20"/>
                <w:color w:val="auto"/>
              </w:rPr>
            </w:pPr>
            <w:r>
              <w:rPr>
                <w:rFonts w:ascii="Arial" w:cs="Arial" w:eastAsia="Arial" w:hAnsi="Arial"/>
                <w:sz w:val="18"/>
                <w:szCs w:val="18"/>
                <w:color w:val="32406B"/>
              </w:rPr>
              <w:t>Interest income</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32406B"/>
              </w:rPr>
              <w:t>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32406B"/>
              </w:rPr>
              <w:t>57</w:t>
            </w:r>
          </w:p>
        </w:tc>
        <w:tc>
          <w:tcPr>
            <w:tcW w:w="100" w:type="dxa"/>
            <w:vAlign w:val="bottom"/>
          </w:tcPr>
          <w:p>
            <w:pPr>
              <w:spacing w:after="0"/>
              <w:rPr>
                <w:sz w:val="18"/>
                <w:szCs w:val="18"/>
                <w:color w:val="auto"/>
              </w:rPr>
            </w:pPr>
          </w:p>
        </w:tc>
        <w:tc>
          <w:tcPr>
            <w:tcW w:w="1260" w:type="dxa"/>
            <w:vAlign w:val="bottom"/>
            <w:gridSpan w:val="2"/>
          </w:tcPr>
          <w:p>
            <w:pPr>
              <w:jc w:val="right"/>
              <w:ind w:right="468"/>
              <w:spacing w:after="0"/>
              <w:rPr>
                <w:sz w:val="20"/>
                <w:szCs w:val="20"/>
                <w:color w:val="auto"/>
              </w:rPr>
            </w:pPr>
            <w:r>
              <w:rPr>
                <w:rFonts w:ascii="Arial" w:cs="Arial" w:eastAsia="Arial" w:hAnsi="Arial"/>
                <w:sz w:val="18"/>
                <w:szCs w:val="18"/>
                <w:color w:val="32406B"/>
              </w:rPr>
              <w:t>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32406B"/>
              </w:rPr>
              <w:t>158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Change in fair value of preferred stock warrant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32406B"/>
              </w:rPr>
              <w:t>(17)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(12)</w:t>
            </w:r>
          </w:p>
        </w:tc>
        <w:tc>
          <w:tcPr>
            <w:tcW w:w="0" w:type="dxa"/>
            <w:vAlign w:val="bottom"/>
          </w:tcPr>
          <w:p>
            <w:pPr>
              <w:spacing w:after="0"/>
              <w:rPr>
                <w:sz w:val="1"/>
                <w:szCs w:val="1"/>
                <w:color w:val="auto"/>
              </w:rPr>
            </w:pPr>
          </w:p>
        </w:tc>
      </w:tr>
      <w:tr>
        <w:trPr>
          <w:trHeight w:val="216"/>
        </w:trPr>
        <w:tc>
          <w:tcPr>
            <w:tcW w:w="5540" w:type="dxa"/>
            <w:vAlign w:val="bottom"/>
          </w:tcPr>
          <w:p>
            <w:pPr>
              <w:ind w:left="380"/>
              <w:spacing w:after="0"/>
              <w:rPr>
                <w:sz w:val="20"/>
                <w:szCs w:val="20"/>
                <w:color w:val="auto"/>
              </w:rPr>
            </w:pPr>
            <w:r>
              <w:rPr>
                <w:rFonts w:ascii="Arial" w:cs="Arial" w:eastAsia="Arial" w:hAnsi="Arial"/>
                <w:sz w:val="18"/>
                <w:szCs w:val="18"/>
                <w:color w:val="32406B"/>
              </w:rPr>
              <w:t>Change in fair value of derivative liability</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32406B"/>
              </w:rPr>
              <w:t>(39)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32406B"/>
              </w:rPr>
              <w:t>(283)</w:t>
            </w:r>
          </w:p>
        </w:tc>
        <w:tc>
          <w:tcPr>
            <w:tcW w:w="100" w:type="dxa"/>
            <w:vAlign w:val="bottom"/>
          </w:tcPr>
          <w:p>
            <w:pPr>
              <w:spacing w:after="0"/>
              <w:rPr>
                <w:sz w:val="18"/>
                <w:szCs w:val="18"/>
                <w:color w:val="auto"/>
              </w:rPr>
            </w:pP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32406B"/>
              </w:rPr>
              <w:t>(32)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32406B"/>
              </w:rPr>
              <w:t>(587)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Other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32406B"/>
              </w:rPr>
              <w:t>(19)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32406B"/>
              </w:rPr>
              <w:t>(5)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(13)</w:t>
            </w:r>
          </w:p>
        </w:tc>
        <w:tc>
          <w:tcPr>
            <w:tcW w:w="0" w:type="dxa"/>
            <w:vAlign w:val="bottom"/>
          </w:tcPr>
          <w:p>
            <w:pPr>
              <w:spacing w:after="0"/>
              <w:rPr>
                <w:sz w:val="1"/>
                <w:szCs w:val="1"/>
                <w:color w:val="auto"/>
              </w:rPr>
            </w:pPr>
          </w:p>
        </w:tc>
      </w:tr>
      <w:tr>
        <w:trPr>
          <w:trHeight w:val="230"/>
        </w:trPr>
        <w:tc>
          <w:tcPr>
            <w:tcW w:w="5540" w:type="dxa"/>
            <w:vAlign w:val="bottom"/>
          </w:tcPr>
          <w:p>
            <w:pPr>
              <w:ind w:left="740"/>
              <w:spacing w:after="0"/>
              <w:rPr>
                <w:sz w:val="20"/>
                <w:szCs w:val="20"/>
                <w:color w:val="auto"/>
              </w:rPr>
            </w:pPr>
            <w:r>
              <w:rPr>
                <w:rFonts w:ascii="Arial" w:cs="Arial" w:eastAsia="Arial" w:hAnsi="Arial"/>
                <w:sz w:val="18"/>
                <w:szCs w:val="18"/>
                <w:color w:val="32406B"/>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(262)</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(33)</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(454)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(4,664)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32406B"/>
              </w:rPr>
              <w:t>(18,648)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32406B"/>
              </w:rPr>
              <w:t>(2,077)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(8,242)</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20"/>
              <w:spacing w:after="0"/>
              <w:rPr>
                <w:sz w:val="20"/>
                <w:szCs w:val="20"/>
                <w:color w:val="auto"/>
              </w:rPr>
            </w:pPr>
            <w:r>
              <w:rPr>
                <w:rFonts w:ascii="Arial" w:cs="Arial" w:eastAsia="Arial" w:hAnsi="Arial"/>
                <w:sz w:val="18"/>
                <w:szCs w:val="18"/>
                <w:color w:val="32406B"/>
              </w:rPr>
              <w:t>Reconciliation of net loss to net loss attributable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32406B"/>
              </w:rPr>
              <w:t>stockholders: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(4,664)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32406B"/>
              </w:rPr>
              <w:t>(18,648)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32406B"/>
              </w:rPr>
              <w:t>(2,077)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(8,242)</w:t>
            </w:r>
          </w:p>
        </w:tc>
        <w:tc>
          <w:tcPr>
            <w:tcW w:w="0" w:type="dxa"/>
            <w:vAlign w:val="bottom"/>
          </w:tcPr>
          <w:p>
            <w:pPr>
              <w:spacing w:after="0"/>
              <w:rPr>
                <w:sz w:val="1"/>
                <w:szCs w:val="1"/>
                <w:color w:val="auto"/>
              </w:rPr>
            </w:pPr>
          </w:p>
        </w:tc>
      </w:tr>
      <w:tr>
        <w:trPr>
          <w:trHeight w:val="202"/>
        </w:trPr>
        <w:tc>
          <w:tcPr>
            <w:tcW w:w="5540" w:type="dxa"/>
            <w:vAlign w:val="bottom"/>
          </w:tcPr>
          <w:p>
            <w:pPr>
              <w:ind w:left="20"/>
              <w:spacing w:after="0" w:line="201" w:lineRule="exact"/>
              <w:rPr>
                <w:sz w:val="20"/>
                <w:szCs w:val="20"/>
                <w:color w:val="auto"/>
              </w:rPr>
            </w:pPr>
            <w:r>
              <w:rPr>
                <w:rFonts w:ascii="Arial" w:cs="Arial" w:eastAsia="Arial" w:hAnsi="Arial"/>
                <w:sz w:val="18"/>
                <w:szCs w:val="18"/>
                <w:color w:val="32406B"/>
              </w:rPr>
              <w:t>Accretion of redeemable convertible preferred stock to redemption</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32406B"/>
              </w:rPr>
              <w:t>value</w:t>
            </w: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32406B"/>
              </w:rPr>
              <w:t>(305)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32406B"/>
              </w:rPr>
              <w:t>(85)</w:t>
            </w:r>
          </w:p>
        </w:tc>
        <w:tc>
          <w:tcPr>
            <w:tcW w:w="100" w:type="dxa"/>
            <w:vAlign w:val="bottom"/>
          </w:tcPr>
          <w:p>
            <w:pPr>
              <w:spacing w:after="0"/>
              <w:rPr>
                <w:sz w:val="20"/>
                <w:szCs w:val="20"/>
                <w:color w:val="auto"/>
              </w:rPr>
            </w:pP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32406B"/>
              </w:rPr>
              <w:t>(47)</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32406B"/>
              </w:rPr>
              <w:t>(2,243)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(4,969)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32406B"/>
              </w:rPr>
              <w:t>(18,733)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32406B"/>
              </w:rPr>
              <w:t>(2,124)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(10,485)</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20"/>
              <w:spacing w:after="0"/>
              <w:rPr>
                <w:sz w:val="20"/>
                <w:szCs w:val="20"/>
                <w:color w:val="auto"/>
              </w:rPr>
            </w:pPr>
            <w:r>
              <w:rPr>
                <w:rFonts w:ascii="Arial" w:cs="Arial" w:eastAsia="Arial" w:hAnsi="Arial"/>
                <w:sz w:val="18"/>
                <w:szCs w:val="18"/>
                <w:color w:val="32406B"/>
              </w:rPr>
              <w:t>Net loss per share attributable to common stockholders—basic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32406B"/>
              </w:rPr>
              <w:t>diluted</w:t>
            </w:r>
            <w:r>
              <w:rPr>
                <w:rFonts w:ascii="Arial" w:cs="Arial" w:eastAsia="Arial" w:hAnsi="Arial"/>
                <w:sz w:val="15"/>
                <w:szCs w:val="15"/>
                <w:color w:val="32406B"/>
              </w:rPr>
              <w:t>(1)</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32406B"/>
              </w:rPr>
              <w:t>(2.44)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32406B"/>
              </w:rPr>
              <w:t>(8.38)</w:t>
            </w:r>
          </w:p>
        </w:tc>
        <w:tc>
          <w:tcPr>
            <w:tcW w:w="10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32406B"/>
              </w:rPr>
              <w:t>(0.97)</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32406B"/>
              </w:rPr>
              <w:t>(4.51)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Weighted-average common shares outstanding—basic and diluted</w:t>
            </w:r>
            <w:r>
              <w:rPr>
                <w:rFonts w:ascii="Arial" w:cs="Arial" w:eastAsia="Arial" w:hAnsi="Arial"/>
                <w:sz w:val="15"/>
                <w:szCs w:val="15"/>
                <w:color w:val="32406B"/>
              </w:rPr>
              <w:t>(1)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89"/>
              </w:rPr>
              <w:t>2,038,025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32406B"/>
                <w:w w:val="87"/>
              </w:rPr>
              <w:t>2,235,865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32406B"/>
                <w:w w:val="87"/>
              </w:rPr>
              <w:t>2,181,715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w w:val="97"/>
              </w:rPr>
              <w:t>2,324,790</w:t>
            </w:r>
          </w:p>
        </w:tc>
        <w:tc>
          <w:tcPr>
            <w:tcW w:w="0" w:type="dxa"/>
            <w:vAlign w:val="bottom"/>
          </w:tcPr>
          <w:p>
            <w:pPr>
              <w:spacing w:after="0"/>
              <w:rPr>
                <w:sz w:val="1"/>
                <w:szCs w:val="1"/>
                <w:color w:val="auto"/>
              </w:rPr>
            </w:pPr>
          </w:p>
        </w:tc>
      </w:tr>
      <w:tr>
        <w:trPr>
          <w:trHeight w:val="202"/>
        </w:trPr>
        <w:tc>
          <w:tcPr>
            <w:tcW w:w="5540" w:type="dxa"/>
            <w:vAlign w:val="bottom"/>
          </w:tcPr>
          <w:p>
            <w:pPr>
              <w:ind w:left="20"/>
              <w:spacing w:after="0" w:line="201" w:lineRule="exact"/>
              <w:rPr>
                <w:sz w:val="20"/>
                <w:szCs w:val="20"/>
                <w:color w:val="auto"/>
              </w:rPr>
            </w:pPr>
            <w:r>
              <w:rPr>
                <w:rFonts w:ascii="Arial" w:cs="Arial" w:eastAsia="Arial" w:hAnsi="Arial"/>
                <w:sz w:val="18"/>
                <w:szCs w:val="18"/>
                <w:color w:val="32406B"/>
              </w:rPr>
              <w:t>Pro forma net loss per share attributable to common stockholders—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32406B"/>
              </w:rPr>
              <w:t>basic and diluted</w:t>
            </w:r>
            <w:r>
              <w:rPr>
                <w:rFonts w:ascii="Arial" w:cs="Arial" w:eastAsia="Arial" w:hAnsi="Arial"/>
                <w:sz w:val="15"/>
                <w:szCs w:val="15"/>
                <w:color w:val="32406B"/>
              </w:rPr>
              <w:t>(1)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32406B"/>
              </w:rPr>
              <w:t>(2.69)</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32406B"/>
              </w:rPr>
              <w:t>(0.51)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32406B"/>
                <w:w w:val="99"/>
              </w:rPr>
              <w:t>Pro forma weighted-average common shares outstanding—basic and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32406B"/>
              </w:rPr>
              <w:t>diluted</w:t>
            </w:r>
            <w:r>
              <w:rPr>
                <w:rFonts w:ascii="Arial" w:cs="Arial" w:eastAsia="Arial" w:hAnsi="Arial"/>
                <w:sz w:val="15"/>
                <w:szCs w:val="15"/>
                <w:color w:val="32406B"/>
              </w:rPr>
              <w:t>(1)</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32406B"/>
                <w:w w:val="87"/>
              </w:rPr>
              <w:t>6,922,173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w w:val="86"/>
              </w:rPr>
              <w:t>16,187,901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right="200" w:hanging="414"/>
        <w:spacing w:after="0" w:line="312" w:lineRule="auto"/>
        <w:tabs>
          <w:tab w:leader="none" w:pos="800" w:val="left"/>
        </w:tabs>
        <w:numPr>
          <w:ilvl w:val="0"/>
          <w:numId w:val="9"/>
        </w:numPr>
        <w:rPr>
          <w:rFonts w:ascii="Arial" w:cs="Arial" w:eastAsia="Arial" w:hAnsi="Arial"/>
          <w:sz w:val="16"/>
          <w:szCs w:val="16"/>
          <w:color w:val="32406B"/>
        </w:rPr>
      </w:pPr>
      <w:r>
        <w:rPr>
          <w:rFonts w:ascii="Arial" w:cs="Arial" w:eastAsia="Arial" w:hAnsi="Arial"/>
          <w:sz w:val="16"/>
          <w:szCs w:val="16"/>
          <w:color w:val="32406B"/>
        </w:rPr>
        <w:t>See Notes 2 and 13 to our audited consolidated financial statements and Note 12 to our unaudited condensed consolidated financial statements appearing elsewhere in this prospectus for further details on the calculation of basic and diluted net loss per share attributable to common stockholders and on the calculation of pro forma basic and diluted net loss per share attributable to common stockholders.</w:t>
      </w: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9</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4175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34175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2406B"/>
              </w:rPr>
              <w:t>As of March 31, 2018</w:t>
            </w:r>
          </w:p>
        </w:tc>
        <w:tc>
          <w:tcPr>
            <w:tcW w:w="9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80" w:type="dxa"/>
            <w:vAlign w:val="bottom"/>
          </w:tcPr>
          <w:p>
            <w:pPr>
              <w:spacing w:after="0"/>
              <w:rPr>
                <w:sz w:val="10"/>
                <w:szCs w:val="10"/>
                <w:color w:val="auto"/>
              </w:rPr>
            </w:pPr>
          </w:p>
        </w:tc>
        <w:tc>
          <w:tcPr>
            <w:tcW w:w="8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32406B"/>
              </w:rPr>
              <w:t>Actual</w:t>
            </w:r>
          </w:p>
        </w:tc>
        <w:tc>
          <w:tcPr>
            <w:tcW w:w="15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32406B"/>
              </w:rPr>
              <w:t>Pro Forma</w:t>
            </w:r>
            <w:r>
              <w:rPr>
                <w:rFonts w:ascii="Arial" w:cs="Arial" w:eastAsia="Arial" w:hAnsi="Arial"/>
                <w:sz w:val="12"/>
                <w:szCs w:val="12"/>
                <w:b w:val="1"/>
                <w:bCs w:val="1"/>
                <w:color w:val="32406B"/>
              </w:rPr>
              <w:t>(2)</w:t>
            </w:r>
          </w:p>
        </w:tc>
        <w:tc>
          <w:tcPr>
            <w:tcW w:w="940" w:type="dxa"/>
            <w:vAlign w:val="bottom"/>
          </w:tcPr>
          <w:p>
            <w:pPr>
              <w:ind w:left="160"/>
              <w:spacing w:after="0" w:line="119" w:lineRule="exact"/>
              <w:rPr>
                <w:sz w:val="20"/>
                <w:szCs w:val="20"/>
                <w:color w:val="auto"/>
              </w:rPr>
            </w:pPr>
            <w:r>
              <w:rPr>
                <w:rFonts w:ascii="Arial" w:cs="Arial" w:eastAsia="Arial" w:hAnsi="Arial"/>
                <w:sz w:val="13"/>
                <w:szCs w:val="13"/>
                <w:b w:val="1"/>
                <w:bCs w:val="1"/>
                <w:color w:val="32406B"/>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32406B"/>
                <w:w w:val="95"/>
              </w:rPr>
              <w:t>As Adjusted</w:t>
            </w:r>
            <w:r>
              <w:rPr>
                <w:rFonts w:ascii="Arial" w:cs="Arial" w:eastAsia="Arial" w:hAnsi="Arial"/>
                <w:sz w:val="12"/>
                <w:szCs w:val="12"/>
                <w:b w:val="1"/>
                <w:bCs w:val="1"/>
                <w:color w:val="32406B"/>
                <w:w w:val="95"/>
              </w:rPr>
              <w:t>(3)</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32406B"/>
              </w:rPr>
              <w:t>(in thousands)</w:t>
            </w:r>
          </w:p>
        </w:tc>
        <w:tc>
          <w:tcPr>
            <w:tcW w:w="9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32406B"/>
              </w:rPr>
              <w:t>Consolidated Balance Sheet Data:</w:t>
            </w:r>
          </w:p>
        </w:tc>
        <w:tc>
          <w:tcPr>
            <w:tcW w:w="8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color w:val="32406B"/>
              </w:rPr>
              <w:t>Cash and cash equivalents</w:t>
            </w:r>
          </w:p>
        </w:tc>
        <w:tc>
          <w:tcPr>
            <w:tcW w:w="860" w:type="dxa"/>
            <w:vAlign w:val="bottom"/>
          </w:tcPr>
          <w:p>
            <w:pPr>
              <w:jc w:val="right"/>
              <w:ind w:right="112"/>
              <w:spacing w:after="0"/>
              <w:rPr>
                <w:sz w:val="20"/>
                <w:szCs w:val="20"/>
                <w:color w:val="auto"/>
              </w:rPr>
            </w:pPr>
            <w:r>
              <w:rPr>
                <w:rFonts w:ascii="Arial" w:cs="Arial" w:eastAsia="Arial" w:hAnsi="Arial"/>
                <w:sz w:val="18"/>
                <w:szCs w:val="18"/>
                <w:color w:val="32406B"/>
                <w:w w:val="91"/>
              </w:rPr>
              <w:t>$ 57,928</w:t>
            </w:r>
          </w:p>
        </w:tc>
        <w:tc>
          <w:tcPr>
            <w:tcW w:w="1520" w:type="dxa"/>
            <w:vAlign w:val="bottom"/>
          </w:tcPr>
          <w:p>
            <w:pPr>
              <w:jc w:val="right"/>
              <w:ind w:right="315"/>
              <w:spacing w:after="0"/>
              <w:rPr>
                <w:sz w:val="20"/>
                <w:szCs w:val="20"/>
                <w:color w:val="auto"/>
              </w:rPr>
            </w:pPr>
            <w:r>
              <w:rPr>
                <w:rFonts w:ascii="Arial" w:cs="Arial" w:eastAsia="Arial" w:hAnsi="Arial"/>
                <w:sz w:val="18"/>
                <w:szCs w:val="18"/>
                <w:color w:val="32406B"/>
              </w:rPr>
              <w:t>$   57,928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32406B"/>
              </w:rPr>
              <w:t>$   146,438</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Working capital</w:t>
            </w:r>
            <w:r>
              <w:rPr>
                <w:rFonts w:ascii="Arial" w:cs="Arial" w:eastAsia="Arial" w:hAnsi="Arial"/>
                <w:sz w:val="15"/>
                <w:szCs w:val="15"/>
                <w:color w:val="32406B"/>
              </w:rPr>
              <w:t>(1)</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32406B"/>
              </w:rPr>
              <w:t>53,420</w:t>
            </w:r>
          </w:p>
        </w:tc>
        <w:tc>
          <w:tcPr>
            <w:tcW w:w="152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32406B"/>
              </w:rPr>
              <w:t>53,420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142,431</w:t>
            </w: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color w:val="32406B"/>
              </w:rPr>
              <w:t>Total assets</w:t>
            </w:r>
          </w:p>
        </w:tc>
        <w:tc>
          <w:tcPr>
            <w:tcW w:w="860" w:type="dxa"/>
            <w:vAlign w:val="bottom"/>
          </w:tcPr>
          <w:p>
            <w:pPr>
              <w:jc w:val="right"/>
              <w:ind w:right="112"/>
              <w:spacing w:after="0"/>
              <w:rPr>
                <w:sz w:val="20"/>
                <w:szCs w:val="20"/>
                <w:color w:val="auto"/>
              </w:rPr>
            </w:pPr>
            <w:r>
              <w:rPr>
                <w:rFonts w:ascii="Arial" w:cs="Arial" w:eastAsia="Arial" w:hAnsi="Arial"/>
                <w:sz w:val="18"/>
                <w:szCs w:val="18"/>
                <w:color w:val="32406B"/>
              </w:rPr>
              <w:t>60,216</w:t>
            </w:r>
          </w:p>
        </w:tc>
        <w:tc>
          <w:tcPr>
            <w:tcW w:w="1520" w:type="dxa"/>
            <w:vAlign w:val="bottom"/>
          </w:tcPr>
          <w:p>
            <w:pPr>
              <w:jc w:val="right"/>
              <w:ind w:right="315"/>
              <w:spacing w:after="0"/>
              <w:rPr>
                <w:sz w:val="20"/>
                <w:szCs w:val="20"/>
                <w:color w:val="auto"/>
              </w:rPr>
            </w:pPr>
            <w:r>
              <w:rPr>
                <w:rFonts w:ascii="Arial" w:cs="Arial" w:eastAsia="Arial" w:hAnsi="Arial"/>
                <w:sz w:val="18"/>
                <w:szCs w:val="18"/>
                <w:color w:val="32406B"/>
              </w:rPr>
              <w:t>60,216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32406B"/>
              </w:rPr>
              <w:t>148,170</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Warrant to purchase redeemable convertible preferred stock</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32406B"/>
              </w:rPr>
              <w:t>47</w:t>
            </w:r>
          </w:p>
        </w:tc>
        <w:tc>
          <w:tcPr>
            <w:tcW w:w="152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32406B"/>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color w:val="32406B"/>
              </w:rPr>
              <w:t>Derivative liability</w:t>
            </w:r>
          </w:p>
        </w:tc>
        <w:tc>
          <w:tcPr>
            <w:tcW w:w="860" w:type="dxa"/>
            <w:vAlign w:val="bottom"/>
          </w:tcPr>
          <w:p>
            <w:pPr>
              <w:jc w:val="right"/>
              <w:ind w:right="112"/>
              <w:spacing w:after="0"/>
              <w:rPr>
                <w:sz w:val="20"/>
                <w:szCs w:val="20"/>
                <w:color w:val="auto"/>
              </w:rPr>
            </w:pPr>
            <w:r>
              <w:rPr>
                <w:rFonts w:ascii="Arial" w:cs="Arial" w:eastAsia="Arial" w:hAnsi="Arial"/>
                <w:sz w:val="18"/>
                <w:szCs w:val="18"/>
                <w:color w:val="32406B"/>
              </w:rPr>
              <w:t>958</w:t>
            </w:r>
          </w:p>
        </w:tc>
        <w:tc>
          <w:tcPr>
            <w:tcW w:w="1520" w:type="dxa"/>
            <w:vAlign w:val="bottom"/>
          </w:tcPr>
          <w:p>
            <w:pPr>
              <w:jc w:val="right"/>
              <w:ind w:right="315"/>
              <w:spacing w:after="0"/>
              <w:rPr>
                <w:sz w:val="20"/>
                <w:szCs w:val="20"/>
                <w:color w:val="auto"/>
              </w:rPr>
            </w:pPr>
            <w:r>
              <w:rPr>
                <w:rFonts w:ascii="Arial" w:cs="Arial" w:eastAsia="Arial" w:hAnsi="Arial"/>
                <w:sz w:val="18"/>
                <w:szCs w:val="18"/>
                <w:color w:val="32406B"/>
              </w:rPr>
              <w:t>958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Redeemable convertible preferred stock</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32406B"/>
              </w:rPr>
              <w:t>87,500</w:t>
            </w:r>
          </w:p>
        </w:tc>
        <w:tc>
          <w:tcPr>
            <w:tcW w:w="152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32406B"/>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32406B"/>
              </w:rPr>
              <w:t>Total stockholders’ (deficit) equity</w:t>
            </w:r>
          </w:p>
        </w:tc>
        <w:tc>
          <w:tcPr>
            <w:tcW w:w="860" w:type="dxa"/>
            <w:vAlign w:val="bottom"/>
          </w:tcPr>
          <w:p>
            <w:pPr>
              <w:jc w:val="right"/>
              <w:ind w:right="52"/>
              <w:spacing w:after="0"/>
              <w:rPr>
                <w:sz w:val="20"/>
                <w:szCs w:val="20"/>
                <w:color w:val="auto"/>
              </w:rPr>
            </w:pPr>
            <w:r>
              <w:rPr>
                <w:rFonts w:ascii="Arial" w:cs="Arial" w:eastAsia="Arial" w:hAnsi="Arial"/>
                <w:sz w:val="18"/>
                <w:szCs w:val="18"/>
                <w:color w:val="32406B"/>
              </w:rPr>
              <w:t>(33,511)</w:t>
            </w:r>
          </w:p>
        </w:tc>
        <w:tc>
          <w:tcPr>
            <w:tcW w:w="1520" w:type="dxa"/>
            <w:vAlign w:val="bottom"/>
          </w:tcPr>
          <w:p>
            <w:pPr>
              <w:jc w:val="right"/>
              <w:ind w:right="315"/>
              <w:spacing w:after="0"/>
              <w:rPr>
                <w:sz w:val="20"/>
                <w:szCs w:val="20"/>
                <w:color w:val="auto"/>
              </w:rPr>
            </w:pPr>
            <w:r>
              <w:rPr>
                <w:rFonts w:ascii="Arial" w:cs="Arial" w:eastAsia="Arial" w:hAnsi="Arial"/>
                <w:sz w:val="18"/>
                <w:szCs w:val="18"/>
                <w:color w:val="32406B"/>
              </w:rPr>
              <w:t>54,036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32406B"/>
              </w:rPr>
              <w:t>143,449</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00" w:hanging="414"/>
        <w:spacing w:after="0"/>
        <w:tabs>
          <w:tab w:leader="none" w:pos="80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We define working capital as current assets less current liabilities.</w:t>
      </w:r>
    </w:p>
    <w:p>
      <w:pPr>
        <w:spacing w:after="0" w:line="23" w:lineRule="exact"/>
        <w:rPr>
          <w:rFonts w:ascii="Arial" w:cs="Arial" w:eastAsia="Arial" w:hAnsi="Arial"/>
          <w:sz w:val="18"/>
          <w:szCs w:val="18"/>
          <w:color w:val="32406B"/>
        </w:rPr>
      </w:pPr>
    </w:p>
    <w:p>
      <w:pPr>
        <w:jc w:val="both"/>
        <w:ind w:left="800" w:right="60" w:hanging="414"/>
        <w:spacing w:after="0" w:line="281" w:lineRule="auto"/>
        <w:tabs>
          <w:tab w:leader="none" w:pos="800" w:val="left"/>
        </w:tabs>
        <w:numPr>
          <w:ilvl w:val="0"/>
          <w:numId w:val="10"/>
        </w:numPr>
        <w:rPr>
          <w:rFonts w:ascii="Arial" w:cs="Arial" w:eastAsia="Arial" w:hAnsi="Arial"/>
          <w:sz w:val="16"/>
          <w:szCs w:val="16"/>
          <w:color w:val="32406B"/>
        </w:rPr>
      </w:pPr>
      <w:r>
        <w:rPr>
          <w:rFonts w:ascii="Arial" w:cs="Arial" w:eastAsia="Arial" w:hAnsi="Arial"/>
          <w:sz w:val="16"/>
          <w:szCs w:val="16"/>
          <w:color w:val="32406B"/>
        </w:rPr>
        <w:t>The pro forma balance sheet data gives effect to (i) the conversion of all outstanding shares of redeemable convertible preferred stock into an aggregate of 15,320,213 shares of common stock upon the closing of this offering; and (ii) the outstanding warrant to purchase shares of our redeemable convertible preferred stock becoming a warrant to purchase shares of our common stock upon the closing of this offering.</w:t>
      </w:r>
    </w:p>
    <w:p>
      <w:pPr>
        <w:spacing w:after="0" w:line="2" w:lineRule="exact"/>
        <w:rPr>
          <w:rFonts w:ascii="Arial" w:cs="Arial" w:eastAsia="Arial" w:hAnsi="Arial"/>
          <w:sz w:val="16"/>
          <w:szCs w:val="16"/>
          <w:color w:val="32406B"/>
        </w:rPr>
      </w:pPr>
    </w:p>
    <w:p>
      <w:pPr>
        <w:ind w:left="800" w:right="80" w:hanging="414"/>
        <w:spacing w:after="0" w:line="269" w:lineRule="auto"/>
        <w:tabs>
          <w:tab w:leader="none" w:pos="800" w:val="left"/>
        </w:tabs>
        <w:numPr>
          <w:ilvl w:val="0"/>
          <w:numId w:val="10"/>
        </w:numPr>
        <w:rPr>
          <w:rFonts w:ascii="Arial" w:cs="Arial" w:eastAsia="Arial" w:hAnsi="Arial"/>
          <w:sz w:val="17"/>
          <w:szCs w:val="17"/>
          <w:color w:val="32406B"/>
        </w:rPr>
      </w:pPr>
      <w:r>
        <w:rPr>
          <w:rFonts w:ascii="Arial" w:cs="Arial" w:eastAsia="Arial" w:hAnsi="Arial"/>
          <w:sz w:val="17"/>
          <w:szCs w:val="17"/>
          <w:color w:val="32406B"/>
        </w:rPr>
        <w:t>The pro forma as adjusted balance sheet data gives effect to the pro forma adjustments described in footnote (2) above, as well as (i) our issuance and sale of 5,247,958 shares of common stock in this offering at the initial public offering price of $19.00 per share, after deducting underwriting discounts and commissions and estimated offering expenses payable by us and (ii) the payment by us of an aggregate of $2.0 million to University Health Network pursuant to the Stock Purchase Agreement, dated as of January 27, 2016, between us and University Health Network, in connection with this offering. Additionally, for purposes of the pro forma as adjusted amounts shown above, the net proceeds to be received by us from the sale of common stock in this offering have been increased by approximately $55,000 to reflect the estimated offering expenses that had been paid by us as of March 31,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10</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RISK FACTORS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32406B"/>
        </w:rPr>
        <w:t>Investing in our common stock involves a high degree of risk. You should carefully consider the following risks and uncertainties, together with all other information in this prospectus, including our consolidated financial statements and related notes and “Management’s Discussion and Analysis of Financial Condition and Results of Operations,”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“Special Note Regarding Forward-Looking Statements” in this prospectus.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Risks related to our financial position and need for additional capital</w:t>
      </w:r>
    </w:p>
    <w:p>
      <w:pPr>
        <w:spacing w:after="0" w:line="121" w:lineRule="exact"/>
        <w:rPr>
          <w:sz w:val="20"/>
          <w:szCs w:val="20"/>
          <w:color w:val="auto"/>
        </w:rPr>
      </w:pPr>
    </w:p>
    <w:p>
      <w:pPr>
        <w:ind w:left="640" w:right="540"/>
        <w:spacing w:after="0" w:line="277" w:lineRule="auto"/>
        <w:rPr>
          <w:sz w:val="20"/>
          <w:szCs w:val="20"/>
          <w:color w:val="auto"/>
        </w:rPr>
      </w:pPr>
      <w:r>
        <w:rPr>
          <w:rFonts w:ascii="Arial" w:cs="Arial" w:eastAsia="Arial" w:hAnsi="Arial"/>
          <w:sz w:val="18"/>
          <w:szCs w:val="18"/>
          <w:b w:val="1"/>
          <w:bCs w:val="1"/>
          <w:i w:val="1"/>
          <w:iCs w:val="1"/>
          <w:color w:val="32406B"/>
        </w:rPr>
        <w:t>We have incurred net losses since inception. We expect to incur net losses for the foreseeable future and may never achieve or maintain profitability.</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Since inception, we have incurred net losses. We incurred net losses of $4.7 million, $18.6 million and $8.2 million for the years ended December 31, 2016 and 2017, and the three months ended March 31, 2018, respectively. We historically have financed our operations primarily through private placements of our preferred stock.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99" w:lineRule="exact"/>
        <w:rPr>
          <w:sz w:val="20"/>
          <w:szCs w:val="20"/>
          <w:color w:val="auto"/>
        </w:rPr>
      </w:pPr>
    </w:p>
    <w:p>
      <w:pPr>
        <w:ind w:left="1060" w:hanging="424"/>
        <w:spacing w:after="0" w:line="277" w:lineRule="auto"/>
        <w:tabs>
          <w:tab w:leader="none" w:pos="1060" w:val="left"/>
        </w:tabs>
        <w:numPr>
          <w:ilvl w:val="0"/>
          <w:numId w:val="11"/>
        </w:numPr>
        <w:rPr>
          <w:rFonts w:ascii="Arial" w:cs="Arial" w:eastAsia="Arial" w:hAnsi="Arial"/>
          <w:sz w:val="18"/>
          <w:szCs w:val="18"/>
          <w:color w:val="32406B"/>
        </w:rPr>
      </w:pPr>
      <w:r>
        <w:rPr>
          <w:rFonts w:ascii="Arial" w:cs="Arial" w:eastAsia="Arial" w:hAnsi="Arial"/>
          <w:sz w:val="18"/>
          <w:szCs w:val="18"/>
          <w:color w:val="32406B"/>
        </w:rPr>
        <w:t>continue our development of our product candidates, including continuing enrollment in our recently initiated Phase 2 clinical trial for AVR-RD-01;</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11"/>
        </w:numPr>
        <w:rPr>
          <w:rFonts w:ascii="Arial" w:cs="Arial" w:eastAsia="Arial" w:hAnsi="Arial"/>
          <w:sz w:val="18"/>
          <w:szCs w:val="18"/>
          <w:color w:val="32406B"/>
        </w:rPr>
      </w:pPr>
      <w:r>
        <w:rPr>
          <w:rFonts w:ascii="Arial" w:cs="Arial" w:eastAsia="Arial" w:hAnsi="Arial"/>
          <w:sz w:val="18"/>
          <w:szCs w:val="18"/>
          <w:color w:val="32406B"/>
        </w:rPr>
        <w:t>initiate additional clinical trials and preclinical studies for our other product candidates;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1"/>
        </w:numPr>
        <w:rPr>
          <w:rFonts w:ascii="Arial" w:cs="Arial" w:eastAsia="Arial" w:hAnsi="Arial"/>
          <w:sz w:val="18"/>
          <w:szCs w:val="18"/>
          <w:color w:val="32406B"/>
        </w:rPr>
      </w:pPr>
      <w:r>
        <w:rPr>
          <w:rFonts w:ascii="Arial" w:cs="Arial" w:eastAsia="Arial" w:hAnsi="Arial"/>
          <w:sz w:val="18"/>
          <w:szCs w:val="18"/>
          <w:color w:val="32406B"/>
        </w:rPr>
        <w:t>seek to identify and develop or in-license additional product candidates;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1"/>
        </w:numPr>
        <w:rPr>
          <w:rFonts w:ascii="Arial" w:cs="Arial" w:eastAsia="Arial" w:hAnsi="Arial"/>
          <w:sz w:val="18"/>
          <w:szCs w:val="18"/>
          <w:color w:val="32406B"/>
        </w:rPr>
      </w:pPr>
      <w:r>
        <w:rPr>
          <w:rFonts w:ascii="Arial" w:cs="Arial" w:eastAsia="Arial" w:hAnsi="Arial"/>
          <w:sz w:val="18"/>
          <w:szCs w:val="18"/>
          <w:color w:val="32406B"/>
        </w:rPr>
        <w:t>seek marketing approvals for our product candidates that successfully complete clinical trials, if any;</w:t>
      </w:r>
    </w:p>
    <w:p>
      <w:pPr>
        <w:spacing w:after="0" w:line="130" w:lineRule="exact"/>
        <w:rPr>
          <w:rFonts w:ascii="Arial" w:cs="Arial" w:eastAsia="Arial" w:hAnsi="Arial"/>
          <w:sz w:val="18"/>
          <w:szCs w:val="18"/>
          <w:color w:val="32406B"/>
        </w:rPr>
      </w:pPr>
    </w:p>
    <w:p>
      <w:pPr>
        <w:ind w:left="1060" w:right="360" w:hanging="424"/>
        <w:spacing w:after="0" w:line="277" w:lineRule="auto"/>
        <w:tabs>
          <w:tab w:leader="none" w:pos="1060" w:val="left"/>
        </w:tabs>
        <w:numPr>
          <w:ilvl w:val="0"/>
          <w:numId w:val="11"/>
        </w:numPr>
        <w:rPr>
          <w:rFonts w:ascii="Arial" w:cs="Arial" w:eastAsia="Arial" w:hAnsi="Arial"/>
          <w:sz w:val="18"/>
          <w:szCs w:val="18"/>
          <w:color w:val="32406B"/>
        </w:rPr>
      </w:pPr>
      <w:r>
        <w:rPr>
          <w:rFonts w:ascii="Arial" w:cs="Arial" w:eastAsia="Arial" w:hAnsi="Arial"/>
          <w:sz w:val="18"/>
          <w:szCs w:val="18"/>
          <w:color w:val="32406B"/>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11"/>
        </w:numPr>
        <w:rPr>
          <w:rFonts w:ascii="Arial" w:cs="Arial" w:eastAsia="Arial" w:hAnsi="Arial"/>
          <w:sz w:val="17"/>
          <w:szCs w:val="17"/>
          <w:color w:val="32406B"/>
        </w:rPr>
      </w:pPr>
      <w:r>
        <w:rPr>
          <w:rFonts w:ascii="Arial" w:cs="Arial" w:eastAsia="Arial" w:hAnsi="Arial"/>
          <w:sz w:val="17"/>
          <w:szCs w:val="17"/>
          <w:color w:val="32406B"/>
        </w:rPr>
        <w:t xml:space="preserve">seek to industrialize our </w:t>
      </w:r>
      <w:r>
        <w:rPr>
          <w:rFonts w:ascii="Arial" w:cs="Arial" w:eastAsia="Arial" w:hAnsi="Arial"/>
          <w:sz w:val="17"/>
          <w:szCs w:val="17"/>
          <w:i w:val="1"/>
          <w:iCs w:val="1"/>
          <w:color w:val="32406B"/>
        </w:rPr>
        <w:t>ex vivo</w:t>
      </w:r>
      <w:r>
        <w:rPr>
          <w:rFonts w:ascii="Arial" w:cs="Arial" w:eastAsia="Arial" w:hAnsi="Arial"/>
          <w:sz w:val="17"/>
          <w:szCs w:val="17"/>
          <w:color w:val="32406B"/>
        </w:rPr>
        <w:t xml:space="preserve"> lentiviral gene therapy approach into a robust, scalable and, if approved, commercially viable process;</w:t>
      </w:r>
    </w:p>
    <w:p>
      <w:pPr>
        <w:spacing w:after="0" w:line="142" w:lineRule="exact"/>
        <w:rPr>
          <w:rFonts w:ascii="Arial" w:cs="Arial" w:eastAsia="Arial" w:hAnsi="Arial"/>
          <w:sz w:val="17"/>
          <w:szCs w:val="17"/>
          <w:color w:val="32406B"/>
        </w:rPr>
      </w:pPr>
    </w:p>
    <w:p>
      <w:pPr>
        <w:ind w:left="1060" w:hanging="424"/>
        <w:spacing w:after="0"/>
        <w:tabs>
          <w:tab w:leader="none" w:pos="1060" w:val="left"/>
        </w:tabs>
        <w:numPr>
          <w:ilvl w:val="0"/>
          <w:numId w:val="11"/>
        </w:numPr>
        <w:rPr>
          <w:rFonts w:ascii="Arial" w:cs="Arial" w:eastAsia="Arial" w:hAnsi="Arial"/>
          <w:sz w:val="18"/>
          <w:szCs w:val="18"/>
          <w:color w:val="32406B"/>
        </w:rPr>
      </w:pPr>
      <w:r>
        <w:rPr>
          <w:rFonts w:ascii="Arial" w:cs="Arial" w:eastAsia="Arial" w:hAnsi="Arial"/>
          <w:sz w:val="18"/>
          <w:szCs w:val="18"/>
          <w:color w:val="32406B"/>
        </w:rPr>
        <w:t>hire and retain additional personnel, such as clinical, quality control, commercial and scientific personnel;</w:t>
      </w:r>
    </w:p>
    <w:p>
      <w:pPr>
        <w:spacing w:after="0" w:line="130" w:lineRule="exact"/>
        <w:rPr>
          <w:rFonts w:ascii="Arial" w:cs="Arial" w:eastAsia="Arial" w:hAnsi="Arial"/>
          <w:sz w:val="18"/>
          <w:szCs w:val="18"/>
          <w:color w:val="32406B"/>
        </w:rPr>
      </w:pPr>
    </w:p>
    <w:p>
      <w:pPr>
        <w:ind w:left="1060" w:hanging="424"/>
        <w:spacing w:after="0" w:line="277" w:lineRule="auto"/>
        <w:tabs>
          <w:tab w:leader="none" w:pos="1060" w:val="left"/>
        </w:tabs>
        <w:numPr>
          <w:ilvl w:val="0"/>
          <w:numId w:val="11"/>
        </w:numPr>
        <w:rPr>
          <w:rFonts w:ascii="Arial" w:cs="Arial" w:eastAsia="Arial" w:hAnsi="Arial"/>
          <w:sz w:val="18"/>
          <w:szCs w:val="18"/>
          <w:color w:val="32406B"/>
        </w:rPr>
      </w:pPr>
      <w:r>
        <w:rPr>
          <w:rFonts w:ascii="Arial" w:cs="Arial" w:eastAsia="Arial" w:hAnsi="Arial"/>
          <w:sz w:val="18"/>
          <w:szCs w:val="18"/>
          <w:color w:val="32406B"/>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11"/>
        </w:numPr>
        <w:rPr>
          <w:rFonts w:ascii="Arial" w:cs="Arial" w:eastAsia="Arial" w:hAnsi="Arial"/>
          <w:sz w:val="18"/>
          <w:szCs w:val="18"/>
          <w:color w:val="32406B"/>
        </w:rPr>
      </w:pPr>
      <w:r>
        <w:rPr>
          <w:rFonts w:ascii="Arial" w:cs="Arial" w:eastAsia="Arial" w:hAnsi="Arial"/>
          <w:sz w:val="18"/>
          <w:szCs w:val="18"/>
          <w:color w:val="32406B"/>
        </w:rPr>
        <w:t>transition our organization to being a public company.</w:t>
      </w:r>
    </w:p>
    <w:p>
      <w:pPr>
        <w:spacing w:after="0" w:line="225"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32406B"/>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11</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or continue our operations. A decline in the value of our company also could cause you to lose all or part of your investment.</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We have never generated revenue from product sales and do not expect to do so for the next several years, if ever.</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92" w:lineRule="exact"/>
        <w:rPr>
          <w:sz w:val="20"/>
          <w:szCs w:val="20"/>
          <w:color w:val="auto"/>
        </w:rPr>
      </w:pPr>
    </w:p>
    <w:p>
      <w:pPr>
        <w:ind w:left="1060" w:right="220" w:hanging="424"/>
        <w:spacing w:after="0" w:line="277" w:lineRule="auto"/>
        <w:tabs>
          <w:tab w:leader="none" w:pos="1060" w:val="left"/>
        </w:tabs>
        <w:numPr>
          <w:ilvl w:val="0"/>
          <w:numId w:val="12"/>
        </w:numPr>
        <w:rPr>
          <w:rFonts w:ascii="Arial" w:cs="Arial" w:eastAsia="Arial" w:hAnsi="Arial"/>
          <w:sz w:val="18"/>
          <w:szCs w:val="18"/>
          <w:color w:val="32406B"/>
        </w:rPr>
      </w:pPr>
      <w:r>
        <w:rPr>
          <w:rFonts w:ascii="Arial" w:cs="Arial" w:eastAsia="Arial" w:hAnsi="Arial"/>
          <w:sz w:val="18"/>
          <w:szCs w:val="18"/>
          <w:color w:val="32406B"/>
        </w:rPr>
        <w:t>completing research and preclinical and clinical development of our product candidates and identifying new lentiviral-based gene therapy product candidates;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12"/>
        </w:numPr>
        <w:rPr>
          <w:rFonts w:ascii="Arial" w:cs="Arial" w:eastAsia="Arial" w:hAnsi="Arial"/>
          <w:sz w:val="18"/>
          <w:szCs w:val="18"/>
          <w:color w:val="32406B"/>
        </w:rPr>
      </w:pPr>
      <w:r>
        <w:rPr>
          <w:rFonts w:ascii="Arial" w:cs="Arial" w:eastAsia="Arial" w:hAnsi="Arial"/>
          <w:sz w:val="18"/>
          <w:szCs w:val="18"/>
          <w:color w:val="32406B"/>
        </w:rPr>
        <w:t>seeking and obtaining regulatory and marketing approvals for product candidates for which we complete clinical trials;</w:t>
      </w:r>
    </w:p>
    <w:p>
      <w:pPr>
        <w:spacing w:after="0" w:line="130" w:lineRule="exact"/>
        <w:rPr>
          <w:rFonts w:ascii="Arial" w:cs="Arial" w:eastAsia="Arial" w:hAnsi="Arial"/>
          <w:sz w:val="18"/>
          <w:szCs w:val="18"/>
          <w:color w:val="32406B"/>
        </w:rPr>
      </w:pPr>
    </w:p>
    <w:p>
      <w:pPr>
        <w:ind w:left="1060" w:right="320" w:hanging="424"/>
        <w:spacing w:after="0" w:line="277" w:lineRule="auto"/>
        <w:tabs>
          <w:tab w:leader="none" w:pos="1060" w:val="left"/>
        </w:tabs>
        <w:numPr>
          <w:ilvl w:val="0"/>
          <w:numId w:val="12"/>
        </w:numPr>
        <w:rPr>
          <w:rFonts w:ascii="Arial" w:cs="Arial" w:eastAsia="Arial" w:hAnsi="Arial"/>
          <w:sz w:val="18"/>
          <w:szCs w:val="18"/>
          <w:color w:val="32406B"/>
        </w:rPr>
      </w:pPr>
      <w:r>
        <w:rPr>
          <w:rFonts w:ascii="Arial" w:cs="Arial" w:eastAsia="Arial" w:hAnsi="Arial"/>
          <w:sz w:val="18"/>
          <w:szCs w:val="18"/>
          <w:color w:val="32406B"/>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12"/>
        </w:numPr>
        <w:rPr>
          <w:rFonts w:ascii="Arial" w:cs="Arial" w:eastAsia="Arial" w:hAnsi="Arial"/>
          <w:sz w:val="18"/>
          <w:szCs w:val="18"/>
          <w:color w:val="32406B"/>
        </w:rPr>
      </w:pPr>
      <w:r>
        <w:rPr>
          <w:rFonts w:ascii="Arial" w:cs="Arial" w:eastAsia="Arial" w:hAnsi="Arial"/>
          <w:sz w:val="18"/>
          <w:szCs w:val="18"/>
          <w:color w:val="32406B"/>
        </w:rPr>
        <w:t>qualifying for adequate coverage and reimbursement by government and third-party payors for our product candidates;</w:t>
      </w:r>
    </w:p>
    <w:p>
      <w:pPr>
        <w:spacing w:after="0" w:line="130" w:lineRule="exact"/>
        <w:rPr>
          <w:rFonts w:ascii="Arial" w:cs="Arial" w:eastAsia="Arial" w:hAnsi="Arial"/>
          <w:sz w:val="18"/>
          <w:szCs w:val="18"/>
          <w:color w:val="32406B"/>
        </w:rPr>
      </w:pPr>
    </w:p>
    <w:p>
      <w:pPr>
        <w:ind w:left="1060" w:right="160" w:hanging="424"/>
        <w:spacing w:after="0" w:line="342" w:lineRule="auto"/>
        <w:tabs>
          <w:tab w:leader="none" w:pos="1060" w:val="left"/>
        </w:tabs>
        <w:numPr>
          <w:ilvl w:val="0"/>
          <w:numId w:val="12"/>
        </w:numPr>
        <w:rPr>
          <w:rFonts w:ascii="Arial" w:cs="Arial" w:eastAsia="Arial" w:hAnsi="Arial"/>
          <w:sz w:val="16"/>
          <w:szCs w:val="16"/>
          <w:color w:val="32406B"/>
        </w:rPr>
      </w:pPr>
      <w:r>
        <w:rPr>
          <w:rFonts w:ascii="Arial" w:cs="Arial" w:eastAsia="Arial" w:hAnsi="Arial"/>
          <w:sz w:val="16"/>
          <w:szCs w:val="16"/>
          <w:color w:val="32406B"/>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29" w:lineRule="exact"/>
        <w:rPr>
          <w:rFonts w:ascii="Arial" w:cs="Arial" w:eastAsia="Arial" w:hAnsi="Arial"/>
          <w:sz w:val="16"/>
          <w:szCs w:val="16"/>
          <w:color w:val="32406B"/>
        </w:rPr>
      </w:pPr>
    </w:p>
    <w:p>
      <w:pPr>
        <w:ind w:left="1060" w:hanging="424"/>
        <w:spacing w:after="0"/>
        <w:tabs>
          <w:tab w:leader="none" w:pos="1060" w:val="left"/>
        </w:tabs>
        <w:numPr>
          <w:ilvl w:val="0"/>
          <w:numId w:val="12"/>
        </w:numPr>
        <w:rPr>
          <w:rFonts w:ascii="Arial" w:cs="Arial" w:eastAsia="Arial" w:hAnsi="Arial"/>
          <w:sz w:val="18"/>
          <w:szCs w:val="18"/>
          <w:color w:val="32406B"/>
        </w:rPr>
      </w:pPr>
      <w:r>
        <w:rPr>
          <w:rFonts w:ascii="Arial" w:cs="Arial" w:eastAsia="Arial" w:hAnsi="Arial"/>
          <w:sz w:val="18"/>
          <w:szCs w:val="18"/>
          <w:color w:val="32406B"/>
        </w:rPr>
        <w:t>obtaining market acceptance of our product candidates, if approved, as a viable treatment option;</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2"/>
        </w:numPr>
        <w:rPr>
          <w:rFonts w:ascii="Arial" w:cs="Arial" w:eastAsia="Arial" w:hAnsi="Arial"/>
          <w:sz w:val="18"/>
          <w:szCs w:val="18"/>
          <w:color w:val="32406B"/>
        </w:rPr>
      </w:pPr>
      <w:r>
        <w:rPr>
          <w:rFonts w:ascii="Arial" w:cs="Arial" w:eastAsia="Arial" w:hAnsi="Arial"/>
          <w:sz w:val="18"/>
          <w:szCs w:val="18"/>
          <w:color w:val="32406B"/>
        </w:rPr>
        <w:t>addressing any competing technological and market developments;</w:t>
      </w:r>
    </w:p>
    <w:p>
      <w:pPr>
        <w:spacing w:after="0" w:line="130" w:lineRule="exact"/>
        <w:rPr>
          <w:rFonts w:ascii="Arial" w:cs="Arial" w:eastAsia="Arial" w:hAnsi="Arial"/>
          <w:sz w:val="18"/>
          <w:szCs w:val="18"/>
          <w:color w:val="32406B"/>
        </w:rPr>
      </w:pPr>
    </w:p>
    <w:p>
      <w:pPr>
        <w:ind w:left="1060" w:right="180" w:hanging="424"/>
        <w:spacing w:after="0" w:line="277" w:lineRule="auto"/>
        <w:tabs>
          <w:tab w:leader="none" w:pos="1060" w:val="left"/>
        </w:tabs>
        <w:numPr>
          <w:ilvl w:val="0"/>
          <w:numId w:val="12"/>
        </w:numPr>
        <w:rPr>
          <w:rFonts w:ascii="Arial" w:cs="Arial" w:eastAsia="Arial" w:hAnsi="Arial"/>
          <w:sz w:val="18"/>
          <w:szCs w:val="18"/>
          <w:color w:val="32406B"/>
        </w:rPr>
      </w:pPr>
      <w:r>
        <w:rPr>
          <w:rFonts w:ascii="Arial" w:cs="Arial" w:eastAsia="Arial" w:hAnsi="Arial"/>
          <w:sz w:val="18"/>
          <w:szCs w:val="18"/>
          <w:color w:val="32406B"/>
        </w:rPr>
        <w:t>negotiating favorable terms in any collaboration, licensing or other arrangements into which we may enter and performing our obligations under such arrangements; and</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12"/>
        </w:numPr>
        <w:rPr>
          <w:rFonts w:ascii="Arial" w:cs="Arial" w:eastAsia="Arial" w:hAnsi="Arial"/>
          <w:sz w:val="18"/>
          <w:szCs w:val="18"/>
          <w:color w:val="32406B"/>
        </w:rPr>
      </w:pPr>
      <w:r>
        <w:rPr>
          <w:rFonts w:ascii="Arial" w:cs="Arial" w:eastAsia="Arial" w:hAnsi="Arial"/>
          <w:sz w:val="18"/>
          <w:szCs w:val="18"/>
          <w:color w:val="32406B"/>
        </w:rPr>
        <w:t>attracting, hiring and retaining qualified personnel.</w:t>
      </w:r>
    </w:p>
    <w:p>
      <w:pPr>
        <w:spacing w:after="0" w:line="225"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32406B"/>
        </w:rPr>
        <w:t>Even if one or more of the product candidates that we develop is approved for commercial sale, we anticipate incurring significant costs associated with commercializing any approved product candidate. Our expenses could increase beyond expectations if we are required by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62" w:lineRule="exact"/>
        <w:rPr>
          <w:sz w:val="20"/>
          <w:szCs w:val="20"/>
          <w:color w:val="auto"/>
        </w:rPr>
      </w:pPr>
    </w:p>
    <w:p>
      <w:pPr>
        <w:ind w:left="640" w:right="20"/>
        <w:spacing w:after="0" w:line="342" w:lineRule="auto"/>
        <w:rPr>
          <w:sz w:val="20"/>
          <w:szCs w:val="20"/>
          <w:color w:val="auto"/>
        </w:rPr>
      </w:pPr>
      <w:r>
        <w:rPr>
          <w:rFonts w:ascii="Arial" w:cs="Arial" w:eastAsia="Arial" w:hAnsi="Arial"/>
          <w:sz w:val="16"/>
          <w:szCs w:val="16"/>
          <w:b w:val="1"/>
          <w:bCs w:val="1"/>
          <w:i w:val="1"/>
          <w:iCs w:val="1"/>
          <w:color w:val="32406B"/>
        </w:rPr>
        <w:t>Even if this offering is successful, we will need additional funding, which may not be available on acceptable terms, or at all. Failure to obtain this necessary capital when needed may force us to delay, limit or terminate our product development efforts or other operations.</w:t>
      </w:r>
    </w:p>
    <w:p>
      <w:pPr>
        <w:spacing w:after="0" w:line="1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In addition, if we obtain marketing approval for any of our product candidates, we expect to incur significant expenses related to product sales, medical affairs, marketing, manufacturing and distribution.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12</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Our future capital requirements will depend on many factors, including:</w:t>
      </w:r>
    </w:p>
    <w:p>
      <w:pPr>
        <w:spacing w:after="0" w:line="131" w:lineRule="exact"/>
        <w:rPr>
          <w:sz w:val="20"/>
          <w:szCs w:val="20"/>
          <w:color w:val="auto"/>
        </w:rPr>
      </w:pPr>
    </w:p>
    <w:p>
      <w:pPr>
        <w:ind w:left="1060" w:right="200" w:hanging="424"/>
        <w:spacing w:after="0" w:line="277" w:lineRule="auto"/>
        <w:tabs>
          <w:tab w:leader="none" w:pos="1060" w:val="left"/>
        </w:tabs>
        <w:numPr>
          <w:ilvl w:val="0"/>
          <w:numId w:val="13"/>
        </w:numPr>
        <w:rPr>
          <w:rFonts w:ascii="Arial" w:cs="Arial" w:eastAsia="Arial" w:hAnsi="Arial"/>
          <w:sz w:val="18"/>
          <w:szCs w:val="18"/>
          <w:color w:val="32406B"/>
        </w:rPr>
      </w:pPr>
      <w:r>
        <w:rPr>
          <w:rFonts w:ascii="Arial" w:cs="Arial" w:eastAsia="Arial" w:hAnsi="Arial"/>
          <w:sz w:val="18"/>
          <w:szCs w:val="18"/>
          <w:color w:val="32406B"/>
        </w:rPr>
        <w:t>the scope, progress, results and costs of drug discovery, laboratory testing, preclinical development and clinical trials for our other product candidates;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13"/>
        </w:numPr>
        <w:rPr>
          <w:rFonts w:ascii="Arial" w:cs="Arial" w:eastAsia="Arial" w:hAnsi="Arial"/>
          <w:sz w:val="18"/>
          <w:szCs w:val="18"/>
          <w:color w:val="32406B"/>
        </w:rPr>
      </w:pPr>
      <w:r>
        <w:rPr>
          <w:rFonts w:ascii="Arial" w:cs="Arial" w:eastAsia="Arial" w:hAnsi="Arial"/>
          <w:sz w:val="18"/>
          <w:szCs w:val="18"/>
          <w:color w:val="32406B"/>
        </w:rPr>
        <w:t>the costs, timing and outcome of regulatory review of our product candidates;</w:t>
      </w:r>
    </w:p>
    <w:p>
      <w:pPr>
        <w:spacing w:after="0" w:line="130" w:lineRule="exact"/>
        <w:rPr>
          <w:rFonts w:ascii="Arial" w:cs="Arial" w:eastAsia="Arial" w:hAnsi="Arial"/>
          <w:sz w:val="18"/>
          <w:szCs w:val="18"/>
          <w:color w:val="32406B"/>
        </w:rPr>
      </w:pPr>
    </w:p>
    <w:p>
      <w:pPr>
        <w:ind w:left="1060" w:right="420" w:hanging="424"/>
        <w:spacing w:after="0" w:line="277" w:lineRule="auto"/>
        <w:tabs>
          <w:tab w:leader="none" w:pos="1060" w:val="left"/>
        </w:tabs>
        <w:numPr>
          <w:ilvl w:val="0"/>
          <w:numId w:val="13"/>
        </w:numPr>
        <w:rPr>
          <w:rFonts w:ascii="Arial" w:cs="Arial" w:eastAsia="Arial" w:hAnsi="Arial"/>
          <w:sz w:val="18"/>
          <w:szCs w:val="18"/>
          <w:color w:val="32406B"/>
        </w:rPr>
      </w:pPr>
      <w:r>
        <w:rPr>
          <w:rFonts w:ascii="Arial" w:cs="Arial" w:eastAsia="Arial" w:hAnsi="Arial"/>
          <w:sz w:val="18"/>
          <w:szCs w:val="18"/>
          <w:color w:val="32406B"/>
        </w:rPr>
        <w:t>the costs of future activities, including product sales, medical affairs, marketing, manufacturing and distribution, for any of our product candidates for which we receive marketing approval;</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13"/>
        </w:numPr>
        <w:rPr>
          <w:rFonts w:ascii="Arial" w:cs="Arial" w:eastAsia="Arial" w:hAnsi="Arial"/>
          <w:sz w:val="18"/>
          <w:szCs w:val="18"/>
          <w:color w:val="32406B"/>
        </w:rPr>
      </w:pPr>
      <w:r>
        <w:rPr>
          <w:rFonts w:ascii="Arial" w:cs="Arial" w:eastAsia="Arial" w:hAnsi="Arial"/>
          <w:sz w:val="18"/>
          <w:szCs w:val="18"/>
          <w:color w:val="32406B"/>
        </w:rPr>
        <w:t>the costs associated with our manufacturing process development and evaluation of third-party manufacturers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3"/>
        </w:numPr>
        <w:rPr>
          <w:rFonts w:ascii="Arial" w:cs="Arial" w:eastAsia="Arial" w:hAnsi="Arial"/>
          <w:sz w:val="17"/>
          <w:szCs w:val="17"/>
          <w:color w:val="32406B"/>
        </w:rPr>
      </w:pPr>
      <w:r>
        <w:rPr>
          <w:rFonts w:ascii="Arial" w:cs="Arial" w:eastAsia="Arial" w:hAnsi="Arial"/>
          <w:sz w:val="17"/>
          <w:szCs w:val="17"/>
          <w:color w:val="32406B"/>
        </w:rPr>
        <w:t>revenue, if any, received from commercial sale of our products, should any of our product candidates receive marketing approval;</w:t>
      </w:r>
    </w:p>
    <w:p>
      <w:pPr>
        <w:spacing w:after="0" w:line="142" w:lineRule="exact"/>
        <w:rPr>
          <w:rFonts w:ascii="Arial" w:cs="Arial" w:eastAsia="Arial" w:hAnsi="Arial"/>
          <w:sz w:val="17"/>
          <w:szCs w:val="17"/>
          <w:color w:val="32406B"/>
        </w:rPr>
      </w:pPr>
    </w:p>
    <w:p>
      <w:pPr>
        <w:ind w:left="1060" w:right="220" w:hanging="424"/>
        <w:spacing w:after="0" w:line="277" w:lineRule="auto"/>
        <w:tabs>
          <w:tab w:leader="none" w:pos="1060" w:val="left"/>
        </w:tabs>
        <w:numPr>
          <w:ilvl w:val="0"/>
          <w:numId w:val="13"/>
        </w:numPr>
        <w:rPr>
          <w:rFonts w:ascii="Arial" w:cs="Arial" w:eastAsia="Arial" w:hAnsi="Arial"/>
          <w:sz w:val="18"/>
          <w:szCs w:val="18"/>
          <w:color w:val="32406B"/>
        </w:rPr>
      </w:pPr>
      <w:r>
        <w:rPr>
          <w:rFonts w:ascii="Arial" w:cs="Arial" w:eastAsia="Arial" w:hAnsi="Arial"/>
          <w:sz w:val="18"/>
          <w:szCs w:val="18"/>
          <w:color w:val="32406B"/>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13"/>
        </w:numPr>
        <w:rPr>
          <w:rFonts w:ascii="Arial" w:cs="Arial" w:eastAsia="Arial" w:hAnsi="Arial"/>
          <w:sz w:val="18"/>
          <w:szCs w:val="18"/>
          <w:color w:val="32406B"/>
        </w:rPr>
      </w:pPr>
      <w:r>
        <w:rPr>
          <w:rFonts w:ascii="Arial" w:cs="Arial" w:eastAsia="Arial" w:hAnsi="Arial"/>
          <w:sz w:val="18"/>
          <w:szCs w:val="18"/>
          <w:color w:val="32406B"/>
        </w:rPr>
        <w:t>the terms of our current and any future license agreements and collaborations;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3"/>
        </w:numPr>
        <w:rPr>
          <w:rFonts w:ascii="Arial" w:cs="Arial" w:eastAsia="Arial" w:hAnsi="Arial"/>
          <w:sz w:val="18"/>
          <w:szCs w:val="18"/>
          <w:color w:val="32406B"/>
        </w:rPr>
      </w:pPr>
      <w:r>
        <w:rPr>
          <w:rFonts w:ascii="Arial" w:cs="Arial" w:eastAsia="Arial" w:hAnsi="Arial"/>
          <w:sz w:val="18"/>
          <w:szCs w:val="18"/>
          <w:color w:val="32406B"/>
        </w:rPr>
        <w:t>the extent to which we acquire or in-license other product candidates, technologies and intellectual property.</w:t>
      </w:r>
    </w:p>
    <w:p>
      <w:pPr>
        <w:spacing w:after="0" w:line="225"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32406B"/>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32406B"/>
        </w:rPr>
        <w:t>Raising additional capital may cause dilution to our existing stockholders, restrict our operations or cause us to relinquish valuable rights.</w:t>
      </w:r>
    </w:p>
    <w:p>
      <w:pPr>
        <w:spacing w:after="0" w:line="14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32406B"/>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32406B"/>
        </w:rPr>
        <w:t>Our limited operating history may make it difficult for you to evaluate the success of our business to date and to assess our future viability.</w:t>
      </w:r>
    </w:p>
    <w:p>
      <w:pPr>
        <w:spacing w:after="0" w:line="15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32406B"/>
        </w:rPr>
        <w:t>We are a development-stage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13</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32406B"/>
        </w:rPr>
        <w:t>clinical trials of our product candidates and establishing research and development and manufacturing capabilities. Although we recently initiated our Phase 2 clinical trial for AVR-RD-01,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Risks related to the discovery and development of our product candidates</w:t>
      </w:r>
    </w:p>
    <w:p>
      <w:pPr>
        <w:spacing w:after="0" w:line="121"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32406B"/>
        </w:rPr>
        <w:t>Our lentiviral-based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32406B"/>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the transition to LV2 or of our cell processing to an industrialized, automated closed system using all disposable supplies may not be successful or may experience unforeseen delays, which may cause shortages or delays in the supply of our products available for clinical trials and future commercial sales, if any. In addition, there is no assurance that products using our proprietary LV2 or manufactured using this automated system will achieve the same favorable preliminary results observed to date in the Phase 1 clinical trial of AVR-RD-01.</w:t>
      </w:r>
    </w:p>
    <w:p>
      <w:pPr>
        <w:spacing w:after="0" w:line="16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32406B"/>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either the United States, Canada or other major markets or how long it will take to commercialize our product candidates, if any are approved. Approvals by foreign regulatory authorities may not be indicative of what the FDA may require for approval, and vice versa.</w:t>
      </w:r>
    </w:p>
    <w:p>
      <w:pPr>
        <w:spacing w:after="0" w:line="16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 Gene therapy clinical trials conducted at institutions that receive funding for recombinant DNA research from the United States National Institutes of Health, or NIH, also are potentially subject to review by the NIH Office of Science Policy’s Recombinant DNA Advisory Committee, or the RAC, in limited circumstances. Although the FDA decides whether individual gene therapy protocols may proceed, the RAC public review process, if undertaken, can delay the initiation of a clinical trial, even if the FDA has reviewed the trial design and details and authorized its initiation. Conversely, the FDA can put an investigational new drug application, or IND, on clinical hold even if the RAC has provided a favorable review or an exemption from in-depth, public review. If we were to engage an NIH-funded institution, to conduct a clinical trial, that institution’s institutional biosafety committee, or IBC, as well as its institutional review board, or IRB, would need to review the proposed clinical trial to assess the safety of the trial and may determine that RAC review is needed. In addition, adverse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14</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86" w:lineRule="auto"/>
        <w:rPr>
          <w:sz w:val="20"/>
          <w:szCs w:val="20"/>
          <w:color w:val="auto"/>
        </w:rPr>
      </w:pPr>
      <w:r>
        <w:rPr>
          <w:rFonts w:ascii="Arial" w:cs="Arial" w:eastAsia="Arial" w:hAnsi="Arial"/>
          <w:sz w:val="17"/>
          <w:szCs w:val="17"/>
          <w:color w:val="32406B"/>
        </w:rPr>
        <w:t>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66"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32406B"/>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8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32406B"/>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7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32406B"/>
        </w:rPr>
        <w:t>The FDA recently announced that it is preparing to release a series of draft guidance regarding potential accelerated approval endpoints for certain gene therapy products and other clinical and manufacturing issues related to gene therapy products. We cannot be certain when such guidance will be issued or whether any such guidance will address accelerated approval endpoints or other clinical or manufacturing issues that will be relevant to or have an impact on our gene therapy candidates or the duration or expense of any applicable regulatory review processes.</w:t>
      </w:r>
    </w:p>
    <w:p>
      <w:pPr>
        <w:spacing w:after="0" w:line="280" w:lineRule="exact"/>
        <w:rPr>
          <w:sz w:val="20"/>
          <w:szCs w:val="20"/>
          <w:color w:val="auto"/>
        </w:rPr>
      </w:pPr>
    </w:p>
    <w:p>
      <w:pPr>
        <w:jc w:val="both"/>
        <w:ind w:left="640" w:right="80"/>
        <w:spacing w:after="0" w:line="264" w:lineRule="auto"/>
        <w:rPr>
          <w:sz w:val="20"/>
          <w:szCs w:val="20"/>
          <w:color w:val="auto"/>
        </w:rPr>
      </w:pPr>
      <w:r>
        <w:rPr>
          <w:rFonts w:ascii="Arial" w:cs="Arial" w:eastAsia="Arial" w:hAnsi="Arial"/>
          <w:sz w:val="18"/>
          <w:szCs w:val="18"/>
          <w:b w:val="1"/>
          <w:bCs w:val="1"/>
          <w:i w:val="1"/>
          <w:iCs w:val="1"/>
          <w:color w:val="32406B"/>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3"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32406B"/>
        </w:rPr>
        <w:t>During the conduct of clinical trials, patients may experience changes in their health, including illnesses, injuries, discomforts or a fatal outcome. It is possible that as we test AVR-RD-01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If additional clinical experience indicates that AVR-RD-01 or any other product candidate has side effects or causes serious or life-threatening side effects, the development of the product candidate may fail or be delayed, or, if the product candidate has received regulatory approval, such approval may be revoked or limited.</w:t>
      </w:r>
    </w:p>
    <w:p>
      <w:pPr>
        <w:spacing w:after="0" w:line="17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32406B"/>
        </w:rPr>
        <w:t>There have been several significant adverse side effects in gene therapy treatments in the past, including reported cases of leukemia and death seen in other clinical trials. Gene therapy is still a relatively new approach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15</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32406B"/>
        </w:rPr>
        <w:t>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lentiviral gene therapy approach is designed to avoid immunogenicity after administration, there can be no assurance that patients would not create antibodies that may impair treatment. If any of our gene therapy product candidates demonstrates adverse side effects at unacceptable rates or degrees of severity, we may decide or be required to halt or delay clinical development of such product candidates.</w:t>
      </w:r>
    </w:p>
    <w:p>
      <w:pPr>
        <w:spacing w:after="0" w:line="18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In addition to side effects caused by our product candidates, the conditioning, administration process or related procedures also can cause adverse side effects. A gene therapy patient is generally administered cytotoxic drugs to remove stem cells from the bone marrow to create sufficient space in the bone marrow for the modified stem cells to engraft and produce their progeny. This procedure compromises the patient’s immune system. While certain of our product candidates are designed to utilize outpatient, milder conditioning regimens that are intended to require only limited removal of a patient’s bone marrow cells, our conditioning regimens may not be successful or may nevertheless result in adverse side effects. For example, in the ongoing investigator-sponsored Phase 1 clinical trial and our ongoing company-sponsored Phase 2 clinical trial of AVR-RD-01, several adverse events, including suppression of white blood cell and platelet counts, nausea and/or vomiting following the conditioning process, were observed. If in the future any such adverse events caused by the conditioning process or related procedures continue at unacceptable rates or degrees of severity, the FDA or other foreign regulatory authorities could order us to cease development of, or deny approval of, AVR-RD-01 or our other product candidates for any or all targeted indications. Even if we are able to demonstrate that adverse events are not product-related, such occurrences could affect patient recruitment or the ability of enrolled patients to complete the clinical trial.</w:t>
      </w:r>
    </w:p>
    <w:p>
      <w:pPr>
        <w:spacing w:after="0" w:line="183"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32406B"/>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AVR-RD-01 or our other product candidates, several potentially significant negative consequences could result, including:</w:t>
      </w:r>
    </w:p>
    <w:p>
      <w:pPr>
        <w:spacing w:after="0" w:line="94" w:lineRule="exact"/>
        <w:rPr>
          <w:sz w:val="20"/>
          <w:szCs w:val="20"/>
          <w:color w:val="auto"/>
        </w:rPr>
      </w:pPr>
    </w:p>
    <w:p>
      <w:pPr>
        <w:ind w:left="1060" w:hanging="424"/>
        <w:spacing w:after="0"/>
        <w:tabs>
          <w:tab w:leader="none" w:pos="1060" w:val="left"/>
        </w:tabs>
        <w:numPr>
          <w:ilvl w:val="0"/>
          <w:numId w:val="14"/>
        </w:numPr>
        <w:rPr>
          <w:rFonts w:ascii="Arial" w:cs="Arial" w:eastAsia="Arial" w:hAnsi="Arial"/>
          <w:sz w:val="18"/>
          <w:szCs w:val="18"/>
          <w:color w:val="32406B"/>
        </w:rPr>
      </w:pPr>
      <w:r>
        <w:rPr>
          <w:rFonts w:ascii="Arial" w:cs="Arial" w:eastAsia="Arial" w:hAnsi="Arial"/>
          <w:sz w:val="18"/>
          <w:szCs w:val="18"/>
          <w:color w:val="32406B"/>
        </w:rPr>
        <w:t>regulatory authorities may suspend or withdraw approvals of such a product candidate;</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4"/>
        </w:numPr>
        <w:rPr>
          <w:rFonts w:ascii="Arial" w:cs="Arial" w:eastAsia="Arial" w:hAnsi="Arial"/>
          <w:sz w:val="18"/>
          <w:szCs w:val="18"/>
          <w:color w:val="32406B"/>
        </w:rPr>
      </w:pPr>
      <w:r>
        <w:rPr>
          <w:rFonts w:ascii="Arial" w:cs="Arial" w:eastAsia="Arial" w:hAnsi="Arial"/>
          <w:sz w:val="18"/>
          <w:szCs w:val="18"/>
          <w:color w:val="32406B"/>
        </w:rPr>
        <w:t>regulatory authorities may require additional warnings on the label;</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4"/>
        </w:numPr>
        <w:rPr>
          <w:rFonts w:ascii="Arial" w:cs="Arial" w:eastAsia="Arial" w:hAnsi="Arial"/>
          <w:sz w:val="16"/>
          <w:szCs w:val="16"/>
          <w:color w:val="32406B"/>
        </w:rPr>
      </w:pPr>
      <w:r>
        <w:rPr>
          <w:rFonts w:ascii="Arial" w:cs="Arial" w:eastAsia="Arial" w:hAnsi="Arial"/>
          <w:sz w:val="16"/>
          <w:szCs w:val="16"/>
          <w:color w:val="32406B"/>
        </w:rPr>
        <w:t>we may be required to change the way a product candidate is distributed, dispensed, or administered or conduct additional clinical trials;</w:t>
      </w:r>
    </w:p>
    <w:p>
      <w:pPr>
        <w:spacing w:after="0" w:line="153" w:lineRule="exact"/>
        <w:rPr>
          <w:rFonts w:ascii="Arial" w:cs="Arial" w:eastAsia="Arial" w:hAnsi="Arial"/>
          <w:sz w:val="16"/>
          <w:szCs w:val="16"/>
          <w:color w:val="32406B"/>
        </w:rPr>
      </w:pPr>
    </w:p>
    <w:p>
      <w:pPr>
        <w:ind w:left="1060" w:hanging="424"/>
        <w:spacing w:after="0"/>
        <w:tabs>
          <w:tab w:leader="none" w:pos="1060" w:val="left"/>
        </w:tabs>
        <w:numPr>
          <w:ilvl w:val="0"/>
          <w:numId w:val="14"/>
        </w:numPr>
        <w:rPr>
          <w:rFonts w:ascii="Arial" w:cs="Arial" w:eastAsia="Arial" w:hAnsi="Arial"/>
          <w:sz w:val="18"/>
          <w:szCs w:val="18"/>
          <w:color w:val="32406B"/>
        </w:rPr>
      </w:pPr>
      <w:r>
        <w:rPr>
          <w:rFonts w:ascii="Arial" w:cs="Arial" w:eastAsia="Arial" w:hAnsi="Arial"/>
          <w:sz w:val="18"/>
          <w:szCs w:val="18"/>
          <w:color w:val="32406B"/>
        </w:rPr>
        <w:t>we could be sued and held liable for harm caused to patients;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4"/>
        </w:numPr>
        <w:rPr>
          <w:rFonts w:ascii="Arial" w:cs="Arial" w:eastAsia="Arial" w:hAnsi="Arial"/>
          <w:sz w:val="18"/>
          <w:szCs w:val="18"/>
          <w:color w:val="32406B"/>
        </w:rPr>
      </w:pPr>
      <w:r>
        <w:rPr>
          <w:rFonts w:ascii="Arial" w:cs="Arial" w:eastAsia="Arial" w:hAnsi="Arial"/>
          <w:sz w:val="18"/>
          <w:szCs w:val="18"/>
          <w:color w:val="32406B"/>
        </w:rPr>
        <w:t>our reputation may suffer.</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32406B"/>
        </w:rPr>
        <w:t>Any of these events could prevent us from achieving or maintaining market acceptance of our product candidates and could significantly harm our business, prospects, financial condition and results of operations.</w:t>
      </w:r>
    </w:p>
    <w:p>
      <w:pPr>
        <w:spacing w:after="0" w:line="279" w:lineRule="exact"/>
        <w:rPr>
          <w:sz w:val="20"/>
          <w:szCs w:val="20"/>
          <w:color w:val="auto"/>
        </w:rPr>
      </w:pPr>
    </w:p>
    <w:p>
      <w:pPr>
        <w:ind w:left="640" w:right="220"/>
        <w:spacing w:after="0" w:line="312" w:lineRule="auto"/>
        <w:rPr>
          <w:sz w:val="20"/>
          <w:szCs w:val="20"/>
          <w:color w:val="auto"/>
        </w:rPr>
      </w:pPr>
      <w:r>
        <w:rPr>
          <w:rFonts w:ascii="Arial" w:cs="Arial" w:eastAsia="Arial" w:hAnsi="Arial"/>
          <w:sz w:val="16"/>
          <w:szCs w:val="16"/>
          <w:b w:val="1"/>
          <w:bCs w:val="1"/>
          <w:i w:val="1"/>
          <w:iCs w:val="1"/>
          <w:color w:val="32406B"/>
        </w:rPr>
        <w:t>AVR-RD-01 is being investigated in an ongoing investigator-sponsored Phase 1 clinical trial and an ongoing company-sponsored Phase 2 clinical trial, and we have not commenced clinical trials for any of our other product candidates. We have never completed a pivotal clinical trial, and may be unable to do so for any product candidates we may develop, including AVR-RD-01.</w:t>
      </w:r>
    </w:p>
    <w:p>
      <w:pPr>
        <w:spacing w:after="0" w:line="39"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32406B"/>
        </w:rPr>
        <w:t>We are at a very early stage of development for all of our product candidates including AVR-RD-01. As of June 15, 2018, our product candidate AVR-RD-01 has been administered to only two patients in an ongoing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16</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57" w:lineRule="auto"/>
        <w:rPr>
          <w:sz w:val="20"/>
          <w:szCs w:val="20"/>
          <w:color w:val="auto"/>
        </w:rPr>
      </w:pPr>
      <w:r>
        <w:rPr>
          <w:rFonts w:ascii="Arial" w:cs="Arial" w:eastAsia="Arial" w:hAnsi="Arial"/>
          <w:sz w:val="18"/>
          <w:szCs w:val="18"/>
          <w:color w:val="32406B"/>
        </w:rPr>
        <w:t>Phase 1 clinical trial and to one patient in our ongoing Phase 2 clinical trial. The ongoing Phase 1 and Phase 2 clinical trials for AVR-RD-01 must be completed, as well as potentially additional pivotal clinical trials in order to obtain FDA approval to market AVR-RD-01. Carrying out later-stage clinical trials is a complicated process. We only recently dosed the first patient in our company-sponsored Phase 2 clinical on June 7, 2018. We have limited experience in preparing, submitting and prosecuting regulatory filings, and have not previously submitted a biologics license application, or BLA, for any product candidate.</w:t>
      </w:r>
    </w:p>
    <w:p>
      <w:pPr>
        <w:spacing w:after="0" w:line="188" w:lineRule="exact"/>
        <w:rPr>
          <w:sz w:val="20"/>
          <w:szCs w:val="20"/>
          <w:color w:val="auto"/>
        </w:rPr>
      </w:pPr>
    </w:p>
    <w:p>
      <w:pPr>
        <w:ind w:left="200" w:right="200" w:firstLine="441"/>
        <w:spacing w:after="0" w:line="270" w:lineRule="auto"/>
        <w:rPr>
          <w:sz w:val="20"/>
          <w:szCs w:val="20"/>
          <w:color w:val="auto"/>
        </w:rPr>
      </w:pPr>
      <w:r>
        <w:rPr>
          <w:rFonts w:ascii="Arial" w:cs="Arial" w:eastAsia="Arial" w:hAnsi="Arial"/>
          <w:sz w:val="17"/>
          <w:szCs w:val="17"/>
          <w:color w:val="32406B"/>
        </w:rPr>
        <w:t>In addition, we have not yet conducted clinical trials of any our product candidates in the United States, our interactions with the FDA are expected to be limited for the near future, and we cannot be certain how many additional clinical trials of AVR-RD-01 or any of our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AVR-RD-01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AVR-RD-01.</w:t>
      </w:r>
    </w:p>
    <w:p>
      <w:pPr>
        <w:spacing w:after="0" w:line="17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The ongoing Phase 1 clinical trial of AVR-RD-01 is an investigator-sponsored trial being conducted by University Health Network. In addition, the planned Phase 1/2 clinical trial of AVR-RD-04 will be conducted by our collaborators at the University of California, San Diego.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Success in preclinical studies or early clinical trials may not be indicative of results obtained in later trials.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32406B"/>
        </w:rPr>
        <w:t>Results from preclinical studies or early clinical trials are not necessarily predictive of future clinical trial results and are not necessarily indicative of final results.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To date, we have not received definitive guidance from the FDA or</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17</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32406B"/>
        </w:rPr>
        <w:t>other foreign regulatory bodies regarding the necessary endpoints for approval of any of our product candidates, including AVR-RD-01. There are no assurances that the FDA or other foreign regulatory bodies will find the efficacy endpoints we propose in future pivotal trials to be sufficiently validated and clinically meaningful, or that our product candidates will achieve the pre-specified endpoints in future pivotal trials to a degree of statistical significance. We also may experience regulatory delays or rejections as a result of many factors, including due to changes in regulatory policy during the period of our product candidate development. Our AVR-RD-02, AVR-RD-03 and AVR-RD-04 product candidates have not yet been tested in humans. Any of our other product candidates may fail to show the desired safety and efficacy in clinical development despite positive results in preclinical studies. Any such failure would cause us to abandon the product candidate.</w:t>
      </w:r>
    </w:p>
    <w:p>
      <w:pPr>
        <w:spacing w:after="0" w:line="286"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32406B"/>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32406B"/>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Patient enrollment and trial completion is affected by factors including the:</w:t>
      </w:r>
    </w:p>
    <w:p>
      <w:pPr>
        <w:spacing w:after="0" w:line="92"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size of the patient population and process for identifying subjects;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design of the trial protocol;</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eligibility and exclusion criteria;</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perceived risks and benefits of the product candidate under study;</w:t>
      </w:r>
    </w:p>
    <w:p>
      <w:pPr>
        <w:spacing w:after="0" w:line="130" w:lineRule="exact"/>
        <w:rPr>
          <w:rFonts w:ascii="Arial" w:cs="Arial" w:eastAsia="Arial" w:hAnsi="Arial"/>
          <w:sz w:val="18"/>
          <w:szCs w:val="18"/>
          <w:color w:val="32406B"/>
        </w:rPr>
      </w:pPr>
    </w:p>
    <w:p>
      <w:pPr>
        <w:ind w:left="1060" w:right="300" w:hanging="424"/>
        <w:spacing w:after="0" w:line="277" w:lineRule="auto"/>
        <w:tabs>
          <w:tab w:leader="none" w:pos="106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perceived risks and benefits of gene therapy-based approaches to treatment of diseases, including any required pretreatment conditioning regimens;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availability of competing therapies and clinical trials;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severity of the disease under investigation;</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availability of genetic testing for potential patients;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proximity and availability of clinical trial sites for prospective subjects;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ability to obtain and maintain subject consent;</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risk that enrolled subjects will drop out before completion of the trial;</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patient referral practices of physicians;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ability to monitor subjects adequately during and after treatment.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18</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32406B"/>
        </w:rPr>
        <w:t>Our current product candidates are being developed to treat rare conditions. We plan to seek initial marketing approvals in the United States, Europe and certain other major markets, including Japan. We may not be able to initiate or continue clinical trials, including our recently initiated Phase 2 clinical trial for AVR-RD-01 for which enrollment is ongoing,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78"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difficulty in establishing or managing relationships with contract research organizations, or CROs, and physicians;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different standards for the conduct of clinical trials;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the absence in some countries of established groups with sufficient regulatory expertise for review of gene therapy protocols;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our inability to locate qualified local consultants, physicians and partners; and</w:t>
      </w:r>
    </w:p>
    <w:p>
      <w:pPr>
        <w:spacing w:after="0" w:line="130" w:lineRule="exact"/>
        <w:rPr>
          <w:rFonts w:ascii="Arial" w:cs="Arial" w:eastAsia="Arial" w:hAnsi="Arial"/>
          <w:sz w:val="18"/>
          <w:szCs w:val="18"/>
          <w:color w:val="32406B"/>
        </w:rPr>
      </w:pPr>
    </w:p>
    <w:p>
      <w:pPr>
        <w:ind w:left="1060" w:right="20" w:hanging="424"/>
        <w:spacing w:after="0" w:line="277" w:lineRule="auto"/>
        <w:tabs>
          <w:tab w:leader="none" w:pos="1060"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32406B"/>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2"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32406B"/>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32406B"/>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77"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delays in reaching a consensus with regulatory agencies on study design;</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delays in reaching agreement on acceptable terms with prospective CROs and clinical study sites;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delays in obtaining required IRB approval at each clinical study site;</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delays in recruiting suitable patients to participate in our clinical studies;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imposition of a clinical hold by regulatory agencies, after an inspection of our clinical study operations or study sites;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failure by our CROs, other third parties or us to adhere to clinical study requirements;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7"/>
        </w:numPr>
        <w:rPr>
          <w:rFonts w:ascii="Arial" w:cs="Arial" w:eastAsia="Arial" w:hAnsi="Arial"/>
          <w:sz w:val="17"/>
          <w:szCs w:val="17"/>
          <w:color w:val="32406B"/>
        </w:rPr>
      </w:pPr>
      <w:r>
        <w:rPr>
          <w:rFonts w:ascii="Arial" w:cs="Arial" w:eastAsia="Arial" w:hAnsi="Arial"/>
          <w:sz w:val="17"/>
          <w:szCs w:val="17"/>
          <w:color w:val="32406B"/>
        </w:rPr>
        <w:t>failure to perform in accordance with the FDA’s good clinical practices, or GCP, or applicable regulatory guidelines in other countries;</w:t>
      </w:r>
    </w:p>
    <w:p>
      <w:pPr>
        <w:spacing w:after="0" w:line="142" w:lineRule="exact"/>
        <w:rPr>
          <w:rFonts w:ascii="Arial" w:cs="Arial" w:eastAsia="Arial" w:hAnsi="Arial"/>
          <w:sz w:val="17"/>
          <w:szCs w:val="17"/>
          <w:color w:val="32406B"/>
        </w:rPr>
      </w:pPr>
    </w:p>
    <w:p>
      <w:pPr>
        <w:ind w:left="1060" w:hanging="424"/>
        <w:spacing w:after="0"/>
        <w:tabs>
          <w:tab w:leader="none" w:pos="106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delays in the testing, validation, manufacturing and delivery of our product candidates to the clinical sites;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delays in having patients complete participation in a study or return for post-treatment follow-up;</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clinical study sites or patients dropping out of a study;</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7"/>
        </w:numPr>
        <w:rPr>
          <w:rFonts w:ascii="Arial" w:cs="Arial" w:eastAsia="Arial" w:hAnsi="Arial"/>
          <w:sz w:val="17"/>
          <w:szCs w:val="17"/>
          <w:color w:val="32406B"/>
        </w:rPr>
      </w:pPr>
      <w:r>
        <w:rPr>
          <w:rFonts w:ascii="Arial" w:cs="Arial" w:eastAsia="Arial" w:hAnsi="Arial"/>
          <w:sz w:val="17"/>
          <w:szCs w:val="17"/>
          <w:color w:val="32406B"/>
        </w:rPr>
        <w:t>the occurrence of serious adverse events associated with the product candidate that are viewed to outweigh its potential benefits; or</w:t>
      </w:r>
    </w:p>
    <w:p>
      <w:pPr>
        <w:spacing w:after="0" w:line="142" w:lineRule="exact"/>
        <w:rPr>
          <w:rFonts w:ascii="Arial" w:cs="Arial" w:eastAsia="Arial" w:hAnsi="Arial"/>
          <w:sz w:val="17"/>
          <w:szCs w:val="17"/>
          <w:color w:val="32406B"/>
        </w:rPr>
      </w:pPr>
    </w:p>
    <w:p>
      <w:pPr>
        <w:ind w:left="1060" w:hanging="424"/>
        <w:spacing w:after="0"/>
        <w:tabs>
          <w:tab w:leader="none" w:pos="106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changes in regulatory requirements and guidance that require amending or submitting new clinical protocols.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19</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32406B"/>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while we are currently utilizing the LV1 version of the lentiviral vector in the ongoing Phase 1 and Phase 2 clinical trials of AVR-RD-01, we plan to transition our AVR-RD-01 lentiviral vectors to an LV2 version. While LV2 is intended to confer improvements in safety and efficiency in viral production, there is no guarantee that we can realize these intended benefits. In addition, the transition from LV1 to LV2 will likely require updates to our clinical trial 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If the results of our clinical studies are inconclusive or if there are safety concerns or adverse events associated with our product candidates, we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may:</w:t>
      </w:r>
    </w:p>
    <w:p>
      <w:pPr>
        <w:spacing w:after="0" w:line="116" w:lineRule="exact"/>
        <w:rPr>
          <w:sz w:val="20"/>
          <w:szCs w:val="20"/>
          <w:color w:val="auto"/>
        </w:rPr>
      </w:pPr>
    </w:p>
    <w:p>
      <w:pPr>
        <w:ind w:left="1060" w:hanging="424"/>
        <w:spacing w:after="0"/>
        <w:tabs>
          <w:tab w:leader="none" w:pos="106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be delayed in obtaining marketing approval for our product candidates, if at all;</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obtain approval for indications or patient populations that are not as broad as intended or desired;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obtain approval with labeling or a REMS that includes significant use or distribution restrictions or safety warnings;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be subject to changes with the way the product is administered;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8"/>
        </w:numPr>
        <w:rPr>
          <w:rFonts w:ascii="Arial" w:cs="Arial" w:eastAsia="Arial" w:hAnsi="Arial"/>
          <w:sz w:val="17"/>
          <w:szCs w:val="17"/>
          <w:color w:val="32406B"/>
        </w:rPr>
      </w:pPr>
      <w:r>
        <w:rPr>
          <w:rFonts w:ascii="Arial" w:cs="Arial" w:eastAsia="Arial" w:hAnsi="Arial"/>
          <w:sz w:val="17"/>
          <w:szCs w:val="17"/>
          <w:color w:val="32406B"/>
        </w:rPr>
        <w:t>be required to perform additional clinical studies to support approval or be subject to additional post-marketing testing requirements;</w:t>
      </w:r>
    </w:p>
    <w:p>
      <w:pPr>
        <w:spacing w:after="0" w:line="142" w:lineRule="exact"/>
        <w:rPr>
          <w:rFonts w:ascii="Arial" w:cs="Arial" w:eastAsia="Arial" w:hAnsi="Arial"/>
          <w:sz w:val="17"/>
          <w:szCs w:val="17"/>
          <w:color w:val="32406B"/>
        </w:rPr>
      </w:pPr>
    </w:p>
    <w:p>
      <w:pPr>
        <w:ind w:left="1060" w:hanging="424"/>
        <w:spacing w:after="0"/>
        <w:tabs>
          <w:tab w:leader="none" w:pos="1060" w:val="left"/>
        </w:tabs>
        <w:numPr>
          <w:ilvl w:val="0"/>
          <w:numId w:val="18"/>
        </w:numPr>
        <w:rPr>
          <w:rFonts w:ascii="Arial" w:cs="Arial" w:eastAsia="Arial" w:hAnsi="Arial"/>
          <w:sz w:val="17"/>
          <w:szCs w:val="17"/>
          <w:color w:val="32406B"/>
        </w:rPr>
      </w:pPr>
      <w:r>
        <w:rPr>
          <w:rFonts w:ascii="Arial" w:cs="Arial" w:eastAsia="Arial" w:hAnsi="Arial"/>
          <w:sz w:val="17"/>
          <w:szCs w:val="17"/>
          <w:color w:val="32406B"/>
        </w:rPr>
        <w:t>have regulatory authorities withdraw their approval of the product or impose restrictions on its distribution in the form of a REMS;</w:t>
      </w:r>
    </w:p>
    <w:p>
      <w:pPr>
        <w:spacing w:after="0" w:line="142" w:lineRule="exact"/>
        <w:rPr>
          <w:rFonts w:ascii="Arial" w:cs="Arial" w:eastAsia="Arial" w:hAnsi="Arial"/>
          <w:sz w:val="17"/>
          <w:szCs w:val="17"/>
          <w:color w:val="32406B"/>
        </w:rPr>
      </w:pPr>
    </w:p>
    <w:p>
      <w:pPr>
        <w:ind w:left="1060" w:hanging="424"/>
        <w:spacing w:after="0"/>
        <w:tabs>
          <w:tab w:leader="none" w:pos="106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be subject to the addition of labeling statements, such as warnings or contraindications;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be sued; or</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experience damage to our reputation.</w:t>
      </w:r>
    </w:p>
    <w:p>
      <w:pPr>
        <w:spacing w:after="0" w:line="225"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32406B"/>
        </w:rPr>
        <w:t>Any of these events could prevent us from achieving or maintaining market acceptance of our product candidates and impair our ability to commercialize our products.</w:t>
      </w:r>
    </w:p>
    <w:p>
      <w:pPr>
        <w:spacing w:after="0" w:line="279" w:lineRule="exact"/>
        <w:rPr>
          <w:sz w:val="20"/>
          <w:szCs w:val="20"/>
          <w:color w:val="auto"/>
        </w:rPr>
      </w:pPr>
    </w:p>
    <w:p>
      <w:pPr>
        <w:ind w:left="640" w:right="760"/>
        <w:spacing w:after="0" w:line="308" w:lineRule="auto"/>
        <w:rPr>
          <w:sz w:val="20"/>
          <w:szCs w:val="20"/>
          <w:color w:val="auto"/>
        </w:rPr>
      </w:pPr>
      <w:r>
        <w:rPr>
          <w:rFonts w:ascii="Arial" w:cs="Arial" w:eastAsia="Arial" w:hAnsi="Arial"/>
          <w:sz w:val="17"/>
          <w:szCs w:val="17"/>
          <w:b w:val="1"/>
          <w:bCs w:val="1"/>
          <w:i w:val="1"/>
          <w:iCs w:val="1"/>
          <w:color w:val="32406B"/>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3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20</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279" w:lineRule="auto"/>
        <w:rPr>
          <w:sz w:val="20"/>
          <w:szCs w:val="20"/>
          <w:color w:val="auto"/>
        </w:rPr>
      </w:pPr>
      <w:r>
        <w:rPr>
          <w:rFonts w:ascii="Arial" w:cs="Arial" w:eastAsia="Arial" w:hAnsi="Arial"/>
          <w:sz w:val="17"/>
          <w:szCs w:val="17"/>
          <w:b w:val="1"/>
          <w:bCs w:val="1"/>
          <w:i w:val="1"/>
          <w:iCs w:val="1"/>
          <w:color w:val="32406B"/>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63"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32406B"/>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6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For example, 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8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32406B"/>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78"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32406B"/>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w:t>
      </w:r>
    </w:p>
    <w:p>
      <w:pPr>
        <w:spacing w:after="0" w:line="5" w:lineRule="exact"/>
        <w:rPr>
          <w:sz w:val="20"/>
          <w:szCs w:val="20"/>
          <w:color w:val="auto"/>
        </w:rPr>
      </w:pPr>
    </w:p>
    <w:p>
      <w:pPr>
        <w:ind w:left="200" w:right="60" w:firstLine="4"/>
        <w:spacing w:after="0" w:line="261" w:lineRule="auto"/>
        <w:tabs>
          <w:tab w:leader="none" w:pos="455"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reliance upon data obtained from a meaningful number of sites. Benefits of such designation also include early interactions with FDA to discuss any potential surrogate or intermediate endpoint to be used to support</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21</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32406B"/>
        </w:rPr>
        <w:t>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16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recently initiated Phase 2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301" w:lineRule="exact"/>
        <w:rPr>
          <w:sz w:val="20"/>
          <w:szCs w:val="20"/>
          <w:color w:val="auto"/>
        </w:rPr>
      </w:pPr>
    </w:p>
    <w:p>
      <w:pPr>
        <w:ind w:left="640" w:right="140"/>
        <w:spacing w:after="0" w:line="342" w:lineRule="auto"/>
        <w:rPr>
          <w:sz w:val="20"/>
          <w:szCs w:val="20"/>
          <w:color w:val="auto"/>
        </w:rPr>
      </w:pPr>
      <w:r>
        <w:rPr>
          <w:rFonts w:ascii="Arial" w:cs="Arial" w:eastAsia="Arial" w:hAnsi="Arial"/>
          <w:sz w:val="16"/>
          <w:szCs w:val="16"/>
          <w:b w:val="1"/>
          <w:bCs w:val="1"/>
          <w:i w:val="1"/>
          <w:iCs w:val="1"/>
          <w:color w:val="32406B"/>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7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32406B"/>
        </w:rPr>
        <w:t>If we request orphan drug designation (or the foreign equivalent) for AVR-RD-01 or any of our other product candidates,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58"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32406B"/>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22</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32406B"/>
        </w:rPr>
        <w:t>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7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94" w:lineRule="exact"/>
        <w:rPr>
          <w:sz w:val="20"/>
          <w:szCs w:val="20"/>
          <w:color w:val="auto"/>
        </w:rPr>
      </w:pPr>
    </w:p>
    <w:p>
      <w:pPr>
        <w:ind w:left="1060" w:right="380" w:hanging="424"/>
        <w:spacing w:after="0" w:line="277" w:lineRule="auto"/>
        <w:tabs>
          <w:tab w:leader="none" w:pos="106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the second applicant can establish in its application that its medicinal product, although similar to the orphan medicinal product already authorized, is safer, more effective or otherwise clinically superior;</w:t>
      </w:r>
    </w:p>
    <w:p>
      <w:pPr>
        <w:spacing w:after="0" w:line="75" w:lineRule="exact"/>
        <w:rPr>
          <w:rFonts w:ascii="Arial" w:cs="Arial" w:eastAsia="Arial" w:hAnsi="Arial"/>
          <w:sz w:val="18"/>
          <w:szCs w:val="18"/>
          <w:color w:val="32406B"/>
        </w:rPr>
      </w:pPr>
    </w:p>
    <w:p>
      <w:pPr>
        <w:ind w:left="1060" w:right="740" w:hanging="424"/>
        <w:spacing w:after="0" w:line="277" w:lineRule="auto"/>
        <w:tabs>
          <w:tab w:leader="none" w:pos="106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the holder of the marketing authorization for the original orphan medicinal product consents to a second orphan medicinal product application; or</w:t>
      </w:r>
    </w:p>
    <w:p>
      <w:pPr>
        <w:spacing w:after="0" w:line="75" w:lineRule="exact"/>
        <w:rPr>
          <w:rFonts w:ascii="Arial" w:cs="Arial" w:eastAsia="Arial" w:hAnsi="Arial"/>
          <w:sz w:val="18"/>
          <w:szCs w:val="18"/>
          <w:color w:val="32406B"/>
        </w:rPr>
      </w:pPr>
    </w:p>
    <w:p>
      <w:pPr>
        <w:ind w:left="1060" w:right="140" w:hanging="424"/>
        <w:spacing w:after="0" w:line="277" w:lineRule="auto"/>
        <w:tabs>
          <w:tab w:leader="none" w:pos="106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the holder of the marketing authorization for the original orphan medicinal product cannot supply sufficient quantities of orphan medicinal product.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Even if we obtain regulatory approval for a product candidate, our products will remain subject to regulatory oversight.</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32406B"/>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9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32406B"/>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If we fail to comply with applicable regulatory requirements following approval of any of our product candidates, a regulatory authority may:</w:t>
      </w:r>
    </w:p>
    <w:p>
      <w:pPr>
        <w:spacing w:after="0" w:line="142"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issue a warning letter asserting that we are in violation of the law;</w:t>
      </w:r>
    </w:p>
    <w:p>
      <w:pPr>
        <w:spacing w:after="0" w:line="130" w:lineRule="exact"/>
        <w:rPr>
          <w:rFonts w:ascii="Arial" w:cs="Arial" w:eastAsia="Arial" w:hAnsi="Arial"/>
          <w:sz w:val="18"/>
          <w:szCs w:val="18"/>
          <w:color w:val="32406B"/>
        </w:rPr>
      </w:pPr>
    </w:p>
    <w:p>
      <w:pPr>
        <w:ind w:left="5620" w:right="3680" w:hanging="4984"/>
        <w:spacing w:after="0" w:line="449" w:lineRule="auto"/>
        <w:tabs>
          <w:tab w:leader="none" w:pos="1064"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seek an injunction or impose administrative, civil or criminal penalties or monetary fines; 23</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suspend or withdraw regulatory approval;</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suspend any ongoing clinical trials;</w:t>
      </w:r>
    </w:p>
    <w:p>
      <w:pPr>
        <w:spacing w:after="0" w:line="130" w:lineRule="exact"/>
        <w:rPr>
          <w:rFonts w:ascii="Arial" w:cs="Arial" w:eastAsia="Arial" w:hAnsi="Arial"/>
          <w:sz w:val="18"/>
          <w:szCs w:val="18"/>
          <w:color w:val="32406B"/>
        </w:rPr>
      </w:pPr>
    </w:p>
    <w:p>
      <w:pPr>
        <w:ind w:left="1060" w:right="40" w:hanging="424"/>
        <w:spacing w:after="0" w:line="277" w:lineRule="auto"/>
        <w:tabs>
          <w:tab w:leader="none" w:pos="106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refuse to approve a pending BLA or comparable foreign marketing application (or any supplements thereto) submitted by us or our strategic partners;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restrict the marketing or manufacturing of the product;</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seize or detain the product or otherwise require the withdrawal of the product from the market;</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refuse to permit the import or export of products; or</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refuse to allow us to enter into supply contracts, including government contracts.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1"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32406B"/>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87" w:lineRule="exact"/>
        <w:rPr>
          <w:sz w:val="20"/>
          <w:szCs w:val="20"/>
          <w:color w:val="auto"/>
        </w:rPr>
      </w:pPr>
    </w:p>
    <w:p>
      <w:pPr>
        <w:ind w:left="640" w:right="280"/>
        <w:spacing w:after="0" w:line="340" w:lineRule="auto"/>
        <w:rPr>
          <w:sz w:val="20"/>
          <w:szCs w:val="20"/>
          <w:color w:val="auto"/>
        </w:rPr>
      </w:pPr>
      <w:r>
        <w:rPr>
          <w:rFonts w:ascii="Arial" w:cs="Arial" w:eastAsia="Arial" w:hAnsi="Arial"/>
          <w:sz w:val="15"/>
          <w:szCs w:val="15"/>
          <w:b w:val="1"/>
          <w:bCs w:val="1"/>
          <w:i w:val="1"/>
          <w:iCs w:val="1"/>
          <w:color w:val="32406B"/>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2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9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32406B"/>
        </w:rPr>
        <w:t>We anticipate competing with the largest pharmaceutical companies in the world. For example, Sanofi and Shire market the enzyme replacement therapies, or ERTs, that represent the standard of care for Fabry patients. Recently, Amicus secured regulatory approval in Europe for its oral therapy for Fabry disease. For Gaucher disease, we expect to compete with existing enzyme replacement therapies marketed by Sanofi, Shire, Protalix and Pfizer, as well as oral therapies marketed by Actelion and Sanofi. Sanofi also markets an enzyme replacement therapy for Pompe disease. Cystinosis is currently treated by therapies marketed by Horizon Orphan, Mylan and Sigma Tau Pharmaceuticals. In addition, we may compete with other gene therapy companies in our industry such as bluebird bio and Spark Therapeutics.</w:t>
      </w:r>
    </w:p>
    <w:p>
      <w:pPr>
        <w:spacing w:after="0" w:line="178"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32406B"/>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24</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32406B"/>
        </w:rPr>
        <w:t>number of larger competitors. 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58"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32406B"/>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62"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32406B"/>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As part of our growth strategy, we intend to identify, develop and market additional product candidates beyond our existing product candidates for Fabry disease, Gaucher disease, Pompe disease and cystinosis.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AVR-RD-01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1"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32406B"/>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For example, although we have evaluated AVR-RD-02, AVR-RD-03 and AVR-RD-04 in preclinical studies and have evaluated AVR-RD-01 in an early-stage clinical trial, we have not yet advanced AVR-RD-02, AVR-RD-03 and AVR-RD-04 into clinical trials or AVR-RD-01 into Phase 2 clinical development, nor have we obtained regulatory approval to sell any product based on our therapeutic approaches. Accordingly, our focus on treating these diseases may not result in the discovery and development of commercially viable products.</w:t>
      </w:r>
    </w:p>
    <w:p>
      <w:pPr>
        <w:spacing w:after="0" w:line="178"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32406B"/>
        </w:rPr>
        <w:t>If we are unsuccessful in our development efforts, we may not be able to advance the development of our product candidates, commercialize products, raise capital, expand our business or continue our operations.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25</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Risks related to our reliance on third parties</w:t>
      </w:r>
    </w:p>
    <w:p>
      <w:pPr>
        <w:spacing w:after="0" w:line="121" w:lineRule="exact"/>
        <w:rPr>
          <w:sz w:val="20"/>
          <w:szCs w:val="20"/>
          <w:color w:val="auto"/>
        </w:rPr>
      </w:pPr>
    </w:p>
    <w:p>
      <w:pPr>
        <w:ind w:left="640" w:right="460"/>
        <w:spacing w:after="0" w:line="308" w:lineRule="auto"/>
        <w:rPr>
          <w:sz w:val="20"/>
          <w:szCs w:val="20"/>
          <w:color w:val="auto"/>
        </w:rPr>
      </w:pPr>
      <w:r>
        <w:rPr>
          <w:rFonts w:ascii="Arial" w:cs="Arial" w:eastAsia="Arial" w:hAnsi="Arial"/>
          <w:sz w:val="17"/>
          <w:szCs w:val="17"/>
          <w:b w:val="1"/>
          <w:bCs w:val="1"/>
          <w:i w:val="1"/>
          <w:iCs w:val="1"/>
          <w:color w:val="32406B"/>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3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are moving our cell processing to an automated, closed system with a single third party supplier.</w:t>
      </w:r>
    </w:p>
    <w:p>
      <w:pPr>
        <w:spacing w:after="0" w:line="18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32406B"/>
        </w:rPr>
        <w:t>Any of these third parties may terminate their engagements with us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88" w:lineRule="exact"/>
        <w:rPr>
          <w:sz w:val="20"/>
          <w:szCs w:val="20"/>
          <w:color w:val="auto"/>
        </w:rPr>
      </w:pPr>
    </w:p>
    <w:p>
      <w:pPr>
        <w:jc w:val="both"/>
        <w:ind w:left="200" w:right="80" w:firstLine="441"/>
        <w:spacing w:after="0" w:line="297" w:lineRule="auto"/>
        <w:rPr>
          <w:sz w:val="20"/>
          <w:szCs w:val="20"/>
          <w:color w:val="auto"/>
        </w:rPr>
      </w:pPr>
      <w:r>
        <w:rPr>
          <w:rFonts w:ascii="Arial" w:cs="Arial" w:eastAsia="Arial" w:hAnsi="Arial"/>
          <w:sz w:val="16"/>
          <w:szCs w:val="16"/>
          <w:color w:val="32406B"/>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w:t>
      </w:r>
    </w:p>
    <w:p>
      <w:pPr>
        <w:spacing w:after="0" w:line="158"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32406B"/>
        </w:rPr>
        <w:t>Reliance on third-party manufacturers entails risks to which we would not be subject if we manufactured the product candidates ourselves, including:</w:t>
      </w:r>
    </w:p>
    <w:p>
      <w:pPr>
        <w:spacing w:after="0" w:line="76"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the inability to negotiate manufacturing agreements with third parties under commercially reasonable terms;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reduced control as a result of using third-party manufacturers for all aspects of manufacturing activities;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3"/>
        </w:numPr>
        <w:rPr>
          <w:rFonts w:ascii="Arial" w:cs="Arial" w:eastAsia="Arial" w:hAnsi="Arial"/>
          <w:sz w:val="17"/>
          <w:szCs w:val="17"/>
          <w:color w:val="32406B"/>
        </w:rPr>
      </w:pPr>
      <w:r>
        <w:rPr>
          <w:rFonts w:ascii="Arial" w:cs="Arial" w:eastAsia="Arial" w:hAnsi="Arial"/>
          <w:sz w:val="17"/>
          <w:szCs w:val="17"/>
          <w:color w:val="32406B"/>
        </w:rPr>
        <w:t>termination or nonrenewal of manufacturing agreements with third parties in a manner or at a time that is costly or damaging to us; and</w:t>
      </w:r>
    </w:p>
    <w:p>
      <w:pPr>
        <w:spacing w:after="0" w:line="142" w:lineRule="exact"/>
        <w:rPr>
          <w:rFonts w:ascii="Arial" w:cs="Arial" w:eastAsia="Arial" w:hAnsi="Arial"/>
          <w:sz w:val="17"/>
          <w:szCs w:val="17"/>
          <w:color w:val="32406B"/>
        </w:rPr>
      </w:pPr>
    </w:p>
    <w:p>
      <w:pPr>
        <w:ind w:left="1060" w:right="400" w:hanging="424"/>
        <w:spacing w:after="0" w:line="277" w:lineRule="auto"/>
        <w:tabs>
          <w:tab w:leader="none" w:pos="106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disruptions to the operations of our third-party manufacturers or suppliers caused by conditions unrelated to our business or operations, including the bankruptcy of the manufacturer or supplier.</w:t>
      </w:r>
    </w:p>
    <w:p>
      <w:pPr>
        <w:spacing w:after="0" w:line="170"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32406B"/>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289" w:lineRule="exact"/>
        <w:rPr>
          <w:sz w:val="20"/>
          <w:szCs w:val="20"/>
          <w:color w:val="auto"/>
        </w:rPr>
      </w:pPr>
    </w:p>
    <w:p>
      <w:pPr>
        <w:ind w:left="640" w:right="400"/>
        <w:spacing w:after="0" w:line="308" w:lineRule="auto"/>
        <w:rPr>
          <w:sz w:val="20"/>
          <w:szCs w:val="20"/>
          <w:color w:val="auto"/>
        </w:rPr>
      </w:pPr>
      <w:r>
        <w:rPr>
          <w:rFonts w:ascii="Arial" w:cs="Arial" w:eastAsia="Arial" w:hAnsi="Arial"/>
          <w:sz w:val="17"/>
          <w:szCs w:val="17"/>
          <w:b w:val="1"/>
          <w:bCs w:val="1"/>
          <w:i w:val="1"/>
          <w:iCs w:val="1"/>
          <w:color w:val="32406B"/>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38"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32406B"/>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26</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32406B"/>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good manufacturing practices, or 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185"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32406B"/>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3"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32406B"/>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32406B"/>
        </w:rPr>
        <w:t>We are dependent on a limited number of suppliers for some of our components and materials used in our product candidates.</w:t>
      </w:r>
    </w:p>
    <w:p>
      <w:pPr>
        <w:spacing w:after="0" w:line="129"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32406B"/>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27</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If we are required to switch to a replacement supplier, the manufacture and delivery of our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could require additional supplemental data and clinical trial data if we rely upon a new supplier.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6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32406B"/>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32406B"/>
        </w:rPr>
        <w:t>Our reliance on these suppliers subjects us to a number of risks that could harm our reputation, business, and financial condition, including, among other things:</w:t>
      </w:r>
    </w:p>
    <w:p>
      <w:pPr>
        <w:spacing w:after="0" w:line="76" w:lineRule="exact"/>
        <w:rPr>
          <w:sz w:val="20"/>
          <w:szCs w:val="20"/>
          <w:color w:val="auto"/>
        </w:rPr>
      </w:pPr>
    </w:p>
    <w:p>
      <w:pPr>
        <w:ind w:left="1060" w:hanging="424"/>
        <w:spacing w:after="0"/>
        <w:tabs>
          <w:tab w:leader="none" w:pos="106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the interruption of supply resulting from modifications to or discontinuation of a supplier’s operations;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delays in product shipments resulting from uncorrected defects, reliability issues, or a supplier’s variation in a component;</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a lack of long-term supply arrangements for key components with our suppliers;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the inability to obtain adequate supply in a timely manner, or to obtain adequate supply on commercially reasonable terms;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difficulty and cost associated with locating and qualifying alternative suppliers for our components in a timely manner;</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4"/>
        </w:numPr>
        <w:rPr>
          <w:rFonts w:ascii="Arial" w:cs="Arial" w:eastAsia="Arial" w:hAnsi="Arial"/>
          <w:sz w:val="16"/>
          <w:szCs w:val="16"/>
          <w:color w:val="32406B"/>
        </w:rPr>
      </w:pPr>
      <w:r>
        <w:rPr>
          <w:rFonts w:ascii="Arial" w:cs="Arial" w:eastAsia="Arial" w:hAnsi="Arial"/>
          <w:sz w:val="16"/>
          <w:szCs w:val="16"/>
          <w:color w:val="32406B"/>
        </w:rPr>
        <w:t>production delays related to the evaluation and testing of products from alternative suppliers, and corresponding regulatory qualifications;</w:t>
      </w:r>
    </w:p>
    <w:p>
      <w:pPr>
        <w:spacing w:after="0" w:line="153" w:lineRule="exact"/>
        <w:rPr>
          <w:rFonts w:ascii="Arial" w:cs="Arial" w:eastAsia="Arial" w:hAnsi="Arial"/>
          <w:sz w:val="16"/>
          <w:szCs w:val="16"/>
          <w:color w:val="32406B"/>
        </w:rPr>
      </w:pPr>
    </w:p>
    <w:p>
      <w:pPr>
        <w:ind w:left="1060" w:hanging="424"/>
        <w:spacing w:after="0"/>
        <w:tabs>
          <w:tab w:leader="none" w:pos="106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a delay in delivery due to our suppliers prioritizing other customer orders over ours;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damage to our reputation caused by defective components produced by our suppliers;</w:t>
      </w:r>
    </w:p>
    <w:p>
      <w:pPr>
        <w:spacing w:after="0" w:line="130" w:lineRule="exact"/>
        <w:rPr>
          <w:rFonts w:ascii="Arial" w:cs="Arial" w:eastAsia="Arial" w:hAnsi="Arial"/>
          <w:sz w:val="18"/>
          <w:szCs w:val="18"/>
          <w:color w:val="32406B"/>
        </w:rPr>
      </w:pPr>
    </w:p>
    <w:p>
      <w:pPr>
        <w:ind w:left="1060" w:right="160" w:hanging="424"/>
        <w:spacing w:after="0" w:line="277" w:lineRule="auto"/>
        <w:tabs>
          <w:tab w:leader="none" w:pos="106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increased cost of our warranty program due to product repair or replacement based upon defects in components produced by our suppliers; and</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fluctuation in delivery by our suppliers due to changes in demand from us or their other customers.</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32406B"/>
        </w:rPr>
        <w:t>If any of these risks materialize, costs could significantly increase and our ability to conduct our clinical trials and, if our product candidates are approved, to meet demand for our products could be impacted.</w:t>
      </w:r>
    </w:p>
    <w:p>
      <w:pPr>
        <w:spacing w:after="0" w:line="279"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32406B"/>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28</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32406B"/>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32406B"/>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Risks related to commercialization of our product candidates</w:t>
      </w:r>
    </w:p>
    <w:p>
      <w:pPr>
        <w:spacing w:after="0" w:line="121"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b w:val="1"/>
          <w:bCs w:val="1"/>
          <w:i w:val="1"/>
          <w:iCs w:val="1"/>
          <w:color w:val="32406B"/>
        </w:rPr>
        <w:t>If we are unable to establish sales, distribution and marketing capabilities or enter into agreements with third parties to market and sell AVR-RD-01 and our other product candidates, we will be unable to generate any product revenue.</w:t>
      </w:r>
    </w:p>
    <w:p>
      <w:pPr>
        <w:spacing w:after="0" w:line="62"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32406B"/>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81"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b w:val="1"/>
          <w:bCs w:val="1"/>
          <w:i w:val="1"/>
          <w:iCs w:val="1"/>
          <w:color w:val="32406B"/>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ind w:left="200" w:right="240" w:firstLine="441"/>
        <w:spacing w:after="0" w:line="273" w:lineRule="auto"/>
        <w:rPr>
          <w:sz w:val="20"/>
          <w:szCs w:val="20"/>
          <w:color w:val="auto"/>
        </w:rPr>
      </w:pPr>
      <w:r>
        <w:rPr>
          <w:rFonts w:ascii="Arial" w:cs="Arial" w:eastAsia="Arial" w:hAnsi="Arial"/>
          <w:sz w:val="17"/>
          <w:szCs w:val="17"/>
          <w:color w:val="32406B"/>
        </w:rPr>
        <w:t>We focus our research and product development on treatments for serious lysosomal storage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29</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32406B"/>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94" w:lineRule="exact"/>
        <w:rPr>
          <w:sz w:val="20"/>
          <w:szCs w:val="20"/>
          <w:color w:val="auto"/>
        </w:rPr>
      </w:pPr>
    </w:p>
    <w:p>
      <w:pPr>
        <w:ind w:left="1060" w:hanging="424"/>
        <w:spacing w:after="0"/>
        <w:tabs>
          <w:tab w:leader="none" w:pos="106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the potential efficacy and potential advantages over alternative treatments;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5"/>
        </w:numPr>
        <w:rPr>
          <w:rFonts w:ascii="Arial" w:cs="Arial" w:eastAsia="Arial" w:hAnsi="Arial"/>
          <w:sz w:val="17"/>
          <w:szCs w:val="17"/>
          <w:color w:val="32406B"/>
        </w:rPr>
      </w:pPr>
      <w:r>
        <w:rPr>
          <w:rFonts w:ascii="Arial" w:cs="Arial" w:eastAsia="Arial" w:hAnsi="Arial"/>
          <w:sz w:val="17"/>
          <w:szCs w:val="17"/>
          <w:color w:val="32406B"/>
        </w:rPr>
        <w:t>the prevalence and severity of any side effects, including any limitations or warnings contained in a product’s approved labeling;</w:t>
      </w:r>
    </w:p>
    <w:p>
      <w:pPr>
        <w:spacing w:after="0" w:line="142" w:lineRule="exact"/>
        <w:rPr>
          <w:rFonts w:ascii="Arial" w:cs="Arial" w:eastAsia="Arial" w:hAnsi="Arial"/>
          <w:sz w:val="17"/>
          <w:szCs w:val="17"/>
          <w:color w:val="32406B"/>
        </w:rPr>
      </w:pPr>
    </w:p>
    <w:p>
      <w:pPr>
        <w:ind w:left="1060" w:hanging="424"/>
        <w:spacing w:after="0"/>
        <w:tabs>
          <w:tab w:leader="none" w:pos="1060" w:val="left"/>
        </w:tabs>
        <w:numPr>
          <w:ilvl w:val="0"/>
          <w:numId w:val="25"/>
        </w:numPr>
        <w:rPr>
          <w:rFonts w:ascii="Arial" w:cs="Arial" w:eastAsia="Arial" w:hAnsi="Arial"/>
          <w:sz w:val="17"/>
          <w:szCs w:val="17"/>
          <w:color w:val="32406B"/>
        </w:rPr>
      </w:pPr>
      <w:r>
        <w:rPr>
          <w:rFonts w:ascii="Arial" w:cs="Arial" w:eastAsia="Arial" w:hAnsi="Arial"/>
          <w:sz w:val="17"/>
          <w:szCs w:val="17"/>
          <w:color w:val="32406B"/>
        </w:rPr>
        <w:t>the prevalence and severity of any side effects resulting from the conditioning regimen for the administration of our product candidates;</w:t>
      </w:r>
    </w:p>
    <w:p>
      <w:pPr>
        <w:spacing w:after="0" w:line="142" w:lineRule="exact"/>
        <w:rPr>
          <w:rFonts w:ascii="Arial" w:cs="Arial" w:eastAsia="Arial" w:hAnsi="Arial"/>
          <w:sz w:val="17"/>
          <w:szCs w:val="17"/>
          <w:color w:val="32406B"/>
        </w:rPr>
      </w:pPr>
    </w:p>
    <w:p>
      <w:pPr>
        <w:ind w:left="1060" w:hanging="424"/>
        <w:spacing w:after="0"/>
        <w:tabs>
          <w:tab w:leader="none" w:pos="106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the relative convenience and ease of administration;</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the willingness of the target patient population to try new therapies and of physicians to prescribe these therapies;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the strength of marketing and distribution support and timing of market introduction of competitive products;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publicity concerning our products or competing products and treatments;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sufficient third-party insurance coverage or reimbursement.</w:t>
      </w:r>
    </w:p>
    <w:p>
      <w:pPr>
        <w:spacing w:after="0" w:line="225"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32406B"/>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1" w:lineRule="exact"/>
        <w:rPr>
          <w:sz w:val="20"/>
          <w:szCs w:val="20"/>
          <w:color w:val="auto"/>
        </w:rPr>
      </w:pPr>
    </w:p>
    <w:p>
      <w:pPr>
        <w:ind w:left="640" w:right="340"/>
        <w:spacing w:after="0" w:line="277" w:lineRule="auto"/>
        <w:rPr>
          <w:sz w:val="20"/>
          <w:szCs w:val="20"/>
          <w:color w:val="auto"/>
        </w:rPr>
      </w:pPr>
      <w:r>
        <w:rPr>
          <w:rFonts w:ascii="Arial" w:cs="Arial" w:eastAsia="Arial" w:hAnsi="Arial"/>
          <w:sz w:val="18"/>
          <w:szCs w:val="18"/>
          <w:b w:val="1"/>
          <w:bCs w:val="1"/>
          <w:i w:val="1"/>
          <w:iCs w:val="1"/>
          <w:color w:val="32406B"/>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32406B"/>
        </w:rPr>
        <w:t>We currently plan to conduct clinical trials for our product candidates outside of the United States, including in Canada, Australia, Japan, Europe and Israel.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92"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different regulatory requirements for approval of drugs and biologics in foreign countries;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reduced protection for intellectual property rights;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unexpected changes in tariffs, trade barriers and regulatory requirements;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economic weakness, including inflation, or political instability in particular foreign economies and markets;</w:t>
      </w:r>
    </w:p>
    <w:p>
      <w:pPr>
        <w:spacing w:after="0" w:line="130" w:lineRule="exact"/>
        <w:rPr>
          <w:rFonts w:ascii="Arial" w:cs="Arial" w:eastAsia="Arial" w:hAnsi="Arial"/>
          <w:sz w:val="18"/>
          <w:szCs w:val="18"/>
          <w:color w:val="32406B"/>
        </w:rPr>
      </w:pPr>
    </w:p>
    <w:p>
      <w:pPr>
        <w:ind w:left="5620" w:right="2600" w:hanging="4984"/>
        <w:spacing w:after="0" w:line="449" w:lineRule="auto"/>
        <w:tabs>
          <w:tab w:leader="none" w:pos="1064"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compliance with tax, employment, immigration and labor laws for employees living or traveling abroad; 30</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40" w:hanging="424"/>
        <w:spacing w:after="0" w:line="277" w:lineRule="auto"/>
        <w:tabs>
          <w:tab w:leader="none" w:pos="106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workforce uncertainty in countries where labor unrest is more common than in the United States;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production shortages resulting from any events affecting raw material supply or manufacturing capabilities abroad; and</w:t>
      </w:r>
    </w:p>
    <w:p>
      <w:pPr>
        <w:spacing w:after="0" w:line="130" w:lineRule="exact"/>
        <w:rPr>
          <w:rFonts w:ascii="Arial" w:cs="Arial" w:eastAsia="Arial" w:hAnsi="Arial"/>
          <w:sz w:val="18"/>
          <w:szCs w:val="18"/>
          <w:color w:val="32406B"/>
        </w:rPr>
      </w:pPr>
    </w:p>
    <w:p>
      <w:pPr>
        <w:ind w:left="1060" w:right="20" w:hanging="424"/>
        <w:spacing w:after="0" w:line="277" w:lineRule="auto"/>
        <w:tabs>
          <w:tab w:leader="none" w:pos="106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jc w:val="both"/>
        <w:ind w:left="640" w:right="40"/>
        <w:spacing w:after="0" w:line="264" w:lineRule="auto"/>
        <w:rPr>
          <w:sz w:val="20"/>
          <w:szCs w:val="20"/>
          <w:color w:val="auto"/>
        </w:rPr>
      </w:pPr>
      <w:r>
        <w:rPr>
          <w:rFonts w:ascii="Arial" w:cs="Arial" w:eastAsia="Arial" w:hAnsi="Arial"/>
          <w:sz w:val="18"/>
          <w:szCs w:val="18"/>
          <w:b w:val="1"/>
          <w:bCs w:val="1"/>
          <w:i w:val="1"/>
          <w:iCs w:val="1"/>
          <w:color w:val="32406B"/>
        </w:rPr>
        <w:t>The insurance coverage and reimbursement status of newly-approved products is uncertain. Failure to obtain or maintain adequate coverage and reimbursement for any of our product candidates, if approved, could limit our ability to market those products and decrease our ability to generate revenue.</w:t>
      </w:r>
    </w:p>
    <w:p>
      <w:pPr>
        <w:spacing w:after="0" w:line="7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The availability and extent of reimbursement by governmental and private payors is essential for most patients to be able to afford expensive treatments, such as stem cell transplants.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6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32406B"/>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the CMS decides whether and to what extent a new medicine will be covered and reimbursed under Medicare. Private payors tend to follow the CMS to a substantial degree. It is difficult to predict what the CMS will decide with respect to reimbursement for fundamentally novel products such as ours, as there is no body of established practices and precedents for these new products.</w:t>
      </w:r>
    </w:p>
    <w:p>
      <w:pPr>
        <w:spacing w:after="0" w:line="19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32406B"/>
        </w:rPr>
        <w:t>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92"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32406B"/>
        </w:rPr>
        <w:t>Moreover,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31</w:t>
      </w:r>
    </w:p>
    <w:p>
      <w:pPr>
        <w:sectPr>
          <w:pgSz w:w="11900" w:h="16838" w:orient="portrait"/>
          <w:cols w:equalWidth="0" w:num="1">
            <w:col w:w="11160"/>
          </w:cols>
          <w:pgMar w:left="24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32406B"/>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32406B"/>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281" w:lineRule="exact"/>
        <w:rPr>
          <w:sz w:val="20"/>
          <w:szCs w:val="20"/>
          <w:color w:val="auto"/>
        </w:rPr>
      </w:pPr>
    </w:p>
    <w:p>
      <w:pPr>
        <w:ind w:left="640" w:right="680"/>
        <w:spacing w:after="0" w:line="277" w:lineRule="auto"/>
        <w:rPr>
          <w:sz w:val="20"/>
          <w:szCs w:val="20"/>
          <w:color w:val="auto"/>
        </w:rPr>
      </w:pPr>
      <w:r>
        <w:rPr>
          <w:rFonts w:ascii="Arial" w:cs="Arial" w:eastAsia="Arial" w:hAnsi="Arial"/>
          <w:sz w:val="18"/>
          <w:szCs w:val="18"/>
          <w:b w:val="1"/>
          <w:bCs w:val="1"/>
          <w:i w:val="1"/>
          <w:iCs w:val="1"/>
          <w:color w:val="32406B"/>
        </w:rPr>
        <w:t>Gene therapies are novel, complex and difficult to manufacture. We could experience production problems that result in delays in our development or commercialization programs or otherwise adversely affect our business.</w:t>
      </w:r>
    </w:p>
    <w:p>
      <w:pPr>
        <w:spacing w:after="0" w:line="6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32406B"/>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1"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32406B"/>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73"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32406B"/>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Third-party payors, whether domestic or foreign, or governmental or private, are developing increasingly sophisticated methods of controlling healthcare costs. In both the United States and certain foreign jurisdictions, there have been a number of legislative and regulatory changes to the health care system that could impact our ability to sell our products profitably. In particular, in 2010, the Patient Protection and Affordable Care Act or ACA or PPACA, as amended by the Health Care and Education Reconciliation Act of 2010, or the ACA, was enacted, which, among other things, subjected biologic products to potential competition by lower-cost biosimilars, addressed a new methodology by which rebates owed by manufacturers under the Medicaid Drug</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32</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3" w:lineRule="auto"/>
        <w:rPr>
          <w:sz w:val="20"/>
          <w:szCs w:val="20"/>
          <w:color w:val="auto"/>
        </w:rPr>
      </w:pPr>
      <w:r>
        <w:rPr>
          <w:rFonts w:ascii="Arial" w:cs="Arial" w:eastAsia="Arial" w:hAnsi="Arial"/>
          <w:sz w:val="16"/>
          <w:szCs w:val="16"/>
          <w:color w:val="32406B"/>
        </w:rPr>
        <w:t>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Some of the provisions of the ACA have yet to be fully implemented, while certain provisions have been subject to judicial and Congressional challenges.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w:t>
      </w:r>
    </w:p>
    <w:p>
      <w:pPr>
        <w:spacing w:after="0" w:line="6" w:lineRule="exact"/>
        <w:rPr>
          <w:sz w:val="20"/>
          <w:szCs w:val="20"/>
          <w:color w:val="auto"/>
        </w:rPr>
      </w:pPr>
    </w:p>
    <w:p>
      <w:pPr>
        <w:jc w:val="both"/>
        <w:ind w:left="200" w:right="100"/>
        <w:spacing w:after="0" w:line="255" w:lineRule="auto"/>
        <w:rPr>
          <w:sz w:val="20"/>
          <w:szCs w:val="20"/>
          <w:color w:val="auto"/>
        </w:rPr>
      </w:pPr>
      <w:r>
        <w:rPr>
          <w:rFonts w:ascii="Arial" w:cs="Arial" w:eastAsia="Arial" w:hAnsi="Arial"/>
          <w:sz w:val="18"/>
          <w:szCs w:val="18"/>
          <w:color w:val="32406B"/>
        </w:rPr>
        <w:t>October 25, 2017. In addition, the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Congress may consider other legislation to replace elements of the ACA.</w:t>
      </w:r>
    </w:p>
    <w:p>
      <w:pPr>
        <w:spacing w:after="0" w:line="190" w:lineRule="exact"/>
        <w:rPr>
          <w:sz w:val="20"/>
          <w:szCs w:val="20"/>
          <w:color w:val="auto"/>
        </w:rPr>
      </w:pPr>
    </w:p>
    <w:p>
      <w:pPr>
        <w:ind w:left="200" w:right="20" w:firstLine="441"/>
        <w:spacing w:after="0" w:line="267" w:lineRule="auto"/>
        <w:rPr>
          <w:sz w:val="20"/>
          <w:szCs w:val="20"/>
          <w:color w:val="auto"/>
        </w:rPr>
      </w:pPr>
      <w:r>
        <w:rPr>
          <w:rFonts w:ascii="Arial" w:cs="Arial" w:eastAsia="Arial" w:hAnsi="Arial"/>
          <w:sz w:val="17"/>
          <w:szCs w:val="17"/>
          <w:color w:val="32406B"/>
        </w:rPr>
        <w:t>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exercise tax on non-exempt medical devices. Further, the Bipartisan Budget Act of 2018, or the BBA, among other things, amends the ACA, effective January 1, 2019, to reduce the coverage gap in most Medicare drug plans, commonly referred to as the “donut hole.” Congress also could consider subsequent legislation to replace elements of the ACA that are repealed. Thus, the full impact of the ACA, any law replacing elements of it, and the political uncertainty surrounding any repeal or replacement legislation on our business remains unclear. 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2027 unless additional Congressional action is taken.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9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32406B"/>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92" w:lineRule="exact"/>
        <w:rPr>
          <w:sz w:val="20"/>
          <w:szCs w:val="20"/>
          <w:color w:val="auto"/>
        </w:rPr>
      </w:pPr>
    </w:p>
    <w:p>
      <w:pPr>
        <w:ind w:left="1060" w:hanging="424"/>
        <w:spacing w:after="0"/>
        <w:tabs>
          <w:tab w:leader="none" w:pos="106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the demand for our drug product candidates, if we obtain regulatory approval;</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our ability to set a price that we believe is fair for our products;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our ability to generate revenue and achieve or maintain profitability;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33</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32406B"/>
        </w:rPr>
      </w:pPr>
      <w:r>
        <w:rPr>
          <w:rFonts w:ascii="Arial" w:cs="Arial" w:eastAsia="Arial" w:hAnsi="Arial"/>
          <w:sz w:val="18"/>
          <w:szCs w:val="18"/>
          <w:color w:val="32406B"/>
        </w:rPr>
        <w:t>the level of taxes that we are required to pay;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9"/>
        </w:numPr>
        <w:rPr>
          <w:rFonts w:ascii="Arial" w:cs="Arial" w:eastAsia="Arial" w:hAnsi="Arial"/>
          <w:sz w:val="18"/>
          <w:szCs w:val="18"/>
          <w:color w:val="32406B"/>
        </w:rPr>
      </w:pPr>
      <w:r>
        <w:rPr>
          <w:rFonts w:ascii="Arial" w:cs="Arial" w:eastAsia="Arial" w:hAnsi="Arial"/>
          <w:sz w:val="18"/>
          <w:szCs w:val="18"/>
          <w:color w:val="32406B"/>
        </w:rPr>
        <w:t>the availability of capital.</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32406B"/>
        </w:rPr>
        <w:t>Any denial in coverage or reduction in reimbursement from Medicare or other government programs may result in a similar denial or reduction in payments from private payors, which may adversely affect our future profitability.</w:t>
      </w:r>
    </w:p>
    <w:p>
      <w:pPr>
        <w:spacing w:after="0" w:line="279" w:lineRule="exact"/>
        <w:rPr>
          <w:sz w:val="20"/>
          <w:szCs w:val="20"/>
          <w:color w:val="auto"/>
        </w:rPr>
      </w:pPr>
    </w:p>
    <w:p>
      <w:pPr>
        <w:ind w:left="640" w:right="140"/>
        <w:spacing w:after="0" w:line="264" w:lineRule="auto"/>
        <w:rPr>
          <w:sz w:val="20"/>
          <w:szCs w:val="20"/>
          <w:color w:val="auto"/>
        </w:rPr>
      </w:pPr>
      <w:r>
        <w:rPr>
          <w:rFonts w:ascii="Arial" w:cs="Arial" w:eastAsia="Arial" w:hAnsi="Arial"/>
          <w:sz w:val="18"/>
          <w:szCs w:val="18"/>
          <w:b w:val="1"/>
          <w:bCs w:val="1"/>
          <w:i w:val="1"/>
          <w:iCs w:val="1"/>
          <w:color w:val="32406B"/>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7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32406B"/>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8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32406B"/>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Risks related to our business operations</w:t>
      </w:r>
    </w:p>
    <w:p>
      <w:pPr>
        <w:spacing w:after="0" w:line="121" w:lineRule="exact"/>
        <w:rPr>
          <w:sz w:val="20"/>
          <w:szCs w:val="20"/>
          <w:color w:val="auto"/>
        </w:rPr>
      </w:pPr>
    </w:p>
    <w:p>
      <w:pPr>
        <w:ind w:left="640"/>
        <w:spacing w:after="0" w:line="340" w:lineRule="auto"/>
        <w:rPr>
          <w:sz w:val="20"/>
          <w:szCs w:val="20"/>
          <w:color w:val="auto"/>
        </w:rPr>
      </w:pPr>
      <w:r>
        <w:rPr>
          <w:rFonts w:ascii="Arial" w:cs="Arial" w:eastAsia="Arial" w:hAnsi="Arial"/>
          <w:sz w:val="15"/>
          <w:szCs w:val="15"/>
          <w:b w:val="1"/>
          <w:bCs w:val="1"/>
          <w:i w:val="1"/>
          <w:iCs w:val="1"/>
          <w:color w:val="32406B"/>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23"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32406B"/>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and death seen in other trials using other vectors. Adverse events in our clinical studies, even if not ultimately attributable to our product candidates (such as the many adverse events that typically arise from the conditioning process), or adverse events in other lentiviral gene therapy trials,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81"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32406B"/>
        </w:rPr>
        <w:t>Our future success depends on our ability to retain key employees, consultants and advisors and to attract, retain and motivate qualified personnel.</w:t>
      </w:r>
    </w:p>
    <w:p>
      <w:pPr>
        <w:spacing w:after="0" w:line="62"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32406B"/>
        </w:rPr>
        <w:t>We are highly dependent on principal members of our executive team and key employees, including our Chief Executive Officer, Chief Financial Officer, Head of Operations, Chief Science Officer, Chief Business Officer, and Chief Medical Officer, the loss of whose services may adversely impact the achievement of our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34</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32406B"/>
        </w:rPr>
        <w:t>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32406B"/>
        </w:rPr>
        <w:t>We will need to expand our operations and we may experience difficulties in managing this growth, which could disrupt our operations.</w:t>
      </w:r>
    </w:p>
    <w:p>
      <w:pPr>
        <w:spacing w:after="0" w:line="14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As of June 1, 2018, we had 34 full-time employees. As we mature, we expect to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If we are unable to manage expected growth in the scale and complexity of our operations, our performance may suffer.</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32406B"/>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30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32406B"/>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32406B"/>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35</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32406B"/>
        </w:rPr>
        <w:t>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6" w:lineRule="exact"/>
        <w:rPr>
          <w:sz w:val="20"/>
          <w:szCs w:val="20"/>
          <w:color w:val="auto"/>
        </w:rPr>
      </w:pPr>
    </w:p>
    <w:p>
      <w:pPr>
        <w:ind w:left="640" w:right="640"/>
        <w:spacing w:after="0" w:line="277" w:lineRule="auto"/>
        <w:rPr>
          <w:sz w:val="20"/>
          <w:szCs w:val="20"/>
          <w:color w:val="auto"/>
        </w:rPr>
      </w:pPr>
      <w:r>
        <w:rPr>
          <w:rFonts w:ascii="Arial" w:cs="Arial" w:eastAsia="Arial" w:hAnsi="Arial"/>
          <w:sz w:val="18"/>
          <w:szCs w:val="18"/>
          <w:b w:val="1"/>
          <w:bCs w:val="1"/>
          <w:i w:val="1"/>
          <w:iCs w:val="1"/>
          <w:color w:val="32406B"/>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32406B"/>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United States Foreign Corrupt Practices Act’s accounting provisions.</w:t>
      </w:r>
    </w:p>
    <w:p>
      <w:pPr>
        <w:spacing w:after="0" w:line="277"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b w:val="1"/>
          <w:bCs w:val="1"/>
          <w:i w:val="1"/>
          <w:iCs w:val="1"/>
          <w:color w:val="32406B"/>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3"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32406B"/>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99" w:lineRule="exact"/>
        <w:rPr>
          <w:sz w:val="20"/>
          <w:szCs w:val="20"/>
          <w:color w:val="auto"/>
        </w:rPr>
      </w:pPr>
    </w:p>
    <w:p>
      <w:pPr>
        <w:ind w:left="1060" w:right="20" w:hanging="424"/>
        <w:spacing w:after="0" w:line="259" w:lineRule="auto"/>
        <w:tabs>
          <w:tab w:leader="none" w:pos="106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or recommendation of any good, facility, item or service for which payment may be made, in whole or in part, under a federal healthcare program, such as the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36</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300"/>
        <w:spacing w:after="0" w:line="259" w:lineRule="auto"/>
        <w:rPr>
          <w:sz w:val="20"/>
          <w:szCs w:val="20"/>
          <w:color w:val="auto"/>
        </w:rPr>
      </w:pPr>
      <w:r>
        <w:rPr>
          <w:rFonts w:ascii="Arial" w:cs="Arial" w:eastAsia="Arial" w:hAnsi="Arial"/>
          <w:sz w:val="18"/>
          <w:szCs w:val="18"/>
          <w:color w:val="32406B"/>
        </w:rPr>
        <w:t>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92" w:lineRule="exact"/>
        <w:rPr>
          <w:sz w:val="20"/>
          <w:szCs w:val="20"/>
          <w:color w:val="auto"/>
        </w:rPr>
      </w:pPr>
    </w:p>
    <w:p>
      <w:pPr>
        <w:ind w:left="1060" w:right="160" w:hanging="424"/>
        <w:spacing w:after="0" w:line="255" w:lineRule="auto"/>
        <w:tabs>
          <w:tab w:leader="none" w:pos="10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w:t>
      </w:r>
    </w:p>
    <w:p>
      <w:pPr>
        <w:spacing w:after="0" w:line="98" w:lineRule="exact"/>
        <w:rPr>
          <w:rFonts w:ascii="Arial" w:cs="Arial" w:eastAsia="Arial" w:hAnsi="Arial"/>
          <w:sz w:val="18"/>
          <w:szCs w:val="18"/>
          <w:color w:val="32406B"/>
        </w:rPr>
      </w:pPr>
    </w:p>
    <w:p>
      <w:pPr>
        <w:ind w:left="1060" w:right="160" w:hanging="424"/>
        <w:spacing w:after="0" w:line="259" w:lineRule="auto"/>
        <w:tabs>
          <w:tab w:leader="none" w:pos="10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92" w:lineRule="exact"/>
        <w:rPr>
          <w:rFonts w:ascii="Arial" w:cs="Arial" w:eastAsia="Arial" w:hAnsi="Arial"/>
          <w:sz w:val="18"/>
          <w:szCs w:val="18"/>
          <w:color w:val="32406B"/>
        </w:rPr>
      </w:pPr>
    </w:p>
    <w:p>
      <w:pPr>
        <w:ind w:left="1060" w:hanging="424"/>
        <w:spacing w:after="0" w:line="291" w:lineRule="auto"/>
        <w:tabs>
          <w:tab w:leader="none" w:pos="1060" w:val="left"/>
        </w:tabs>
        <w:numPr>
          <w:ilvl w:val="0"/>
          <w:numId w:val="31"/>
        </w:numPr>
        <w:rPr>
          <w:rFonts w:ascii="Arial" w:cs="Arial" w:eastAsia="Arial" w:hAnsi="Arial"/>
          <w:sz w:val="16"/>
          <w:szCs w:val="16"/>
          <w:color w:val="32406B"/>
        </w:rPr>
      </w:pPr>
      <w:r>
        <w:rPr>
          <w:rFonts w:ascii="Arial" w:cs="Arial" w:eastAsia="Arial" w:hAnsi="Arial"/>
          <w:sz w:val="16"/>
          <w:szCs w:val="16"/>
          <w:color w:val="32406B"/>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rFonts w:ascii="Arial" w:cs="Arial" w:eastAsia="Arial" w:hAnsi="Arial"/>
          <w:sz w:val="16"/>
          <w:szCs w:val="16"/>
          <w:color w:val="32406B"/>
        </w:rPr>
      </w:pPr>
    </w:p>
    <w:p>
      <w:pPr>
        <w:ind w:left="1060" w:right="140" w:hanging="424"/>
        <w:spacing w:after="0" w:line="302" w:lineRule="auto"/>
        <w:tabs>
          <w:tab w:leader="none" w:pos="1060" w:val="left"/>
        </w:tabs>
        <w:numPr>
          <w:ilvl w:val="0"/>
          <w:numId w:val="31"/>
        </w:numPr>
        <w:rPr>
          <w:rFonts w:ascii="Arial" w:cs="Arial" w:eastAsia="Arial" w:hAnsi="Arial"/>
          <w:sz w:val="16"/>
          <w:szCs w:val="16"/>
          <w:color w:val="32406B"/>
        </w:rPr>
      </w:pPr>
      <w:r>
        <w:rPr>
          <w:rFonts w:ascii="Arial" w:cs="Arial" w:eastAsia="Arial" w:hAnsi="Arial"/>
          <w:sz w:val="16"/>
          <w:szCs w:val="16"/>
          <w:color w:val="32406B"/>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32406B"/>
        </w:rPr>
      </w:pPr>
    </w:p>
    <w:p>
      <w:pPr>
        <w:ind w:left="1060" w:right="160" w:hanging="424"/>
        <w:spacing w:after="0" w:line="255" w:lineRule="auto"/>
        <w:tabs>
          <w:tab w:leader="none" w:pos="10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98" w:lineRule="exact"/>
        <w:rPr>
          <w:rFonts w:ascii="Arial" w:cs="Arial" w:eastAsia="Arial" w:hAnsi="Arial"/>
          <w:sz w:val="18"/>
          <w:szCs w:val="18"/>
          <w:color w:val="32406B"/>
        </w:rPr>
      </w:pPr>
    </w:p>
    <w:p>
      <w:pPr>
        <w:ind w:left="1060" w:right="100" w:hanging="424"/>
        <w:spacing w:after="0" w:line="277" w:lineRule="auto"/>
        <w:tabs>
          <w:tab w:leader="none" w:pos="10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federal government price reporting laws, which require us to calculate and report complex pricing metrics in an accurate and timely manner to government programs; and</w:t>
      </w:r>
    </w:p>
    <w:p>
      <w:pPr>
        <w:spacing w:after="0" w:line="75" w:lineRule="exact"/>
        <w:rPr>
          <w:rFonts w:ascii="Arial" w:cs="Arial" w:eastAsia="Arial" w:hAnsi="Arial"/>
          <w:sz w:val="18"/>
          <w:szCs w:val="18"/>
          <w:color w:val="32406B"/>
        </w:rPr>
      </w:pPr>
    </w:p>
    <w:p>
      <w:pPr>
        <w:ind w:left="1060" w:right="160" w:hanging="424"/>
        <w:spacing w:after="0" w:line="277" w:lineRule="auto"/>
        <w:tabs>
          <w:tab w:leader="none" w:pos="10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32406B"/>
        </w:rPr>
        <w:t>Additionally, we are subject to state and foreign equivalents of each of the healthcare laws described above, among others, some of which may be broader in scope and may apply regardless of the payer. Many U.S. states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37</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32406B"/>
        </w:rPr>
        <w:t>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79"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32406B"/>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66" w:lineRule="exact"/>
        <w:rPr>
          <w:sz w:val="20"/>
          <w:szCs w:val="20"/>
          <w:color w:val="auto"/>
        </w:rPr>
      </w:pPr>
    </w:p>
    <w:p>
      <w:pPr>
        <w:ind w:left="640" w:right="200"/>
        <w:spacing w:after="0" w:line="259" w:lineRule="auto"/>
        <w:rPr>
          <w:sz w:val="20"/>
          <w:szCs w:val="20"/>
          <w:color w:val="auto"/>
        </w:rPr>
      </w:pPr>
      <w:r>
        <w:rPr>
          <w:rFonts w:ascii="Arial" w:cs="Arial" w:eastAsia="Arial" w:hAnsi="Arial"/>
          <w:sz w:val="18"/>
          <w:szCs w:val="18"/>
          <w:b w:val="1"/>
          <w:bCs w:val="1"/>
          <w:i w:val="1"/>
          <w:iCs w:val="1"/>
          <w:color w:val="32406B"/>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7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94" w:lineRule="exact"/>
        <w:rPr>
          <w:sz w:val="20"/>
          <w:szCs w:val="20"/>
          <w:color w:val="auto"/>
        </w:rPr>
      </w:pPr>
    </w:p>
    <w:p>
      <w:pPr>
        <w:ind w:left="1060" w:hanging="424"/>
        <w:spacing w:after="0"/>
        <w:tabs>
          <w:tab w:leader="none" w:pos="106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the impairment of our business reputation;</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the withdrawal of clinical study participants;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costs due to related litigation;</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the distraction of management’s attention from our primary business;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substantial monetary awards to patients or other claimants;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the inability to commercialize our product candidates;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decreased demand for our product candidates, if approved for commercial sale.</w:t>
      </w:r>
    </w:p>
    <w:p>
      <w:pPr>
        <w:spacing w:after="0" w:line="22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We carry product liability insurance of $5.0 million per occurrence and $5.0 million in the aggregate.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38</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32406B"/>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90"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32406B"/>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32406B"/>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Unfavorable global economic conditions could adversely affect our business, financial condition or results of operations.</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32406B"/>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39</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32406B"/>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32406B"/>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300"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b w:val="1"/>
          <w:bCs w:val="1"/>
          <w:i w:val="1"/>
          <w:iCs w:val="1"/>
          <w:color w:val="32406B"/>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Comprehensive tax reform legislation could adversely affect our business and financial condition.</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On December 22, 2017, President Trump signed into law the TCJA that significantly reforms the Internal Revenue Code of 1986, as amended, or the Code. The TCJA, among other things, contains significant changes to corporate taxation, including the reduction of the corporate tax rate from a top marginal rate of 35% to a flat rate of 21%, the limitation of the tax deduction for interest expense to 30% of adjusted earnings (except for certain small businesses), the limitation of the deduction for net operating losses to 80% of current year taxable income and the elimination of net operating loss carrybacks and modification or repeal of many business deductions and credits (including the reduction of the business tax credit for certain clinical testing expenses incurred in the testing of certain drugs for rare diseases or conditions generally referred to as “orphan drugs”). We continue to examine the impact this tax reform legislation may have on our business. However, the effect of the TCJA on our business, whether adverse or favorable, is uncertain, and may not become evident for some period of time. We urge investors to consult with their legal and tax advisers regarding the implications of the TCJA on an investment in our common stock.</w:t>
      </w:r>
    </w:p>
    <w:p>
      <w:pPr>
        <w:spacing w:after="0" w:line="290" w:lineRule="exact"/>
        <w:rPr>
          <w:sz w:val="20"/>
          <w:szCs w:val="20"/>
          <w:color w:val="auto"/>
        </w:rPr>
      </w:pPr>
    </w:p>
    <w:p>
      <w:pPr>
        <w:ind w:left="640" w:right="740"/>
        <w:spacing w:after="0" w:line="277" w:lineRule="auto"/>
        <w:rPr>
          <w:sz w:val="20"/>
          <w:szCs w:val="20"/>
          <w:color w:val="auto"/>
        </w:rPr>
      </w:pPr>
      <w:r>
        <w:rPr>
          <w:rFonts w:ascii="Arial" w:cs="Arial" w:eastAsia="Arial" w:hAnsi="Arial"/>
          <w:sz w:val="18"/>
          <w:szCs w:val="18"/>
          <w:b w:val="1"/>
          <w:bCs w:val="1"/>
          <w:i w:val="1"/>
          <w:iCs w:val="1"/>
          <w:color w:val="32406B"/>
        </w:rPr>
        <w:t>We might not be able to utilize a significant portion of our net operating loss carryforwards and research and development tax credit carryforwards.</w:t>
      </w:r>
    </w:p>
    <w:p>
      <w:pPr>
        <w:spacing w:after="0" w:line="62"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32406B"/>
        </w:rPr>
        <w:t>As of December 31, 2017, we had federal and state net operating loss carryforwards of $19.0 million and $18.9 million, respectively, and state research and development tax credit carryforwards of approximately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40</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32406B"/>
        </w:rPr>
        <w:t>$119,000. If not utilized, the net operating loss carryforwards and research and development credits will generally expire at various dates through 2037. These net operating loss and tax credit carryforwards could expire unused and be unavailable to offset future income tax liabilities.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including this offering,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The reduction of the corporate tax rate under the TCJA may cause a reduction in the economic benefit of our net operating loss carryforwards and other deferred tax assets available to us. Under the TCJA, net operating losses generated after December 31, 2017 will not be subject to expiration.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Risks related to our intellectual property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32406B"/>
        </w:rPr>
        <w:t>Third-party claims of intellectual property infringement may prevent or delay our development and commercialization efforts.</w:t>
      </w:r>
    </w:p>
    <w:p>
      <w:pPr>
        <w:spacing w:after="0" w:line="1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8"/>
          <w:szCs w:val="18"/>
          <w:i w:val="1"/>
          <w:iCs w:val="1"/>
          <w:color w:val="32406B"/>
        </w:rPr>
        <w:t>inter partes</w:t>
      </w:r>
      <w:r>
        <w:rPr>
          <w:rFonts w:ascii="Arial" w:cs="Arial" w:eastAsia="Arial" w:hAnsi="Arial"/>
          <w:sz w:val="18"/>
          <w:szCs w:val="18"/>
          <w:color w:val="32406B"/>
        </w:rPr>
        <w:t xml:space="preserve"> reexamination proceedings before the U.S. Patent and Trademark Office, or U.S. 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8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41</w:t>
      </w:r>
    </w:p>
    <w:p>
      <w:pPr>
        <w:sectPr>
          <w:pgSz w:w="11900" w:h="16838" w:orient="portrait"/>
          <w:cols w:equalWidth="0" w:num="1">
            <w:col w:w="11160"/>
          </w:cols>
          <w:pgMar w:left="24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32406B"/>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32406B"/>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75"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32406B"/>
        </w:rPr>
        <w:t>Our rights to develop and commercialize our product candidates are subject, in part, to the terms and conditions of licenses granted to us by others.</w:t>
      </w:r>
    </w:p>
    <w:p>
      <w:pPr>
        <w:spacing w:after="0" w:line="62"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32406B"/>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program). In addition, we have in-licensed patents and patent applications from BioMarin Pharmaceutical Inc., or Biomarin (relevant to AVR-RD-03 and our Pompe program), and GenStem Therapeutics Inc., or GenStem (relevant to AVR-RD-04 and our cystinosis program), directed to compositions and methods related to the manufacture and use of AVR-RD-03 and AVR-RD-04, respectively. Any termination of these licenses could result in the loss of significant rights and could harm or prevent our ability to commercialize our product candidates.</w:t>
      </w:r>
    </w:p>
    <w:p>
      <w:pPr>
        <w:spacing w:after="0" w:line="179"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32406B"/>
        </w:rPr>
        <w:t>Each of our existing licenses are exclusive but are limited to particular fields, such as Fabry disease, Gaucher disease, Pompe disease, or cystinosis,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9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32406B"/>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and the rights holders associated with Lund University,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78"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32406B"/>
        </w:rPr>
        <w:t>Our current license agreements impose, and we expect that future license agreements that we may enter into will impose, various obligations, including diligence and certain payment obligations. If we fail to satisfy our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42</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32406B"/>
        </w:rPr>
        <w:t>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266" w:lineRule="exact"/>
        <w:rPr>
          <w:sz w:val="20"/>
          <w:szCs w:val="20"/>
          <w:color w:val="auto"/>
        </w:rPr>
      </w:pPr>
    </w:p>
    <w:p>
      <w:pPr>
        <w:ind w:left="640" w:right="220"/>
        <w:spacing w:after="0" w:line="264" w:lineRule="auto"/>
        <w:rPr>
          <w:sz w:val="20"/>
          <w:szCs w:val="20"/>
          <w:color w:val="auto"/>
        </w:rPr>
      </w:pPr>
      <w:r>
        <w:rPr>
          <w:rFonts w:ascii="Arial" w:cs="Arial" w:eastAsia="Arial" w:hAnsi="Arial"/>
          <w:sz w:val="18"/>
          <w:szCs w:val="18"/>
          <w:b w:val="1"/>
          <w:bCs w:val="1"/>
          <w:i w:val="1"/>
          <w:iCs w:val="1"/>
          <w:color w:val="32406B"/>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32406B"/>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93"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32406B"/>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We currently have no owned or inlicensed patents or patent applications covering AVR-RD-01 or AVR-RD-02, and the patent application that we in-licensed related to AVR-RD-04 is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We may not be able to protect our intellectual property rights throughout the world.</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32406B"/>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43</w:t>
      </w:r>
    </w:p>
    <w:p>
      <w:pPr>
        <w:sectPr>
          <w:pgSz w:w="11900" w:h="16838" w:orient="portrait"/>
          <w:cols w:equalWidth="0" w:num="1">
            <w:col w:w="11180"/>
          </w:cols>
          <w:pgMar w:left="24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32406B"/>
        </w:rPr>
        <w:t>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9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32406B"/>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0"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32406B"/>
        </w:rPr>
        <w:t>Issued patents covering our product candidates could be found invalid or unenforceable if challenged in court. We may not be able to protect our trade secrets in court.</w:t>
      </w:r>
    </w:p>
    <w:p>
      <w:pPr>
        <w:spacing w:after="0" w:line="62"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32406B"/>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United States Patent and Trademark Office, or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32406B"/>
        </w:rPr>
        <w:t>inter partes</w:t>
      </w:r>
      <w:r>
        <w:rPr>
          <w:rFonts w:ascii="Arial" w:cs="Arial" w:eastAsia="Arial" w:hAnsi="Arial"/>
          <w:sz w:val="16"/>
          <w:szCs w:val="16"/>
          <w:color w:val="32406B"/>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7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44</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32406B"/>
        </w:rPr>
        <w:t>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62" w:lineRule="exact"/>
        <w:rPr>
          <w:sz w:val="20"/>
          <w:szCs w:val="20"/>
          <w:color w:val="auto"/>
        </w:rPr>
      </w:pPr>
    </w:p>
    <w:p>
      <w:pPr>
        <w:ind w:left="640" w:right="220"/>
        <w:spacing w:after="0" w:line="342" w:lineRule="auto"/>
        <w:rPr>
          <w:sz w:val="20"/>
          <w:szCs w:val="20"/>
          <w:color w:val="auto"/>
        </w:rPr>
      </w:pPr>
      <w:r>
        <w:rPr>
          <w:rFonts w:ascii="Arial" w:cs="Arial" w:eastAsia="Arial" w:hAnsi="Arial"/>
          <w:sz w:val="16"/>
          <w:szCs w:val="16"/>
          <w:b w:val="1"/>
          <w:bCs w:val="1"/>
          <w:i w:val="1"/>
          <w:iCs w:val="1"/>
          <w:color w:val="32406B"/>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6"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6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32406B"/>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32406B"/>
        </w:rPr>
        <w:t>We may be subject to claims challenging the inventorship or ownership of the patents and other intellectual property that we own or license.</w:t>
      </w:r>
    </w:p>
    <w:p>
      <w:pPr>
        <w:spacing w:after="0" w:line="152"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32406B"/>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74" w:lineRule="exact"/>
        <w:rPr>
          <w:sz w:val="20"/>
          <w:szCs w:val="20"/>
          <w:color w:val="auto"/>
        </w:rPr>
      </w:pPr>
    </w:p>
    <w:p>
      <w:pPr>
        <w:ind w:left="640" w:right="140"/>
        <w:spacing w:after="0" w:line="312" w:lineRule="auto"/>
        <w:rPr>
          <w:sz w:val="20"/>
          <w:szCs w:val="20"/>
          <w:color w:val="auto"/>
        </w:rPr>
      </w:pPr>
      <w:r>
        <w:rPr>
          <w:rFonts w:ascii="Arial" w:cs="Arial" w:eastAsia="Arial" w:hAnsi="Arial"/>
          <w:sz w:val="16"/>
          <w:szCs w:val="16"/>
          <w:b w:val="1"/>
          <w:bCs w:val="1"/>
          <w:i w:val="1"/>
          <w:iCs w:val="1"/>
          <w:color w:val="32406B"/>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3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32406B"/>
        </w:rPr>
        <w:t>Some of the intellectual property rights we have licensed, including rights licensed to us by GenStem, may have been generated through the use of U.S. government and California state funding and may therefore be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45</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5" w:lineRule="auto"/>
        <w:rPr>
          <w:sz w:val="20"/>
          <w:szCs w:val="20"/>
          <w:color w:val="auto"/>
        </w:rPr>
      </w:pPr>
      <w:r>
        <w:rPr>
          <w:rFonts w:ascii="Arial" w:cs="Arial" w:eastAsia="Arial" w:hAnsi="Arial"/>
          <w:sz w:val="16"/>
          <w:szCs w:val="16"/>
          <w:color w:val="32406B"/>
        </w:rPr>
        <w:t>subject to certain federal and state laws and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32406B"/>
        </w:rPr>
        <w:t>Changes in U.S. patent law could diminish the value of patents in general, thereby impairing our ability to protect our product candidates.</w:t>
      </w:r>
    </w:p>
    <w:p>
      <w:pPr>
        <w:spacing w:after="0" w:line="14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32406B"/>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32406B"/>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46</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32406B"/>
        </w:rPr>
        <w:t>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8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32406B"/>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8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32406B"/>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5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32406B"/>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32406B"/>
        </w:rPr>
        <w:t>If we do not obtain patent term extension and data exclusivity for our product candidates, our business may be materially harmed.</w:t>
      </w:r>
    </w:p>
    <w:p>
      <w:pPr>
        <w:spacing w:after="0" w:line="12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32406B"/>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47</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32406B"/>
        </w:rPr>
        <w:t>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86"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32406B"/>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We currently do not have trademarks or trademark applications with the USPTO for the mark “AVRO” and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Intellectual property rights and regulatory exclusivity rights do not necessarily address all potential threats.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32406B"/>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60" w:right="320" w:hanging="424"/>
        <w:spacing w:after="0" w:line="277" w:lineRule="auto"/>
        <w:tabs>
          <w:tab w:leader="none" w:pos="106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others may be able to make gene therapy products that are similar to our product candidates but that are not covered by the claims of the patents that we license or may own or license in the future;</w:t>
      </w:r>
    </w:p>
    <w:p>
      <w:pPr>
        <w:spacing w:after="0" w:line="75" w:lineRule="exact"/>
        <w:rPr>
          <w:rFonts w:ascii="Arial" w:cs="Arial" w:eastAsia="Arial" w:hAnsi="Arial"/>
          <w:sz w:val="18"/>
          <w:szCs w:val="18"/>
          <w:color w:val="32406B"/>
        </w:rPr>
      </w:pPr>
    </w:p>
    <w:p>
      <w:pPr>
        <w:ind w:left="1060" w:right="20" w:hanging="424"/>
        <w:spacing w:after="0" w:line="277" w:lineRule="auto"/>
        <w:tabs>
          <w:tab w:leader="none" w:pos="106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we, our license partners or current or future collaborators, might not have been the first to make the inventions covered by the issued patents or pending patent applications that we license or may own or license in the future;</w:t>
      </w:r>
    </w:p>
    <w:p>
      <w:pPr>
        <w:spacing w:after="0" w:line="75" w:lineRule="exact"/>
        <w:rPr>
          <w:rFonts w:ascii="Arial" w:cs="Arial" w:eastAsia="Arial" w:hAnsi="Arial"/>
          <w:sz w:val="18"/>
          <w:szCs w:val="18"/>
          <w:color w:val="32406B"/>
        </w:rPr>
      </w:pPr>
    </w:p>
    <w:p>
      <w:pPr>
        <w:ind w:left="1060" w:right="120" w:hanging="424"/>
        <w:spacing w:after="0" w:line="277" w:lineRule="auto"/>
        <w:tabs>
          <w:tab w:leader="none" w:pos="106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we, our license partners or current or future collaborators, might not have been the first to file patent applications covering certain of our or their inventions;</w:t>
      </w:r>
    </w:p>
    <w:p>
      <w:pPr>
        <w:spacing w:after="0" w:line="75" w:lineRule="exact"/>
        <w:rPr>
          <w:rFonts w:ascii="Arial" w:cs="Arial" w:eastAsia="Arial" w:hAnsi="Arial"/>
          <w:sz w:val="18"/>
          <w:szCs w:val="18"/>
          <w:color w:val="32406B"/>
        </w:rPr>
      </w:pPr>
    </w:p>
    <w:p>
      <w:pPr>
        <w:ind w:left="1060" w:right="160" w:hanging="424"/>
        <w:spacing w:after="0" w:line="277" w:lineRule="auto"/>
        <w:tabs>
          <w:tab w:leader="none" w:pos="106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others may independently develop similar or alternative technologies or duplicate any of our technologies without infringing our owned or licensed intellectual property rights;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33"/>
        </w:numPr>
        <w:rPr>
          <w:rFonts w:ascii="Arial" w:cs="Arial" w:eastAsia="Arial" w:hAnsi="Arial"/>
          <w:sz w:val="16"/>
          <w:szCs w:val="16"/>
          <w:color w:val="32406B"/>
        </w:rPr>
      </w:pPr>
      <w:r>
        <w:rPr>
          <w:rFonts w:ascii="Arial" w:cs="Arial" w:eastAsia="Arial" w:hAnsi="Arial"/>
          <w:sz w:val="16"/>
          <w:szCs w:val="16"/>
          <w:color w:val="32406B"/>
        </w:rPr>
        <w:t>it is possible that our pending licensed patent applications or those that we may own or license in the future will not lead to issued patents;</w:t>
      </w:r>
    </w:p>
    <w:p>
      <w:pPr>
        <w:spacing w:after="0" w:line="153" w:lineRule="exact"/>
        <w:rPr>
          <w:rFonts w:ascii="Arial" w:cs="Arial" w:eastAsia="Arial" w:hAnsi="Arial"/>
          <w:sz w:val="16"/>
          <w:szCs w:val="16"/>
          <w:color w:val="32406B"/>
        </w:rPr>
      </w:pPr>
    </w:p>
    <w:p>
      <w:pPr>
        <w:ind w:left="1060" w:right="220" w:hanging="424"/>
        <w:spacing w:after="0" w:line="277" w:lineRule="auto"/>
        <w:tabs>
          <w:tab w:leader="none" w:pos="106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issued patents that we hold rights to or may hold rights to in the future may be held invalid or unenforceable, including as a result of legal challenges by our competitors;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one or more of our product candidates may never be protected by patents;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48</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60" w:hanging="424"/>
        <w:spacing w:after="0" w:line="308" w:lineRule="auto"/>
        <w:tabs>
          <w:tab w:leader="none" w:pos="1060" w:val="left"/>
        </w:tabs>
        <w:numPr>
          <w:ilvl w:val="0"/>
          <w:numId w:val="34"/>
        </w:numPr>
        <w:rPr>
          <w:rFonts w:ascii="Arial" w:cs="Arial" w:eastAsia="Arial" w:hAnsi="Arial"/>
          <w:sz w:val="17"/>
          <w:szCs w:val="17"/>
          <w:color w:val="32406B"/>
        </w:rPr>
      </w:pPr>
      <w:r>
        <w:rPr>
          <w:rFonts w:ascii="Arial" w:cs="Arial" w:eastAsia="Arial" w:hAnsi="Arial"/>
          <w:sz w:val="17"/>
          <w:szCs w:val="17"/>
          <w:color w:val="32406B"/>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32406B"/>
        </w:rPr>
      </w:pPr>
    </w:p>
    <w:p>
      <w:pPr>
        <w:ind w:left="1060" w:hanging="424"/>
        <w:spacing w:after="0"/>
        <w:tabs>
          <w:tab w:leader="none" w:pos="106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we may not develop additional proprietary technologies that are patentable;</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the patents of others may have an adverse effect on our business; and</w:t>
      </w:r>
    </w:p>
    <w:p>
      <w:pPr>
        <w:spacing w:after="0" w:line="130" w:lineRule="exact"/>
        <w:rPr>
          <w:rFonts w:ascii="Arial" w:cs="Arial" w:eastAsia="Arial" w:hAnsi="Arial"/>
          <w:sz w:val="18"/>
          <w:szCs w:val="18"/>
          <w:color w:val="32406B"/>
        </w:rPr>
      </w:pPr>
    </w:p>
    <w:p>
      <w:pPr>
        <w:ind w:left="1060" w:right="600" w:hanging="424"/>
        <w:spacing w:after="0" w:line="277" w:lineRule="auto"/>
        <w:tabs>
          <w:tab w:leader="none" w:pos="106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Should any of these events occur, they could significantly harm our business, financial condition, results of operations and prospects.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Risks related to this offering and ownership of our common stock</w:t>
      </w:r>
    </w:p>
    <w:p>
      <w:pPr>
        <w:spacing w:after="0" w:line="121"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32406B"/>
        </w:rPr>
        <w:t>The market price of our common stock may be highly volatile, and you may not be able to resell your shares at or above the initial public offering price.</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Our stock price is likely to be volatile.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92" w:lineRule="exact"/>
        <w:rPr>
          <w:sz w:val="20"/>
          <w:szCs w:val="20"/>
          <w:color w:val="auto"/>
        </w:rPr>
      </w:pPr>
    </w:p>
    <w:p>
      <w:pPr>
        <w:ind w:left="1060" w:hanging="424"/>
        <w:spacing w:after="0"/>
        <w:tabs>
          <w:tab w:leader="none" w:pos="10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adverse results or delays in preclinical studies or clinical trials;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reports of adverse events in other gene therapy products or clinical studies of such products;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an inability to obtain additional funding;</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failure by us to successfully develop and commercialize our product candidates;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failure by us to maintain our existing strategic collaborations or enter into new collaborations;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failure by us or our licensors and strategic partners to prosecute, maintain or enforce our intellectual property rights;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changes in laws or regulations applicable to future products;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an inability to obtain adequate product supply for our product candidates or the inability to do so at acceptable prices;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adverse regulatory decisions;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the introduction of new products, services or technologies by our competitors;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failure by us to meet or exceed financial projections we may provide to the public;</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failure by us to meet or exceed the financial projections of the investment community;</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the perception of the pharmaceutical industry by the public, legislatures, regulators and the investment community;</w:t>
      </w:r>
    </w:p>
    <w:p>
      <w:pPr>
        <w:spacing w:after="0" w:line="130" w:lineRule="exact"/>
        <w:rPr>
          <w:rFonts w:ascii="Arial" w:cs="Arial" w:eastAsia="Arial" w:hAnsi="Arial"/>
          <w:sz w:val="18"/>
          <w:szCs w:val="18"/>
          <w:color w:val="32406B"/>
        </w:rPr>
      </w:pPr>
    </w:p>
    <w:p>
      <w:pPr>
        <w:ind w:left="1060" w:right="240" w:hanging="424"/>
        <w:spacing w:after="0" w:line="277" w:lineRule="auto"/>
        <w:tabs>
          <w:tab w:leader="none" w:pos="10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announcements of significant acquisitions, strategic partnerships, joint ventures or capital commitments by us, our strategic partner or our competitors;</w:t>
      </w:r>
    </w:p>
    <w:p>
      <w:pPr>
        <w:spacing w:after="0" w:line="75" w:lineRule="exact"/>
        <w:rPr>
          <w:rFonts w:ascii="Arial" w:cs="Arial" w:eastAsia="Arial" w:hAnsi="Arial"/>
          <w:sz w:val="18"/>
          <w:szCs w:val="18"/>
          <w:color w:val="32406B"/>
        </w:rPr>
      </w:pPr>
    </w:p>
    <w:p>
      <w:pPr>
        <w:ind w:left="1060" w:right="160" w:hanging="424"/>
        <w:spacing w:after="0" w:line="277" w:lineRule="auto"/>
        <w:tabs>
          <w:tab w:leader="none" w:pos="10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additions or departures of key scientific or management personnel;</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significant lawsuits, including patent or stockholder litigation;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49</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changes in the market valuations of similar companies;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sales of our common stock by us or our stockholders in the future;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the trading volume of our common stock.</w:t>
      </w:r>
    </w:p>
    <w:p>
      <w:pPr>
        <w:spacing w:after="0" w:line="225"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32406B"/>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We could be subject to securities class action litigation.</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32406B"/>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An active trading market for our common stock may not develop.</w:t>
      </w:r>
    </w:p>
    <w:p>
      <w:pPr>
        <w:spacing w:after="0" w:line="11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32406B"/>
        </w:rPr>
        <w:t>Prior to this offering, there has been no public market for our common stock. The initial public offering price for our common stock will be determined through negotiations with the underwriters. Although we have been approved to list our common stock on The Nasdaq Global Select Market, an active trading market for our shares may never develop or be sustained following this offering. If an active market for our common stock does not develop or is not sustained, it may be difficult for you to sell shares you purchase in this offering without depressing the market price for the shares, or at all.</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32406B"/>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9"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32406B"/>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The trading market for our common stock will likely depend in part on the research and reports that securities or industry analysts publish about us or our business. We do not have any control over these analysts. We do not currently have research coverage, and there can be no assurance that analysts will cover us, or provide favorable coverage. Securities or industry analysts may elect not to provide research coverage of our common stock after this offering, and such lack of research coverage may negatively impact the market price of our common stock. In the event we do have analyst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97"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32406B"/>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Our executive officers, directors, five percent stockholders and their affiliates beneficially own approximately 79.20% of our voting stock and, upon closing of this offering, that same group will beneficially own approximately 61.30% of our outstanding voting stock not accounting for any shares purchased in this offering by certain of our existing stockholders, including certain affiliates of our directors, who have agreed to purchase an aggregate of approximately $23 million of our common stock in this offering. As a result, if these stockholders were to act together, they would be able to control all matters submitted to our stockholders for approval, as well as our management and affair. For example, these stockholders, acting together, may be able to</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50</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32406B"/>
        </w:rPr>
        <w:t>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price at which shares are being 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301"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32406B"/>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32406B"/>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83" w:lineRule="exact"/>
        <w:rPr>
          <w:sz w:val="20"/>
          <w:szCs w:val="20"/>
          <w:color w:val="auto"/>
        </w:rPr>
      </w:pPr>
    </w:p>
    <w:p>
      <w:pPr>
        <w:ind w:left="1060" w:hanging="424"/>
        <w:spacing w:after="0"/>
        <w:tabs>
          <w:tab w:leader="none" w:pos="1060" w:val="left"/>
        </w:tabs>
        <w:numPr>
          <w:ilvl w:val="0"/>
          <w:numId w:val="37"/>
        </w:numPr>
        <w:rPr>
          <w:rFonts w:ascii="Arial" w:cs="Arial" w:eastAsia="Arial" w:hAnsi="Arial"/>
          <w:sz w:val="17"/>
          <w:szCs w:val="17"/>
          <w:color w:val="32406B"/>
        </w:rPr>
      </w:pPr>
      <w:r>
        <w:rPr>
          <w:rFonts w:ascii="Arial" w:cs="Arial" w:eastAsia="Arial" w:hAnsi="Arial"/>
          <w:sz w:val="17"/>
          <w:szCs w:val="17"/>
          <w:color w:val="32406B"/>
        </w:rPr>
        <w:t>not being required to comply with the auditor attestation requirements of Section 404 of the Sarbanes-Oxley Act, or Section 404;</w:t>
      </w:r>
    </w:p>
    <w:p>
      <w:pPr>
        <w:spacing w:after="0" w:line="142" w:lineRule="exact"/>
        <w:rPr>
          <w:rFonts w:ascii="Arial" w:cs="Arial" w:eastAsia="Arial" w:hAnsi="Arial"/>
          <w:sz w:val="17"/>
          <w:szCs w:val="17"/>
          <w:color w:val="32406B"/>
        </w:rPr>
      </w:pPr>
    </w:p>
    <w:p>
      <w:pPr>
        <w:ind w:left="1060" w:right="340" w:hanging="424"/>
        <w:spacing w:after="0" w:line="264" w:lineRule="auto"/>
        <w:tabs>
          <w:tab w:leader="none" w:pos="106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32406B"/>
        </w:rPr>
      </w:pPr>
    </w:p>
    <w:p>
      <w:pPr>
        <w:ind w:left="1060" w:hanging="424"/>
        <w:spacing w:after="0" w:line="342" w:lineRule="auto"/>
        <w:tabs>
          <w:tab w:leader="none" w:pos="1060" w:val="left"/>
        </w:tabs>
        <w:numPr>
          <w:ilvl w:val="0"/>
          <w:numId w:val="37"/>
        </w:numPr>
        <w:rPr>
          <w:rFonts w:ascii="Arial" w:cs="Arial" w:eastAsia="Arial" w:hAnsi="Arial"/>
          <w:sz w:val="16"/>
          <w:szCs w:val="16"/>
          <w:color w:val="32406B"/>
        </w:rPr>
      </w:pPr>
      <w:r>
        <w:rPr>
          <w:rFonts w:ascii="Arial" w:cs="Arial" w:eastAsia="Arial" w:hAnsi="Arial"/>
          <w:sz w:val="16"/>
          <w:szCs w:val="16"/>
          <w:color w:val="32406B"/>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9" w:lineRule="exact"/>
        <w:rPr>
          <w:rFonts w:ascii="Arial" w:cs="Arial" w:eastAsia="Arial" w:hAnsi="Arial"/>
          <w:sz w:val="16"/>
          <w:szCs w:val="16"/>
          <w:color w:val="32406B"/>
        </w:rPr>
      </w:pPr>
    </w:p>
    <w:p>
      <w:pPr>
        <w:ind w:left="1060" w:hanging="424"/>
        <w:spacing w:after="0"/>
        <w:tabs>
          <w:tab w:leader="none" w:pos="106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reduced disclosure obligations regarding executive compensation;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7"/>
        </w:numPr>
        <w:rPr>
          <w:rFonts w:ascii="Arial" w:cs="Arial" w:eastAsia="Arial" w:hAnsi="Arial"/>
          <w:sz w:val="17"/>
          <w:szCs w:val="17"/>
          <w:color w:val="32406B"/>
        </w:rPr>
      </w:pPr>
      <w:r>
        <w:rPr>
          <w:rFonts w:ascii="Arial" w:cs="Arial" w:eastAsia="Arial" w:hAnsi="Arial"/>
          <w:sz w:val="17"/>
          <w:szCs w:val="17"/>
          <w:color w:val="32406B"/>
        </w:rPr>
        <w:t>an exemption from the requirement to seek nonbinding advisory votes on executive compensation or golden parachute arrangements.</w:t>
      </w:r>
    </w:p>
    <w:p>
      <w:pPr>
        <w:spacing w:after="0" w:line="237" w:lineRule="exact"/>
        <w:rPr>
          <w:sz w:val="20"/>
          <w:szCs w:val="20"/>
          <w:color w:val="auto"/>
        </w:rPr>
      </w:pPr>
    </w:p>
    <w:p>
      <w:pPr>
        <w:jc w:val="both"/>
        <w:ind w:left="200" w:right="40" w:firstLine="441"/>
        <w:spacing w:after="0" w:line="302" w:lineRule="auto"/>
        <w:rPr>
          <w:sz w:val="20"/>
          <w:szCs w:val="20"/>
          <w:color w:val="auto"/>
        </w:rPr>
      </w:pPr>
      <w:r>
        <w:rPr>
          <w:rFonts w:ascii="Arial" w:cs="Arial" w:eastAsia="Arial" w:hAnsi="Arial"/>
          <w:sz w:val="16"/>
          <w:szCs w:val="16"/>
          <w:color w:val="32406B"/>
        </w:rPr>
        <w:t>We may choose to take advantage of some, but not all, of the available exemptions. We have taken advantage of reduced reporting burdens in this prospectus.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54"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32406B"/>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280"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32406B"/>
        </w:rPr>
        <w:t>We will incur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32406B"/>
        </w:rPr>
        <w:t>As a public company, and particularly after we are no longer an EGC, we will incur significant legal, accounting and other expenses that we did not incur as a private company. In addition, the Sarbanes-Oxley Act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51</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32406B"/>
        </w:rPr>
        <w:t>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73"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32406B"/>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91" w:lineRule="exact"/>
        <w:rPr>
          <w:sz w:val="20"/>
          <w:szCs w:val="20"/>
          <w:color w:val="auto"/>
        </w:rPr>
      </w:pPr>
    </w:p>
    <w:p>
      <w:pPr>
        <w:jc w:val="both"/>
        <w:ind w:left="640" w:right="280"/>
        <w:spacing w:after="0" w:line="264" w:lineRule="auto"/>
        <w:rPr>
          <w:sz w:val="20"/>
          <w:szCs w:val="20"/>
          <w:color w:val="auto"/>
        </w:rPr>
      </w:pPr>
      <w:r>
        <w:rPr>
          <w:rFonts w:ascii="Arial" w:cs="Arial" w:eastAsia="Arial" w:hAnsi="Arial"/>
          <w:sz w:val="18"/>
          <w:szCs w:val="18"/>
          <w:b w:val="1"/>
          <w:bCs w:val="1"/>
          <w:i w:val="1"/>
          <w:iCs w:val="1"/>
          <w:color w:val="32406B"/>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78"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32406B"/>
        </w:rPr>
        <w:t>We will be required to disclose changes made in our internal controls and procedures on a quarterly basis and our management will be required to assess the effectiveness of these controls annually. However, for as long as we are an EGC, our independent registered public accounting firm will not be required to attest to the effectiveness of our internal controls over financial reporting pursuant to Section 404. We could be an EGC for up to five years.</w:t>
      </w:r>
    </w:p>
    <w:p>
      <w:pPr>
        <w:ind w:left="200" w:right="280"/>
        <w:spacing w:after="0" w:line="255" w:lineRule="auto"/>
        <w:rPr>
          <w:sz w:val="20"/>
          <w:szCs w:val="20"/>
          <w:color w:val="auto"/>
        </w:rPr>
      </w:pPr>
      <w:r>
        <w:rPr>
          <w:rFonts w:ascii="Arial" w:cs="Arial" w:eastAsia="Arial" w:hAnsi="Arial"/>
          <w:sz w:val="18"/>
          <w:szCs w:val="18"/>
          <w:color w:val="32406B"/>
        </w:rPr>
        <w:t>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52</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00"/>
        <w:spacing w:after="0" w:line="279" w:lineRule="auto"/>
        <w:rPr>
          <w:sz w:val="20"/>
          <w:szCs w:val="20"/>
          <w:color w:val="auto"/>
        </w:rPr>
      </w:pPr>
      <w:r>
        <w:rPr>
          <w:rFonts w:ascii="Arial" w:cs="Arial" w:eastAsia="Arial" w:hAnsi="Arial"/>
          <w:sz w:val="17"/>
          <w:szCs w:val="17"/>
          <w:b w:val="1"/>
          <w:bCs w:val="1"/>
          <w:i w:val="1"/>
          <w:iCs w:val="1"/>
          <w:color w:val="32406B"/>
        </w:rPr>
        <w:t>We and our independent registered public accounting firm have identified material weaknesses in our internal control over financial reporting.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63"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32406B"/>
        </w:rPr>
        <w:t>In connection with the audit of our consolidated financial statements for the years ended December 31, 2016 and 2017, we and our independent registered public accounting firm identified material weaknesses in our internal control over financial reporting related to deficiencies in our controls over the financial statement close and cash disbursement processes. Specifically, there was a lack of controls over the identification and review of complex accounting issues involving significant judgment or estimates as well as the cutoff and classification of certain expenses between general and administrative and research and development. In addition, our internal controls related to the cash disbursements process were not adequately designed to identify unauthorized payment requests. Specifically, in 2017 we were subject to a cyberattack by a third party. This deficiency in our controls resulted in the theft of a portion of our funds.</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32406B"/>
        </w:rPr>
        <w:t>We are implementing measures designed to improve our internal control over financial reporting to remediate these material weaknesses, including formalizing our processes and internal control documentation and strengthening supervisory reviews by our financial management; hiring additional qualified accounting and finance personnel and engaging financial consultants to enable the implementation of internal control over financial reporting and segregating duties amongst accounting and finance personnel; and planning to implement certain accounting systems to automate manual processes, such as tracking and accounting for stock-based awards.</w:t>
      </w:r>
    </w:p>
    <w:p>
      <w:pPr>
        <w:spacing w:after="0" w:line="1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We expect to incur additional costs to remediate these control deficiencies, though there can be no assurance that our efforts will be successful or avoid potential future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Securities and Exchange Commission, or SEC, or other regulatory authorities.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Our disclosure controls and procedures may not prevent or detect all errors or acts of fraud.</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32406B"/>
        </w:rPr>
        <w:t>Upon completion of this offering, we will become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32406B"/>
        </w:rPr>
        <w:t>If you purchase our common stock in this offering, you will incur immediate and substantial dilution in the book value of your shares.</w:t>
      </w:r>
    </w:p>
    <w:p>
      <w:pPr>
        <w:spacing w:after="0" w:line="14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32406B"/>
        </w:rPr>
        <w:t>Investors purchasing shares of common stock in this offering will pay a price per share that substantially exceeds the pro forma book value per share of our tangible assets after subtracting our liabilities. As a result,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53</w:t>
      </w:r>
    </w:p>
    <w:p>
      <w:pPr>
        <w:sectPr>
          <w:pgSz w:w="11900" w:h="16838" w:orient="portrait"/>
          <w:cols w:equalWidth="0" w:num="1">
            <w:col w:w="11160"/>
          </w:cols>
          <w:pgMar w:left="24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32406B"/>
        </w:rPr>
        <w:t>investors purchasing shares of common stock in this offering will incur immediate dilution of $12.80 per share, based on the initial public offering price of $19.00 per share, after deducting underwriting discounts and commissions and estimated offering expenses payable by us, and our pro forma net tangible book value as of March 31, 2018. Further, investors purchasing shares of common stock in this offering will contribute approximately 53.1% of the total amount invested by stockholders since our inception, but will own only approximately 22.7% of the shares of common stock outstanding. For information on how the foregoing amounts were calculated, see “Dilution.”</w:t>
      </w:r>
    </w:p>
    <w:p>
      <w:pPr>
        <w:spacing w:after="0" w:line="296"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b w:val="1"/>
          <w:bCs w:val="1"/>
          <w:i w:val="1"/>
          <w:iCs w:val="1"/>
          <w:color w:val="32406B"/>
        </w:rPr>
        <w:t>A significant portion of our total outstanding shares are restricted from immediate resale but may be sold into the market in the near future, which could cause the market price of our common stock to drop significantly.</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32406B"/>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After this offering, we will have outstanding 23,149,645 shares of common stock based on the number of shares outstanding as of March 31, 2018 assuming the conversion of our preferred stock upon the closing of this offering, (or 23,936,838 shares if the underwriters exercise their option to purchase additional shares in full). This includes the 5,247,958 shares that we are selling in this offering (or 6,035,151 shares if the underwriters exercise their option to purchase additional shares in full), which may be resold in the public market immediately without restriction, unless purchased by our affiliates. The remaining 17,901,687 shares currently are restricted as a result of securities laws or lock-up agreements but will be able to be sold after the offering as described in the “Shares eligible for future sale” and “Underwriters” sections of this prospectus. Moreover, after this offering, holders of an aggregate of approximately 15.3 million shares of our common stock will have rights, subject to certain conditions, to require us to file registration statements covering their shares or to include their shares in registration statements that we may file for ourselves or other stockholders. In addition, 1,788,750 shares reserved for issuance upon the exercise of existing stock options outstanding as of March 31, 2018 under our current equity incentive plan will become eligible for sale in the public market in the future, subject to certain legal and contractual limitations. We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“Underwriters” section of this prospectus.</w:t>
      </w:r>
    </w:p>
    <w:p>
      <w:pPr>
        <w:spacing w:after="0" w:line="183"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32406B"/>
        </w:rPr>
        <w:t>In addition, Morgan Stanley &amp; Co. LLC and Cowen and Company, LLC may, in their sole discretion, release all or some portion of the shares subject to lock-up agreements at any time and for any reason.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We have broad discretion in the use of the net proceeds from this offering and may not use them effectively.</w:t>
      </w:r>
    </w:p>
    <w:p>
      <w:pPr>
        <w:spacing w:after="0" w:line="117"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32406B"/>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54</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We do not intend to pay dividends on our common stock so any returns will be limited to the value of our stock.</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loan and security agreement with Silicon Valley Bank restricts our ability to pay any dividends or making any distributions on account of our capital stock. As a result, capital appreciation, if any, of our common stock will be your sole source of gain for the foreseeable future.</w:t>
      </w:r>
    </w:p>
    <w:p>
      <w:pPr>
        <w:spacing w:after="0" w:line="296" w:lineRule="exact"/>
        <w:rPr>
          <w:sz w:val="20"/>
          <w:szCs w:val="20"/>
          <w:color w:val="auto"/>
        </w:rPr>
      </w:pPr>
    </w:p>
    <w:p>
      <w:pPr>
        <w:ind w:left="640" w:right="240"/>
        <w:spacing w:after="0" w:line="264" w:lineRule="auto"/>
        <w:rPr>
          <w:sz w:val="20"/>
          <w:szCs w:val="20"/>
          <w:color w:val="auto"/>
        </w:rPr>
      </w:pPr>
      <w:r>
        <w:rPr>
          <w:rFonts w:ascii="Arial" w:cs="Arial" w:eastAsia="Arial" w:hAnsi="Arial"/>
          <w:sz w:val="18"/>
          <w:szCs w:val="18"/>
          <w:b w:val="1"/>
          <w:bCs w:val="1"/>
          <w:i w:val="1"/>
          <w:iCs w:val="1"/>
          <w:color w:val="32406B"/>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32406B"/>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which will become effective upon the closing of this offering, include provisions that:</w:t>
      </w:r>
    </w:p>
    <w:p>
      <w:pPr>
        <w:spacing w:after="0" w:line="87" w:lineRule="exact"/>
        <w:rPr>
          <w:sz w:val="20"/>
          <w:szCs w:val="20"/>
          <w:color w:val="auto"/>
        </w:rPr>
      </w:pPr>
    </w:p>
    <w:p>
      <w:pPr>
        <w:ind w:left="1060" w:right="340" w:hanging="424"/>
        <w:spacing w:after="0" w:line="277" w:lineRule="auto"/>
        <w:tabs>
          <w:tab w:leader="none" w:pos="106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authorize “blank check” preferred stock, which could be issued by our board of directors without stockholder approval and may contain voting, liquidation, dividend and other rights superior to our common stock;</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create a classified board of directors whose members serve staggered three-year terms;</w:t>
      </w:r>
    </w:p>
    <w:p>
      <w:pPr>
        <w:spacing w:after="0" w:line="130" w:lineRule="exact"/>
        <w:rPr>
          <w:rFonts w:ascii="Arial" w:cs="Arial" w:eastAsia="Arial" w:hAnsi="Arial"/>
          <w:sz w:val="18"/>
          <w:szCs w:val="18"/>
          <w:color w:val="32406B"/>
        </w:rPr>
      </w:pPr>
    </w:p>
    <w:p>
      <w:pPr>
        <w:ind w:left="1060" w:right="80" w:hanging="424"/>
        <w:spacing w:after="0" w:line="277" w:lineRule="auto"/>
        <w:tabs>
          <w:tab w:leader="none" w:pos="106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specify that special meetings of our stockholders can be called only by our board of directors, the chairperson of our board of directors, our chief executive officer or our president;</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prohibit stockholder action by written consent;</w:t>
      </w:r>
    </w:p>
    <w:p>
      <w:pPr>
        <w:spacing w:after="0" w:line="130" w:lineRule="exact"/>
        <w:rPr>
          <w:rFonts w:ascii="Arial" w:cs="Arial" w:eastAsia="Arial" w:hAnsi="Arial"/>
          <w:sz w:val="18"/>
          <w:szCs w:val="18"/>
          <w:color w:val="32406B"/>
        </w:rPr>
      </w:pPr>
    </w:p>
    <w:p>
      <w:pPr>
        <w:ind w:left="1060" w:right="420" w:hanging="424"/>
        <w:spacing w:after="0" w:line="277" w:lineRule="auto"/>
        <w:tabs>
          <w:tab w:leader="none" w:pos="106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provide that our directors may be removed only for cause;</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8"/>
        </w:numPr>
        <w:rPr>
          <w:rFonts w:ascii="Arial" w:cs="Arial" w:eastAsia="Arial" w:hAnsi="Arial"/>
          <w:sz w:val="16"/>
          <w:szCs w:val="16"/>
          <w:color w:val="32406B"/>
        </w:rPr>
      </w:pPr>
      <w:r>
        <w:rPr>
          <w:rFonts w:ascii="Arial" w:cs="Arial" w:eastAsia="Arial" w:hAnsi="Arial"/>
          <w:sz w:val="16"/>
          <w:szCs w:val="16"/>
          <w:color w:val="32406B"/>
        </w:rPr>
        <w:t>provide that vacancies on our board of directors may be filled only by a majority of directors then in office, even though less than a quorum;</w:t>
      </w:r>
    </w:p>
    <w:p>
      <w:pPr>
        <w:spacing w:after="0" w:line="153" w:lineRule="exact"/>
        <w:rPr>
          <w:rFonts w:ascii="Arial" w:cs="Arial" w:eastAsia="Arial" w:hAnsi="Arial"/>
          <w:sz w:val="16"/>
          <w:szCs w:val="16"/>
          <w:color w:val="32406B"/>
        </w:rPr>
      </w:pPr>
    </w:p>
    <w:p>
      <w:pPr>
        <w:ind w:left="1060" w:hanging="424"/>
        <w:spacing w:after="0"/>
        <w:tabs>
          <w:tab w:leader="none" w:pos="106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specify that no stockholder is permitted to cumulate votes at any election of directors;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expressly authorize our board of directors to modify, alter or repeal our amended and restated by-laws; and</w:t>
      </w:r>
    </w:p>
    <w:p>
      <w:pPr>
        <w:spacing w:after="0" w:line="130" w:lineRule="exact"/>
        <w:rPr>
          <w:rFonts w:ascii="Arial" w:cs="Arial" w:eastAsia="Arial" w:hAnsi="Arial"/>
          <w:sz w:val="18"/>
          <w:szCs w:val="18"/>
          <w:color w:val="32406B"/>
        </w:rPr>
      </w:pPr>
    </w:p>
    <w:p>
      <w:pPr>
        <w:ind w:left="1060" w:right="280" w:hanging="424"/>
        <w:spacing w:after="0" w:line="277" w:lineRule="auto"/>
        <w:tabs>
          <w:tab w:leader="none" w:pos="106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require supermajority votes of the holders of our common stock to amend specified provisions of our amended and restated certificate of incorporation and amended and restated by-laws.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These provisions, alone or together, could delay or prevent hostile takeovers and changes in control or changes in our management.</w:t>
      </w:r>
    </w:p>
    <w:p>
      <w:pPr>
        <w:spacing w:after="0" w:line="237"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32406B"/>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24"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32406B"/>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55</w:t>
      </w:r>
    </w:p>
    <w:p>
      <w:pPr>
        <w:sectPr>
          <w:pgSz w:w="11900" w:h="16838" w:orient="portrait"/>
          <w:cols w:equalWidth="0" w:num="1">
            <w:col w:w="11180"/>
          </w:cols>
          <w:pgMar w:left="24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spacing w:after="0" w:line="342" w:lineRule="auto"/>
        <w:rPr>
          <w:sz w:val="20"/>
          <w:szCs w:val="20"/>
          <w:color w:val="auto"/>
        </w:rPr>
      </w:pPr>
      <w:r>
        <w:rPr>
          <w:rFonts w:ascii="Arial" w:cs="Arial" w:eastAsia="Arial" w:hAnsi="Arial"/>
          <w:sz w:val="16"/>
          <w:szCs w:val="16"/>
          <w:b w:val="1"/>
          <w:bCs w:val="1"/>
          <w:i w:val="1"/>
          <w:iCs w:val="1"/>
          <w:color w:val="32406B"/>
        </w:rPr>
        <w:t>Our amended and restated bylaws limit the exclusive forum for certain litigation that may be initiated by our stockholders, which could limit our stockholders’ ability to obtain a favorable judicial forum for disputes with us or our directors, officers or employees.</w:t>
      </w:r>
    </w:p>
    <w:p>
      <w:pPr>
        <w:spacing w:after="0" w:line="16"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32406B"/>
        </w:rPr>
        <w:t>Our amended and restated bylaws provide that the Court of Chancery of the State of Delaware is the exclusive forum for (i) any derivative action or proceeding brought on our behalf, (ii) any action asserting a claim of breach of or based on a fiduciary duty owed by any of our current or former directors, officers or other employee to us or our stockholders, (iii) any action asserting a claim against us or any of our current or former directors, officers, employees or stockholders arising pursuant to any provision of the Delaware General Corporation Law, our certificate of incorporation or bylaws or (iv) any action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an adverse effect on our business, financial condition or results of operations. In addition, our amended and restated bylaws contain a provision by virtue of which unless we consent in writing to the selection of an alternative forum, the United States District Court for the District of Massachusetts will be the exclusive forum for any complaint asserting a cause of action arising under the Securities Act. We have chosen the United States Court for the District of Massachusetts as the exclusive forum for such causes of action because our principal executive offices are located in Cambridge, Massachusetts. The U.S. District Court in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In addition, some companies that have adopted similar federal district court forum selection provisions are currently subject to a suit in the Court of Chancery of the State of Delaware brought by stockholders who assert that the federal district court forum selection provision is not enforceable. We recognize that the federal district court forum selection clause may impose additional litigation costs on stockholders who assert the provision is not enforceable and may impose more general additional litigation costs in pursuing any such claims, particularly if the stockholders do not reside in or near the Commonwealth of Massachusetts. See “Description of Capital Stock—Choice of Forum.”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56</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SPECIAL NOTE REGARDING FORWARD-LOOKING STATEMENTS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This prospectus, including the sections entitled “Prospectus Summary,” “Risk Factors,” “Management’s Discussion and Analysis of Financial Condition and Results of Operations” and “Business,”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p>
    <w:p>
      <w:pPr>
        <w:spacing w:after="0" w:line="83" w:lineRule="exact"/>
        <w:rPr>
          <w:sz w:val="20"/>
          <w:szCs w:val="20"/>
          <w:color w:val="auto"/>
        </w:rPr>
      </w:pPr>
    </w:p>
    <w:p>
      <w:pPr>
        <w:ind w:left="1060" w:right="40" w:hanging="424"/>
        <w:spacing w:after="0" w:line="264" w:lineRule="auto"/>
        <w:tabs>
          <w:tab w:leader="none" w:pos="106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6" w:lineRule="exact"/>
        <w:rPr>
          <w:rFonts w:ascii="Arial" w:cs="Arial" w:eastAsia="Arial" w:hAnsi="Arial"/>
          <w:sz w:val="18"/>
          <w:szCs w:val="18"/>
          <w:color w:val="32406B"/>
        </w:rPr>
      </w:pPr>
    </w:p>
    <w:p>
      <w:pPr>
        <w:ind w:left="1060" w:hanging="424"/>
        <w:spacing w:after="0"/>
        <w:tabs>
          <w:tab w:leader="none" w:pos="106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the timing, scope or likelihood of regulatory filings and approvals;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ability to develop and advance product candidates into, and successfully complete, clinical studies;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32406B"/>
        </w:rPr>
      </w:pPr>
    </w:p>
    <w:p>
      <w:pPr>
        <w:ind w:left="1060" w:right="560" w:hanging="424"/>
        <w:spacing w:after="0" w:line="277" w:lineRule="auto"/>
        <w:tabs>
          <w:tab w:leader="none" w:pos="106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the implementation of our business model and our strategic plans for our business, product candidates and technology, including our transition to LV2 and our use of a milder conditioning regimen;</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commercialization, marketing and manufacturing capabilities and strategy;</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the pricing and reimbursement of our product candidates, if approved;</w:t>
      </w:r>
    </w:p>
    <w:p>
      <w:pPr>
        <w:spacing w:after="0" w:line="130" w:lineRule="exact"/>
        <w:rPr>
          <w:rFonts w:ascii="Arial" w:cs="Arial" w:eastAsia="Arial" w:hAnsi="Arial"/>
          <w:sz w:val="18"/>
          <w:szCs w:val="18"/>
          <w:color w:val="32406B"/>
        </w:rPr>
      </w:pPr>
    </w:p>
    <w:p>
      <w:pPr>
        <w:ind w:left="1060" w:right="200" w:hanging="424"/>
        <w:spacing w:after="0" w:line="277" w:lineRule="auto"/>
        <w:tabs>
          <w:tab w:leader="none" w:pos="106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the scalability and commercial viability of our manufacturing methods and processes, including our plans to move to a closed, automated system;</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39"/>
        </w:numPr>
        <w:rPr>
          <w:rFonts w:ascii="Arial" w:cs="Arial" w:eastAsia="Arial" w:hAnsi="Arial"/>
          <w:sz w:val="17"/>
          <w:szCs w:val="17"/>
          <w:color w:val="32406B"/>
        </w:rPr>
      </w:pPr>
      <w:r>
        <w:rPr>
          <w:rFonts w:ascii="Arial" w:cs="Arial" w:eastAsia="Arial" w:hAnsi="Arial"/>
          <w:sz w:val="17"/>
          <w:szCs w:val="17"/>
          <w:color w:val="32406B"/>
        </w:rPr>
        <w:t>the rate and degree of market acceptance and clinical utility of our product candidates, in particular, and gene therapy, in general;</w:t>
      </w:r>
    </w:p>
    <w:p>
      <w:pPr>
        <w:spacing w:after="0" w:line="142" w:lineRule="exact"/>
        <w:rPr>
          <w:rFonts w:ascii="Arial" w:cs="Arial" w:eastAsia="Arial" w:hAnsi="Arial"/>
          <w:sz w:val="17"/>
          <w:szCs w:val="17"/>
          <w:color w:val="32406B"/>
        </w:rPr>
      </w:pPr>
    </w:p>
    <w:p>
      <w:pPr>
        <w:ind w:left="1060" w:hanging="424"/>
        <w:spacing w:after="0"/>
        <w:tabs>
          <w:tab w:leader="none" w:pos="106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ability to establish or maintain collaborations or strategic relationships or obtain additional funding;</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competitive position;</w:t>
      </w:r>
    </w:p>
    <w:p>
      <w:pPr>
        <w:spacing w:after="0" w:line="130" w:lineRule="exact"/>
        <w:rPr>
          <w:rFonts w:ascii="Arial" w:cs="Arial" w:eastAsia="Arial" w:hAnsi="Arial"/>
          <w:sz w:val="18"/>
          <w:szCs w:val="18"/>
          <w:color w:val="32406B"/>
        </w:rPr>
      </w:pPr>
    </w:p>
    <w:p>
      <w:pPr>
        <w:ind w:left="1060" w:right="500" w:hanging="424"/>
        <w:spacing w:after="0" w:line="277" w:lineRule="auto"/>
        <w:tabs>
          <w:tab w:leader="none" w:pos="106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the scope of protection we and/or our licensors are able to establish and maintain for intellectual property rights covering our product candidates;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developments and projections relating to our competitors and our industry;</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expectations related to the use of proceeds from this offering;</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estimates regarding expenses, future revenue, capital requirements and needs for additional financing;</w:t>
      </w:r>
    </w:p>
    <w:p>
      <w:pPr>
        <w:spacing w:after="0" w:line="130" w:lineRule="exact"/>
        <w:rPr>
          <w:rFonts w:ascii="Arial" w:cs="Arial" w:eastAsia="Arial" w:hAnsi="Arial"/>
          <w:sz w:val="18"/>
          <w:szCs w:val="18"/>
          <w:color w:val="32406B"/>
        </w:rPr>
      </w:pPr>
    </w:p>
    <w:p>
      <w:pPr>
        <w:ind w:left="1060" w:right="320" w:hanging="424"/>
        <w:spacing w:after="0" w:line="277" w:lineRule="auto"/>
        <w:tabs>
          <w:tab w:leader="none" w:pos="106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ability to remediate the material weaknesses that we and our independent registered public accounting firm identified and avoid any findings of material weaknesses or significant deficiencies in the future;</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the impact of laws and regulations;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expectations regarding the time during which we will be an emerging growth company under the JOBS Act;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other risks and uncertainties, including those listed under the caption “Risk Factors”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57</w:t>
      </w:r>
    </w:p>
    <w:p>
      <w:pPr>
        <w:sectPr>
          <w:pgSz w:w="11900" w:h="16838" w:orient="portrait"/>
          <w:cols w:equalWidth="0" w:num="1">
            <w:col w:w="11160"/>
          </w:cols>
          <w:pgMar w:left="24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32406B"/>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Securities and Exchange Commission as exhibits to the registration statement, of which this prospectus is a part, completely and with the understanding that our actual future results may be materially different from any future results expressed or implied by these forward-looking statements.</w:t>
      </w:r>
    </w:p>
    <w:p>
      <w:pPr>
        <w:spacing w:after="0" w:line="169" w:lineRule="exact"/>
        <w:rPr>
          <w:sz w:val="20"/>
          <w:szCs w:val="20"/>
          <w:color w:val="auto"/>
        </w:rPr>
      </w:pPr>
    </w:p>
    <w:p>
      <w:pPr>
        <w:jc w:val="both"/>
        <w:ind w:left="200" w:right="40" w:firstLine="441"/>
        <w:spacing w:after="0" w:line="279" w:lineRule="auto"/>
        <w:rPr>
          <w:sz w:val="20"/>
          <w:szCs w:val="20"/>
          <w:color w:val="auto"/>
        </w:rPr>
      </w:pPr>
      <w:r>
        <w:rPr>
          <w:rFonts w:ascii="Arial" w:cs="Arial" w:eastAsia="Arial" w:hAnsi="Arial"/>
          <w:sz w:val="17"/>
          <w:szCs w:val="17"/>
          <w:color w:val="32406B"/>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58</w:t>
      </w:r>
    </w:p>
    <w:p>
      <w:pPr>
        <w:sectPr>
          <w:pgSz w:w="11900" w:h="16838" w:orient="portrait"/>
          <w:cols w:equalWidth="0" w:num="1">
            <w:col w:w="11180"/>
          </w:cols>
          <w:pgMar w:left="24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USE OF PROCEEDS</w:t>
      </w:r>
    </w:p>
    <w:p>
      <w:pPr>
        <w:spacing w:after="0" w:line="229"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32406B"/>
        </w:rPr>
        <w:t>We estimate that the net proceeds from our issuance and sale of common stock in this offering will be approximately $90.5 million, or approximately $104.4 million if the underwriters exercise their over-allotment option in full, based upon the initial public offering price of $19.00 per share, after deducting underwriting discounts and commissions and estimated offering expenses payable by us.</w:t>
      </w:r>
    </w:p>
    <w:p>
      <w:pPr>
        <w:spacing w:after="0" w:line="166"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32406B"/>
        </w:rPr>
        <w:t>We currently estimate that we will use the net proceeds from this offering, together with our existing cash and cash equivalents of $57.9 million as of March 31, 2018, as follows:</w:t>
      </w:r>
    </w:p>
    <w:p>
      <w:pPr>
        <w:spacing w:after="0" w:line="76" w:lineRule="exact"/>
        <w:rPr>
          <w:sz w:val="20"/>
          <w:szCs w:val="20"/>
          <w:color w:val="auto"/>
        </w:rPr>
      </w:pPr>
    </w:p>
    <w:p>
      <w:pPr>
        <w:ind w:left="1060" w:hanging="424"/>
        <w:spacing w:after="0" w:line="277" w:lineRule="auto"/>
        <w:tabs>
          <w:tab w:leader="none" w:pos="106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approximately $13.4 million to fund expenses for our lead product candidate, AVR-RD-01, for the treatment of Fabry disease in our ongoing Phase 2 clinical trial and to support the ongoing investigator-sponsored Phase 1 clinical trial;</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40"/>
        </w:numPr>
        <w:rPr>
          <w:rFonts w:ascii="Arial" w:cs="Arial" w:eastAsia="Arial" w:hAnsi="Arial"/>
          <w:sz w:val="16"/>
          <w:szCs w:val="16"/>
          <w:color w:val="32406B"/>
        </w:rPr>
      </w:pPr>
      <w:r>
        <w:rPr>
          <w:rFonts w:ascii="Arial" w:cs="Arial" w:eastAsia="Arial" w:hAnsi="Arial"/>
          <w:sz w:val="16"/>
          <w:szCs w:val="16"/>
          <w:color w:val="32406B"/>
        </w:rPr>
        <w:t>approximately $12.9 million to fund expenses to advance AVR-RD-02 for the treatment of Gaucher disease into Phase 1/2 clinical trials;</w:t>
      </w:r>
    </w:p>
    <w:p>
      <w:pPr>
        <w:spacing w:after="0" w:line="153" w:lineRule="exact"/>
        <w:rPr>
          <w:rFonts w:ascii="Arial" w:cs="Arial" w:eastAsia="Arial" w:hAnsi="Arial"/>
          <w:sz w:val="16"/>
          <w:szCs w:val="16"/>
          <w:color w:val="32406B"/>
        </w:rPr>
      </w:pPr>
    </w:p>
    <w:p>
      <w:pPr>
        <w:ind w:left="1060" w:hanging="424"/>
        <w:spacing w:after="0"/>
        <w:tabs>
          <w:tab w:leader="none" w:pos="106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approximately $3.2 million to fund expenses to advance AVR-RD-03 for Pompe disease further into preclinical development;</w:t>
      </w:r>
    </w:p>
    <w:p>
      <w:pPr>
        <w:spacing w:after="0" w:line="130" w:lineRule="exact"/>
        <w:rPr>
          <w:rFonts w:ascii="Arial" w:cs="Arial" w:eastAsia="Arial" w:hAnsi="Arial"/>
          <w:sz w:val="18"/>
          <w:szCs w:val="18"/>
          <w:color w:val="32406B"/>
        </w:rPr>
      </w:pPr>
    </w:p>
    <w:p>
      <w:pPr>
        <w:ind w:left="1060" w:right="60" w:hanging="424"/>
        <w:spacing w:after="0" w:line="277" w:lineRule="auto"/>
        <w:tabs>
          <w:tab w:leader="none" w:pos="106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approximately $5.4 million to fund expenses to advance AVR-RD-04 for the treatment of cystinosis, including to support the planned initial investigator-sponsored Phase 1/2 clinical trial;</w:t>
      </w:r>
    </w:p>
    <w:p>
      <w:pPr>
        <w:spacing w:after="0" w:line="75" w:lineRule="exact"/>
        <w:rPr>
          <w:rFonts w:ascii="Arial" w:cs="Arial" w:eastAsia="Arial" w:hAnsi="Arial"/>
          <w:sz w:val="18"/>
          <w:szCs w:val="18"/>
          <w:color w:val="32406B"/>
        </w:rPr>
      </w:pPr>
    </w:p>
    <w:p>
      <w:pPr>
        <w:ind w:left="1060" w:right="120" w:hanging="424"/>
        <w:spacing w:after="0" w:line="277" w:lineRule="auto"/>
        <w:tabs>
          <w:tab w:leader="none" w:pos="106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approximately $28.0 million to fund expenses for our external and internal manufacturing and process development activities related to the advancement of our product candidates;</w:t>
      </w:r>
    </w:p>
    <w:p>
      <w:pPr>
        <w:spacing w:after="0" w:line="75" w:lineRule="exact"/>
        <w:rPr>
          <w:rFonts w:ascii="Arial" w:cs="Arial" w:eastAsia="Arial" w:hAnsi="Arial"/>
          <w:sz w:val="18"/>
          <w:szCs w:val="18"/>
          <w:color w:val="32406B"/>
        </w:rPr>
      </w:pPr>
    </w:p>
    <w:p>
      <w:pPr>
        <w:ind w:left="1060" w:right="100" w:hanging="424"/>
        <w:spacing w:after="0" w:line="277" w:lineRule="auto"/>
        <w:tabs>
          <w:tab w:leader="none" w:pos="106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approximately $32.6 million to fund research and development activities that relate to all of our clinical and preclinical activities, including the cost of research and development personnel; and</w:t>
      </w:r>
    </w:p>
    <w:p>
      <w:pPr>
        <w:spacing w:after="0" w:line="75" w:lineRule="exact"/>
        <w:rPr>
          <w:rFonts w:ascii="Arial" w:cs="Arial" w:eastAsia="Arial" w:hAnsi="Arial"/>
          <w:sz w:val="18"/>
          <w:szCs w:val="18"/>
          <w:color w:val="32406B"/>
        </w:rPr>
      </w:pPr>
    </w:p>
    <w:p>
      <w:pPr>
        <w:ind w:left="1060" w:right="540" w:hanging="424"/>
        <w:spacing w:after="0" w:line="277" w:lineRule="auto"/>
        <w:tabs>
          <w:tab w:leader="none" w:pos="106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the remainder for planned general and administrative expenses, the costs of operating as a public company, working capital and other general corporate purposes.</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Based on our current plans, we expect that the proceeds allocated as described above will be sufficient to complete the ongoing Phase 1 and Phase 2 clinical trials for AVR-RD-01, but will be insufficient to complete the above referenced trials and studies for AVR-RD-02, AVR-RD-03 and AVR-RD-04 or subsequent clinical trials of AVR-RD-01. Based on our current plans, we believe our existing cash and cash equivalents, together with the net proceeds from this offering, will be sufficient to fund our operations into 2020.</w:t>
      </w:r>
    </w:p>
    <w:p>
      <w:pPr>
        <w:spacing w:after="0" w:line="18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32406B"/>
        </w:rPr>
        <w:t>This expected use of the net proceeds from this offering represents our intentions based upon our current plans and business conditions. For example, we may use a portion of the net proceeds for the acquisition of businesses or technologies to continue to build our pipeline, our research and development capabilities and our intellectual property position, although we currently have no agreements, commitments or understandings with respect to any such transaction. We cannot predict with certainty all of the particular uses for the net proceeds to be received upon the completion of this offering or the amounts that we will actually spend on the uses set forth above. The amounts and timing of our actual expenditures may vary significantly depending on numerous factors, including the timing and plans for initiation of our planned clinical trials, the progress of our research and development, the status of and results from non-clinical studies or clinical trials we may commence in the future, as well as any collaborations that we may enter into with third parties for our product candidates or strategic opportunities that become available to us, and any unforeseen cash needs.</w:t>
      </w:r>
    </w:p>
    <w:p>
      <w:pPr>
        <w:spacing w:after="0" w:line="166"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32406B"/>
        </w:rPr>
        <w:t>Our management will have broad discretion in the application of the net proceeds from this offering, and investors will be relying on the judgment of our management regarding the application of the net proceeds from this offering. The timing and amount of our actual expenditures will be based on many factors, including cash flows from operations and the anticipated growth of our business. Pending these uses, we plan to hold these net proceeds in non-interest bearing accounts, with the goal of capital preservation and liquidity so that such funds are readily available to fund our operations.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59</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DIVIDEND POLICY</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 In addition, under our loan and security agreement with Silicon Valley Bank, we are restricted from paying any dividends or making any distributions on account of our capital stock. Moreover, the terms of any future indebtedness that we may incur could restrict our ability to pay dividends. See “Management’s Discussion and Analysis of Financial Condition and Results of Operations—Liquidity and Capital Resources” for a description of the restrictions on our ability to pay dividends.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60</w:t>
      </w:r>
    </w:p>
    <w:p>
      <w:pPr>
        <w:sectPr>
          <w:pgSz w:w="11900" w:h="16838" w:orient="portrait"/>
          <w:cols w:equalWidth="0" w:num="1">
            <w:col w:w="11180"/>
          </w:cols>
          <w:pgMar w:left="24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sets forth our cash and cash equivalents and our capitalization as of March 31, 2018:</w:t>
      </w:r>
    </w:p>
    <w:p>
      <w:pPr>
        <w:spacing w:after="0" w:line="131" w:lineRule="exact"/>
        <w:rPr>
          <w:sz w:val="20"/>
          <w:szCs w:val="20"/>
          <w:color w:val="auto"/>
        </w:rPr>
      </w:pPr>
    </w:p>
    <w:p>
      <w:pPr>
        <w:ind w:left="1060" w:hanging="424"/>
        <w:spacing w:after="0"/>
        <w:tabs>
          <w:tab w:leader="none" w:pos="106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on an actual basis;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on a pro forma basis to give effect to:</w:t>
      </w:r>
    </w:p>
    <w:p>
      <w:pPr>
        <w:spacing w:after="0" w:line="130" w:lineRule="exact"/>
        <w:rPr>
          <w:rFonts w:ascii="Arial" w:cs="Arial" w:eastAsia="Arial" w:hAnsi="Arial"/>
          <w:sz w:val="18"/>
          <w:szCs w:val="18"/>
          <w:color w:val="32406B"/>
        </w:rPr>
      </w:pPr>
    </w:p>
    <w:p>
      <w:pPr>
        <w:ind w:left="1620" w:right="80" w:hanging="538"/>
        <w:spacing w:after="0" w:line="277" w:lineRule="auto"/>
        <w:tabs>
          <w:tab w:leader="none" w:pos="1620" w:val="left"/>
        </w:tabs>
        <w:numPr>
          <w:ilvl w:val="1"/>
          <w:numId w:val="41"/>
        </w:numPr>
        <w:rPr>
          <w:rFonts w:ascii="Arial" w:cs="Arial" w:eastAsia="Arial" w:hAnsi="Arial"/>
          <w:sz w:val="18"/>
          <w:szCs w:val="18"/>
          <w:color w:val="32406B"/>
        </w:rPr>
      </w:pPr>
      <w:r>
        <w:rPr>
          <w:rFonts w:ascii="Arial" w:cs="Arial" w:eastAsia="Arial" w:hAnsi="Arial"/>
          <w:sz w:val="18"/>
          <w:szCs w:val="18"/>
          <w:color w:val="32406B"/>
        </w:rPr>
        <w:t>the conversion of all outstanding shares of preferred stock into an aggregate of 15,320,213 shares of common stock upon the closing of this offering;</w:t>
      </w:r>
    </w:p>
    <w:p>
      <w:pPr>
        <w:spacing w:after="0" w:line="75" w:lineRule="exact"/>
        <w:rPr>
          <w:rFonts w:ascii="Arial" w:cs="Arial" w:eastAsia="Arial" w:hAnsi="Arial"/>
          <w:sz w:val="18"/>
          <w:szCs w:val="18"/>
          <w:color w:val="32406B"/>
        </w:rPr>
      </w:pPr>
    </w:p>
    <w:p>
      <w:pPr>
        <w:ind w:left="1620" w:hanging="538"/>
        <w:spacing w:after="0"/>
        <w:tabs>
          <w:tab w:leader="none" w:pos="1620" w:val="left"/>
        </w:tabs>
        <w:numPr>
          <w:ilvl w:val="1"/>
          <w:numId w:val="41"/>
        </w:numPr>
        <w:rPr>
          <w:rFonts w:ascii="Arial" w:cs="Arial" w:eastAsia="Arial" w:hAnsi="Arial"/>
          <w:sz w:val="16"/>
          <w:szCs w:val="16"/>
          <w:color w:val="32406B"/>
        </w:rPr>
      </w:pPr>
      <w:r>
        <w:rPr>
          <w:rFonts w:ascii="Arial" w:cs="Arial" w:eastAsia="Arial" w:hAnsi="Arial"/>
          <w:sz w:val="16"/>
          <w:szCs w:val="16"/>
          <w:color w:val="32406B"/>
        </w:rPr>
        <w:t>the conversion of our warrant to purchase preferred stock into a warrant to purchase common stock upon the closing of this offering;</w:t>
      </w:r>
    </w:p>
    <w:p>
      <w:pPr>
        <w:spacing w:after="0" w:line="153" w:lineRule="exact"/>
        <w:rPr>
          <w:rFonts w:ascii="Arial" w:cs="Arial" w:eastAsia="Arial" w:hAnsi="Arial"/>
          <w:sz w:val="16"/>
          <w:szCs w:val="16"/>
          <w:color w:val="32406B"/>
        </w:rPr>
      </w:pPr>
    </w:p>
    <w:p>
      <w:pPr>
        <w:ind w:left="1620" w:hanging="538"/>
        <w:spacing w:after="0"/>
        <w:tabs>
          <w:tab w:leader="none" w:pos="1620" w:val="left"/>
        </w:tabs>
        <w:numPr>
          <w:ilvl w:val="1"/>
          <w:numId w:val="41"/>
        </w:numPr>
        <w:rPr>
          <w:rFonts w:ascii="Arial" w:cs="Arial" w:eastAsia="Arial" w:hAnsi="Arial"/>
          <w:sz w:val="18"/>
          <w:szCs w:val="18"/>
          <w:color w:val="32406B"/>
        </w:rPr>
      </w:pPr>
      <w:r>
        <w:rPr>
          <w:rFonts w:ascii="Arial" w:cs="Arial" w:eastAsia="Arial" w:hAnsi="Arial"/>
          <w:sz w:val="18"/>
          <w:szCs w:val="18"/>
          <w:color w:val="32406B"/>
        </w:rPr>
        <w:t>the filing and effectiveness of our amended and restated certificate of incorporation upon the closing of this offering; and</w:t>
      </w:r>
    </w:p>
    <w:p>
      <w:pPr>
        <w:spacing w:after="0" w:line="130" w:lineRule="exact"/>
        <w:rPr>
          <w:rFonts w:ascii="Arial" w:cs="Arial" w:eastAsia="Arial" w:hAnsi="Arial"/>
          <w:sz w:val="18"/>
          <w:szCs w:val="18"/>
          <w:color w:val="32406B"/>
        </w:rPr>
      </w:pPr>
    </w:p>
    <w:p>
      <w:pPr>
        <w:ind w:left="1060" w:right="20" w:hanging="424"/>
        <w:spacing w:after="0" w:line="272" w:lineRule="auto"/>
        <w:tabs>
          <w:tab w:leader="none" w:pos="1060" w:val="left"/>
        </w:tabs>
        <w:numPr>
          <w:ilvl w:val="0"/>
          <w:numId w:val="41"/>
        </w:numPr>
        <w:rPr>
          <w:rFonts w:ascii="Arial" w:cs="Arial" w:eastAsia="Arial" w:hAnsi="Arial"/>
          <w:sz w:val="17"/>
          <w:szCs w:val="17"/>
          <w:color w:val="32406B"/>
        </w:rPr>
      </w:pPr>
      <w:r>
        <w:rPr>
          <w:rFonts w:ascii="Arial" w:cs="Arial" w:eastAsia="Arial" w:hAnsi="Arial"/>
          <w:sz w:val="17"/>
          <w:szCs w:val="17"/>
          <w:color w:val="32406B"/>
        </w:rPr>
        <w:t>on a pro forma as adjusted basis giving effect to the pro forma adjustments set forth above and to give further effect (i) to our issuance and sale of 5,247,958 shares of common stock in this offering at the initial public offering price of $19.00 per share, after deducting underwriting discounts and commissions and estimated offering expenses payable by us, and (ii) the payment by us of an aggregate of $2.0 million to University Health Network pursuant to the Stock Purchase Agreement, dated as of January 27, 2016, between us and University Health Network, in connection with this offering. Additionally, for purposes of the pro forma as adjusted amounts shown below, the net proceeds to be received by us from the sale of common stock in this offering have been increased by approximately $55,000 to reflect the estimated offering expenses that had been paid by us as of March 31, 2018.</w:t>
      </w:r>
    </w:p>
    <w:p>
      <w:pPr>
        <w:spacing w:after="0" w:line="178"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32406B"/>
        </w:rPr>
        <w:t>You should read the following table in conjunction with our consolidated financial statements and the related notes appearing elsewhere in this prospectus, and the sections of this prospectus titled “Use of Proceeds,” “Selected Consolidated Financial Data,” “Management’s Discussion and Analysis of Financial Condition and Results of Operations” and “Description of Share Capital.”</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32406B"/>
                <w:w w:val="95"/>
              </w:rPr>
              <w:t>As of March 31, 2018</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32406B"/>
                <w:w w:val="98"/>
              </w:rPr>
              <w:t>Actual</w:t>
            </w:r>
          </w:p>
        </w:tc>
        <w:tc>
          <w:tcPr>
            <w:tcW w:w="11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32406B"/>
              </w:rPr>
              <w:t>Pro Forma</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32"/>
              <w:spacing w:after="0" w:line="119" w:lineRule="exact"/>
              <w:rPr>
                <w:sz w:val="20"/>
                <w:szCs w:val="20"/>
                <w:color w:val="auto"/>
              </w:rPr>
            </w:pPr>
            <w:r>
              <w:rPr>
                <w:rFonts w:ascii="Arial" w:cs="Arial" w:eastAsia="Arial" w:hAnsi="Arial"/>
                <w:sz w:val="13"/>
                <w:szCs w:val="13"/>
                <w:b w:val="1"/>
                <w:bCs w:val="1"/>
                <w:color w:val="32406B"/>
                <w:w w:val="98"/>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11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32406B"/>
              </w:rPr>
              <w:t>As Adjusted</w:t>
            </w:r>
            <w:r>
              <w:rPr>
                <w:rFonts w:ascii="Arial" w:cs="Arial" w:eastAsia="Arial" w:hAnsi="Arial"/>
                <w:sz w:val="12"/>
                <w:szCs w:val="12"/>
                <w:b w:val="1"/>
                <w:bCs w:val="1"/>
                <w:color w:val="32406B"/>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6"/>
          </w:tcPr>
          <w:p>
            <w:pPr>
              <w:jc w:val="right"/>
              <w:spacing w:after="0" w:line="119" w:lineRule="exact"/>
              <w:rPr>
                <w:sz w:val="20"/>
                <w:szCs w:val="20"/>
                <w:color w:val="auto"/>
              </w:rPr>
            </w:pPr>
            <w:r>
              <w:rPr>
                <w:rFonts w:ascii="Arial" w:cs="Arial" w:eastAsia="Arial" w:hAnsi="Arial"/>
                <w:sz w:val="13"/>
                <w:szCs w:val="13"/>
                <w:b w:val="1"/>
                <w:bCs w:val="1"/>
                <w:color w:val="32406B"/>
                <w:w w:val="97"/>
              </w:rPr>
              <w:t>(in thousands, except</w:t>
            </w: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10"/>
          </w:tcPr>
          <w:p>
            <w:pPr>
              <w:jc w:val="right"/>
              <w:ind w:right="780"/>
              <w:spacing w:after="0"/>
              <w:rPr>
                <w:sz w:val="20"/>
                <w:szCs w:val="20"/>
                <w:color w:val="auto"/>
              </w:rPr>
            </w:pPr>
            <w:r>
              <w:rPr>
                <w:rFonts w:ascii="Arial" w:cs="Arial" w:eastAsia="Arial" w:hAnsi="Arial"/>
                <w:sz w:val="14"/>
                <w:szCs w:val="14"/>
                <w:b w:val="1"/>
                <w:bCs w:val="1"/>
                <w:color w:val="32406B"/>
              </w:rPr>
              <w:t>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57,928</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57,928</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146,438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32406B"/>
              </w:rPr>
              <w:t>Warrant to purchase redeemable preferred stock</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20" w:type="dxa"/>
            <w:vAlign w:val="bottom"/>
            <w:gridSpan w:val="2"/>
            <w:vMerge w:val="continue"/>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560" w:type="dxa"/>
            <w:vAlign w:val="bottom"/>
          </w:tcPr>
          <w:p>
            <w:pPr>
              <w:jc w:val="right"/>
              <w:spacing w:after="0"/>
              <w:rPr>
                <w:sz w:val="20"/>
                <w:szCs w:val="20"/>
                <w:color w:val="auto"/>
              </w:rPr>
            </w:pPr>
            <w:r>
              <w:rPr>
                <w:rFonts w:ascii="Arial" w:cs="Arial" w:eastAsia="Arial" w:hAnsi="Arial"/>
                <w:sz w:val="18"/>
                <w:szCs w:val="18"/>
                <w:color w:val="32406B"/>
              </w:rPr>
              <w:t>47</w:t>
            </w:r>
          </w:p>
        </w:tc>
        <w:tc>
          <w:tcPr>
            <w:tcW w:w="1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5"/>
              </w:rPr>
              <w:t>Redeemable convertible preferred stock (Series Seed, A and B), $0.0001 par value; 63,491,857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32406B"/>
                <w:w w:val="90"/>
              </w:rPr>
              <w:t>authorized, 63,303,154 shares issued and outstanding, actual; no shares authorized, issued or outstanding,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pro forma and pro forma as adjusted</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87,500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32406B"/>
              </w:rPr>
              <w:t>Stockholders’ (deficit)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32406B"/>
                <w:w w:val="96"/>
              </w:rPr>
              <w:t>Preferred stock, $0.0001 par value, no share authorized, issued or outstanding, actual; 10,000,000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shd w:val="clear" w:color="auto" w:fill="CCEEFF"/>
          </w:tcPr>
          <w:p>
            <w:pPr>
              <w:ind w:left="520"/>
              <w:spacing w:after="0"/>
              <w:rPr>
                <w:sz w:val="20"/>
                <w:szCs w:val="20"/>
                <w:color w:val="auto"/>
              </w:rPr>
            </w:pPr>
            <w:r>
              <w:rPr>
                <w:rFonts w:ascii="Arial" w:cs="Arial" w:eastAsia="Arial" w:hAnsi="Arial"/>
                <w:sz w:val="18"/>
                <w:szCs w:val="18"/>
                <w:color w:val="32406B"/>
                <w:w w:val="99"/>
              </w:rPr>
              <w:t>shares authorized and no shares issued or outstanding, pro forma and pro forma as adjusted</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tcPr>
          <w:p>
            <w:pPr>
              <w:ind w:left="340"/>
              <w:spacing w:after="0" w:line="201" w:lineRule="exact"/>
              <w:rPr>
                <w:sz w:val="20"/>
                <w:szCs w:val="20"/>
                <w:color w:val="auto"/>
              </w:rPr>
            </w:pPr>
            <w:r>
              <w:rPr>
                <w:rFonts w:ascii="Arial" w:cs="Arial" w:eastAsia="Arial" w:hAnsi="Arial"/>
                <w:sz w:val="18"/>
                <w:szCs w:val="18"/>
                <w:color w:val="32406B"/>
                <w:w w:val="98"/>
              </w:rPr>
              <w:t>Common stock, $0.0001 par value; 82,000,000 shares authorized, 2,581,474 shares issued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520"/>
              <w:spacing w:after="0"/>
              <w:rPr>
                <w:sz w:val="20"/>
                <w:szCs w:val="20"/>
                <w:color w:val="auto"/>
              </w:rPr>
            </w:pPr>
            <w:r>
              <w:rPr>
                <w:rFonts w:ascii="Arial" w:cs="Arial" w:eastAsia="Arial" w:hAnsi="Arial"/>
                <w:sz w:val="18"/>
                <w:szCs w:val="18"/>
                <w:color w:val="32406B"/>
                <w:w w:val="91"/>
              </w:rPr>
              <w:t>2,335,926 shares outstanding, actual; 150,000,000 shares authorized, 17,901,687 shares issued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520"/>
              <w:spacing w:after="0"/>
              <w:rPr>
                <w:sz w:val="20"/>
                <w:szCs w:val="20"/>
                <w:color w:val="auto"/>
              </w:rPr>
            </w:pPr>
            <w:r>
              <w:rPr>
                <w:rFonts w:ascii="Arial" w:cs="Arial" w:eastAsia="Arial" w:hAnsi="Arial"/>
                <w:sz w:val="18"/>
                <w:szCs w:val="18"/>
                <w:color w:val="32406B"/>
                <w:w w:val="91"/>
              </w:rPr>
              <w:t>17,656,139 shares outstanding, pro forma; 150,000,000 shares authorized, 23,149,645 shares issued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520"/>
              <w:spacing w:after="0"/>
              <w:rPr>
                <w:sz w:val="20"/>
                <w:szCs w:val="20"/>
                <w:color w:val="auto"/>
              </w:rPr>
            </w:pPr>
            <w:r>
              <w:rPr>
                <w:rFonts w:ascii="Arial" w:cs="Arial" w:eastAsia="Arial" w:hAnsi="Arial"/>
                <w:sz w:val="18"/>
                <w:szCs w:val="18"/>
                <w:color w:val="32406B"/>
              </w:rPr>
              <w:t>and 22,904,097 shares outstanding, pro forma as adjusted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32406B"/>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87,654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178,109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32406B"/>
              </w:rPr>
              <w:t>Accumulated deficit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32406B"/>
                <w:w w:val="89"/>
              </w:rPr>
              <w:t>(33,620)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32406B"/>
                <w:w w:val="89"/>
              </w:rPr>
              <w:t>(33,620)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32406B"/>
              </w:rPr>
              <w:t>(34,662)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Total stockholders’ (deficit)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w w:val="89"/>
              </w:rPr>
              <w:t>(33,511)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54,036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143,449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20" w:type="dxa"/>
            <w:vAlign w:val="bottom"/>
            <w:gridSpan w:val="2"/>
          </w:tcPr>
          <w:p>
            <w:pPr>
              <w:spacing w:after="0"/>
              <w:rPr>
                <w:sz w:val="20"/>
                <w:szCs w:val="20"/>
                <w:color w:val="auto"/>
              </w:rPr>
            </w:pPr>
            <w:r>
              <w:rPr>
                <w:rFonts w:ascii="Arial" w:cs="Arial" w:eastAsia="Arial" w:hAnsi="Arial"/>
                <w:sz w:val="18"/>
                <w:szCs w:val="18"/>
                <w:color w:val="32406B"/>
              </w:rPr>
              <w:t>Total capitalization</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54,036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54,036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143,449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jc w:val="right"/>
              <w:ind w:right="2230"/>
              <w:spacing w:after="0"/>
              <w:rPr>
                <w:sz w:val="20"/>
                <w:szCs w:val="20"/>
                <w:color w:val="auto"/>
              </w:rPr>
            </w:pPr>
            <w:r>
              <w:rPr>
                <w:rFonts w:ascii="Arial" w:cs="Arial" w:eastAsia="Arial" w:hAnsi="Arial"/>
                <w:sz w:val="18"/>
                <w:szCs w:val="18"/>
                <w:color w:val="32406B"/>
              </w:rPr>
              <w:t>61</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number of shares of common stock outstanding in the table above does not include:</w:t>
      </w:r>
    </w:p>
    <w:p>
      <w:pPr>
        <w:spacing w:after="0" w:line="131" w:lineRule="exact"/>
        <w:rPr>
          <w:sz w:val="20"/>
          <w:szCs w:val="20"/>
          <w:color w:val="auto"/>
        </w:rPr>
      </w:pPr>
    </w:p>
    <w:p>
      <w:pPr>
        <w:ind w:left="1060" w:right="200" w:hanging="424"/>
        <w:spacing w:after="0" w:line="277" w:lineRule="auto"/>
        <w:tabs>
          <w:tab w:leader="none" w:pos="106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1,788,750 shares of common stock issuable upon the exercise of stock options outstanding as of March 31, 2018, with a weighted average exercise price of $2.56 per share;</w:t>
      </w:r>
    </w:p>
    <w:p>
      <w:pPr>
        <w:spacing w:after="0" w:line="75" w:lineRule="exact"/>
        <w:rPr>
          <w:rFonts w:ascii="Arial" w:cs="Arial" w:eastAsia="Arial" w:hAnsi="Arial"/>
          <w:sz w:val="18"/>
          <w:szCs w:val="18"/>
          <w:color w:val="32406B"/>
        </w:rPr>
      </w:pPr>
    </w:p>
    <w:p>
      <w:pPr>
        <w:ind w:left="1060" w:hanging="424"/>
        <w:spacing w:after="0" w:line="264" w:lineRule="auto"/>
        <w:tabs>
          <w:tab w:leader="none" w:pos="106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6,850 shares of common stock issuable upon the exercise of a warrant to purchase preferred stock outstanding as of March 31, 2018 that will automatically become a warrant to purchase common stock upon the completion of this offering, with an exercise price of $3.2845 per share;</w:t>
      </w:r>
    </w:p>
    <w:p>
      <w:pPr>
        <w:spacing w:after="0" w:line="86" w:lineRule="exact"/>
        <w:rPr>
          <w:rFonts w:ascii="Arial" w:cs="Arial" w:eastAsia="Arial" w:hAnsi="Arial"/>
          <w:sz w:val="18"/>
          <w:szCs w:val="18"/>
          <w:color w:val="32406B"/>
        </w:rPr>
      </w:pPr>
    </w:p>
    <w:p>
      <w:pPr>
        <w:ind w:left="1060" w:right="140" w:hanging="424"/>
        <w:spacing w:after="0" w:line="277" w:lineRule="auto"/>
        <w:tabs>
          <w:tab w:leader="none" w:pos="106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an additional 58,472 shares of common stock reserved for issuance under our Amended and Restated 2015 Stock Option and Grant Plan as of March 31, 2018, which shares will no longer be reserved following this offering;</w:t>
      </w:r>
    </w:p>
    <w:p>
      <w:pPr>
        <w:spacing w:after="0" w:line="75" w:lineRule="exact"/>
        <w:rPr>
          <w:rFonts w:ascii="Arial" w:cs="Arial" w:eastAsia="Arial" w:hAnsi="Arial"/>
          <w:sz w:val="18"/>
          <w:szCs w:val="18"/>
          <w:color w:val="32406B"/>
        </w:rPr>
      </w:pPr>
    </w:p>
    <w:p>
      <w:pPr>
        <w:ind w:left="1060" w:right="300" w:hanging="424"/>
        <w:spacing w:after="0" w:line="277" w:lineRule="auto"/>
        <w:tabs>
          <w:tab w:leader="none" w:pos="106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an additional 616,300 shares of common stock that were made available for future issuance under our 2018 Stock Option and Grant Plan upon the effectiveness of the registration statement of which this prospectus forms a part; and</w:t>
      </w:r>
    </w:p>
    <w:p>
      <w:pPr>
        <w:spacing w:after="0" w:line="75" w:lineRule="exact"/>
        <w:rPr>
          <w:rFonts w:ascii="Arial" w:cs="Arial" w:eastAsia="Arial" w:hAnsi="Arial"/>
          <w:sz w:val="18"/>
          <w:szCs w:val="18"/>
          <w:color w:val="32406B"/>
        </w:rPr>
      </w:pPr>
    </w:p>
    <w:p>
      <w:pPr>
        <w:ind w:left="1060" w:right="140" w:hanging="424"/>
        <w:spacing w:after="0" w:line="277" w:lineRule="auto"/>
        <w:tabs>
          <w:tab w:leader="none" w:pos="106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an additional 223,200 shares of common stock that were made available for future issuance under our 2018 Employee Stock Purchase Plan upon the effectiveness of the registration statement of which this prospectus forms a part.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62</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DILUTION</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32406B"/>
        </w:rPr>
        <w:t>If you invest in our common stock in this offering, your ownership interest will be diluted immediately to the extent of the difference between the initial public offering price per share of our common stock and the pro forma as adjusted net tangible book value per common share immediately after this offering.</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Our historical net tangible book (deficit) as of March 31, 2018 was $33.5 million, or $(12.98) per share of common stock. Our historical net tangible book (deficit) is the amount of our total tangible assets less our total liabilities and the carrying value of redeemable convertible preferred stock, which is not included within stockholders’ (deficit). Historical net tangible book (deficit) per share represents historical net tangible book (deficit) divided by the 2,581,474 shares of our common stock outstanding as of March 31, 2018.</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32406B"/>
        </w:rPr>
        <w:t>Our pro forma net tangible book value as of March 31, 2018 was $54.0 million, or $3.02 per share of common stock. Pro forma net tangible book value represents the amount of our total tangible assets less our total liabilities, after giving effect to:</w:t>
      </w:r>
    </w:p>
    <w:p>
      <w:pPr>
        <w:spacing w:after="0" w:line="76" w:lineRule="exact"/>
        <w:rPr>
          <w:sz w:val="20"/>
          <w:szCs w:val="20"/>
          <w:color w:val="auto"/>
        </w:rPr>
      </w:pPr>
    </w:p>
    <w:p>
      <w:pPr>
        <w:ind w:left="1060" w:right="140" w:hanging="424"/>
        <w:spacing w:after="0" w:line="277" w:lineRule="auto"/>
        <w:tabs>
          <w:tab w:leader="none" w:pos="106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the conversion of all outstanding shares of redeemable convertible preferred stock into an aggregate of 15,320,213 shares of common stock upon the closing of this offering; and</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43"/>
        </w:numPr>
        <w:rPr>
          <w:rFonts w:ascii="Arial" w:cs="Arial" w:eastAsia="Arial" w:hAnsi="Arial"/>
          <w:sz w:val="17"/>
          <w:szCs w:val="17"/>
          <w:color w:val="32406B"/>
        </w:rPr>
      </w:pPr>
      <w:r>
        <w:rPr>
          <w:rFonts w:ascii="Arial" w:cs="Arial" w:eastAsia="Arial" w:hAnsi="Arial"/>
          <w:sz w:val="17"/>
          <w:szCs w:val="17"/>
          <w:color w:val="32406B"/>
        </w:rPr>
        <w:t>the conversion of our warrant to purchase preferred stock into a warrant to purchase common stock upon the closing of this offering.</w:t>
      </w:r>
    </w:p>
    <w:p>
      <w:pPr>
        <w:spacing w:after="0" w:line="23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32406B"/>
        </w:rPr>
        <w:t>Pro forma net tangible book value per share represents our pro forma net tangible book value divided by the total number of shares of our common stock outstanding as of March 31, 2018, after giving effect to the pro forma adjustments described above.</w:t>
      </w:r>
    </w:p>
    <w:p>
      <w:pPr>
        <w:spacing w:after="0" w:line="170"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32406B"/>
        </w:rPr>
        <w:t>After giving further effect to (i) our issuance and sale of 5,247,958 shares of common stock in this offering at the initial public offering price of $19.00 per share, after deducting underwriting discounts and commissions and offering expenses payable by us, and (ii) the payment by us of an aggregate of $2.0 million to University Health Network pursuant to the Stock Purchase Agreement, dated as of January 27, 2016, between us and University Health Network, in connection with this offering, our pro forma as adjusted net tangible book value as of March 31, 2018 would have been $143.4 million, or $6.20 per share. This represents an immediate increase in pro forma as adjusted net tangible book value per share of $3.18 to existing shareholders and immediate dilution in pro forma as adjusted net tangible book value per share of $12.80 to new investors purchasing common stock in this offering. Dilution per share to new investors is determined by subtracting pro forma as adjusted net tangible book value per share after this offering from the initial public offering price per share paid by new investors. The following table illustrates this dilution on a per share basis: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32406B"/>
              </w:rPr>
              <w:t>Initial public offering price per share</w:t>
            </w:r>
          </w:p>
        </w:tc>
        <w:tc>
          <w:tcPr>
            <w:tcW w:w="1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$19.00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32406B"/>
              </w:rPr>
              <w:t>Historical net tangible book value (deficit) per share as of March 31, 2018</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32406B"/>
              </w:rPr>
              <w:t>$(12.98)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Increase per share attributable to the pro forma adjustments described above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16.00</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32406B"/>
              </w:rPr>
              <w:t>Pro forma net tangible book value per share as of March 31, 2018</w:t>
            </w: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3.02</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32406B"/>
                <w:w w:val="95"/>
              </w:rPr>
              <w:t>Increase in pro forma as adjusted net tangible book value per share attributable to new investors purchasing common</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520"/>
              <w:spacing w:after="0"/>
              <w:rPr>
                <w:sz w:val="20"/>
                <w:szCs w:val="20"/>
                <w:color w:val="auto"/>
              </w:rPr>
            </w:pPr>
            <w:r>
              <w:rPr>
                <w:rFonts w:ascii="Arial" w:cs="Arial" w:eastAsia="Arial" w:hAnsi="Arial"/>
                <w:sz w:val="18"/>
                <w:szCs w:val="18"/>
                <w:color w:val="32406B"/>
              </w:rPr>
              <w:t>stock in this offering</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3.18</w:t>
            </w: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32406B"/>
              </w:rPr>
              <w:t>Pro forma as adjusted net tangible book value per share after this offering</w:t>
            </w:r>
          </w:p>
        </w:tc>
        <w:tc>
          <w:tcPr>
            <w:tcW w:w="2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6.20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32406B"/>
                <w:w w:val="92"/>
              </w:rPr>
              <w:t>Dilution in pro forma as adjusted net tangible book value per share to new investors purchasing common stock in this offering</w:t>
            </w:r>
          </w:p>
        </w:tc>
        <w:tc>
          <w:tcPr>
            <w:tcW w:w="1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$12.80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If the underwriters exercise their over-allotment option in this offering in full, the pro forma as adjusted net tangible book value per share after this offering would be $6.57 per share, and the dilution in pro forma as adjusted net tangible book value per share to new investors purchasing common shares in this offering would be $12.43 per share, after deducting underwriting discounts and commissions and estimated offering expenses payable by us.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63</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32406B"/>
        </w:rPr>
        <w:t>The following table summarizes, on the pro forma as adjusted basis described above as of March 31, 2018, the total number of shares of common stock purchased from us, the total consideration paid or to be paid, and the average price per share paid or to be paid by existing shareholders and by new investors in this offering at the initial public offering price of $19.00 per share before deducting underwriting discounts and commissions and estimated offering expenses payable by us: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32406B"/>
              </w:rPr>
              <w:t>Shares Purchased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32406B"/>
              </w:rPr>
              <w:t>Total Consideration</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32406B"/>
              </w:rPr>
              <w:t>Average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32406B"/>
                <w:w w:val="94"/>
              </w:rPr>
              <w:t>Number</w:t>
            </w:r>
          </w:p>
        </w:tc>
        <w:tc>
          <w:tcPr>
            <w:tcW w:w="5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87"/>
              </w:rPr>
              <w:t>Percentage</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32406B"/>
              </w:rPr>
              <w:t>Amount</w:t>
            </w:r>
          </w:p>
        </w:tc>
        <w:tc>
          <w:tcPr>
            <w:tcW w:w="12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Percentage</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32406B"/>
                <w:w w:val="91"/>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vMerge w:val="restart"/>
            <w:shd w:val="clear" w:color="auto" w:fill="CCEEFF"/>
          </w:tcPr>
          <w:p>
            <w:pPr>
              <w:spacing w:after="0"/>
              <w:rPr>
                <w:sz w:val="20"/>
                <w:szCs w:val="20"/>
                <w:color w:val="auto"/>
              </w:rPr>
            </w:pPr>
            <w:r>
              <w:rPr>
                <w:rFonts w:ascii="Arial" w:cs="Arial" w:eastAsia="Arial" w:hAnsi="Arial"/>
                <w:sz w:val="18"/>
                <w:szCs w:val="18"/>
                <w:color w:val="32406B"/>
              </w:rPr>
              <w:t>Existing shareholders</w:t>
            </w:r>
          </w:p>
        </w:tc>
        <w:tc>
          <w:tcPr>
            <w:tcW w:w="14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vMerge w:val="continue"/>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3"/>
              </w:rPr>
              <w:t>17,901,687</w:t>
            </w:r>
          </w:p>
        </w:tc>
        <w:tc>
          <w:tcPr>
            <w:tcW w:w="50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77.3%</w:t>
            </w: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88,183,696</w:t>
            </w:r>
          </w:p>
        </w:tc>
        <w:tc>
          <w:tcPr>
            <w:tcW w:w="5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46.9%</w:t>
            </w: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32406B"/>
              </w:rPr>
              <w:t>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32406B"/>
              </w:rPr>
              <w:t>New investors</w:t>
            </w:r>
          </w:p>
        </w:tc>
        <w:tc>
          <w:tcPr>
            <w:tcW w:w="14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5,247,958</w:t>
            </w: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22.7</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7"/>
              </w:rPr>
              <w:t>99,711,202</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53.1</w:t>
            </w:r>
          </w:p>
        </w:tc>
        <w:tc>
          <w:tcPr>
            <w:tcW w:w="4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820" w:type="dxa"/>
            <w:vAlign w:val="bottom"/>
          </w:tcPr>
          <w:p>
            <w:pPr>
              <w:jc w:val="right"/>
              <w:spacing w:after="0"/>
              <w:rPr>
                <w:sz w:val="20"/>
                <w:szCs w:val="20"/>
                <w:color w:val="auto"/>
              </w:rPr>
            </w:pPr>
            <w:r>
              <w:rPr>
                <w:rFonts w:ascii="Arial" w:cs="Arial" w:eastAsia="Arial" w:hAnsi="Arial"/>
                <w:sz w:val="18"/>
                <w:szCs w:val="18"/>
                <w:color w:val="32406B"/>
              </w:rPr>
              <w:t>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Total</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23,149,645</w:t>
            </w:r>
          </w:p>
        </w:tc>
        <w:tc>
          <w:tcPr>
            <w:tcW w:w="1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32406B"/>
              </w:rPr>
              <w:t>100.0%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7"/>
              </w:rPr>
              <w:t>187,894,898</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100.0%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32406B"/>
        </w:rPr>
        <w:t>Certain of our existing stockholders, including certain affiliates of our directors, have agreed to purchase an aggregate of approximately $23 million of shares of our common stock in this offering at the initial public offering price. The table and discussion above do not give effect to the purchases by such investors.</w:t>
      </w:r>
    </w:p>
    <w:p>
      <w:pPr>
        <w:spacing w:after="0" w:line="18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32406B"/>
        </w:rPr>
        <w:t>The table above assumes no exercise of the underwriters’ over-allotment option in this offering. If the underwriters’ over-allotment option is exercised in full, the number of shares of common stock held by new investors purchasing common stock in this offering would be increased to 25.2% of the total number of shares of common stock outstanding after this offering, and the number of shares held by existing shareholders would be reduced to 74.8% of the total number of shares of common stock outstanding after this offering.</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tables and discussion above do not include:</w:t>
      </w:r>
    </w:p>
    <w:p>
      <w:pPr>
        <w:spacing w:after="0" w:line="131" w:lineRule="exact"/>
        <w:rPr>
          <w:sz w:val="20"/>
          <w:szCs w:val="20"/>
          <w:color w:val="auto"/>
        </w:rPr>
      </w:pPr>
    </w:p>
    <w:p>
      <w:pPr>
        <w:ind w:left="1060" w:right="220" w:hanging="424"/>
        <w:spacing w:after="0" w:line="277" w:lineRule="auto"/>
        <w:tabs>
          <w:tab w:leader="none" w:pos="106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1,788,750 shares of common stock issuable upon the exercise of stock options outstanding as of March 31, 2018, with a weighted average exercise price of $2.56 per share;</w:t>
      </w:r>
    </w:p>
    <w:p>
      <w:pPr>
        <w:spacing w:after="0" w:line="75" w:lineRule="exact"/>
        <w:rPr>
          <w:rFonts w:ascii="Arial" w:cs="Arial" w:eastAsia="Arial" w:hAnsi="Arial"/>
          <w:sz w:val="18"/>
          <w:szCs w:val="18"/>
          <w:color w:val="32406B"/>
        </w:rPr>
      </w:pPr>
    </w:p>
    <w:p>
      <w:pPr>
        <w:ind w:left="1060" w:right="20" w:hanging="424"/>
        <w:spacing w:after="0" w:line="264" w:lineRule="auto"/>
        <w:tabs>
          <w:tab w:leader="none" w:pos="106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6,850 shares of common stock issuable upon the exercise of a warrant to purchase preferred stock outstanding as of March 31, 2018 that will automatically become a warrant to purchase common stock upon the completion of this offering, with an exercise price of $3.2845 per share;</w:t>
      </w:r>
    </w:p>
    <w:p>
      <w:pPr>
        <w:spacing w:after="0" w:line="86" w:lineRule="exact"/>
        <w:rPr>
          <w:rFonts w:ascii="Arial" w:cs="Arial" w:eastAsia="Arial" w:hAnsi="Arial"/>
          <w:sz w:val="18"/>
          <w:szCs w:val="18"/>
          <w:color w:val="32406B"/>
        </w:rPr>
      </w:pPr>
    </w:p>
    <w:p>
      <w:pPr>
        <w:ind w:left="1060" w:right="160" w:hanging="424"/>
        <w:spacing w:after="0" w:line="277" w:lineRule="auto"/>
        <w:tabs>
          <w:tab w:leader="none" w:pos="106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an additional 58,472 shares of common stock reserved for issuance under our Amended and Restated 2015 Stock Option and Grant Plan as of March 31, 2018, which shares will no longer be reserved following this offering;</w:t>
      </w:r>
    </w:p>
    <w:p>
      <w:pPr>
        <w:spacing w:after="0" w:line="75" w:lineRule="exact"/>
        <w:rPr>
          <w:rFonts w:ascii="Arial" w:cs="Arial" w:eastAsia="Arial" w:hAnsi="Arial"/>
          <w:sz w:val="18"/>
          <w:szCs w:val="18"/>
          <w:color w:val="32406B"/>
        </w:rPr>
      </w:pPr>
    </w:p>
    <w:p>
      <w:pPr>
        <w:ind w:left="1060" w:right="320" w:hanging="424"/>
        <w:spacing w:after="0" w:line="277" w:lineRule="auto"/>
        <w:tabs>
          <w:tab w:leader="none" w:pos="106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an additional 616,300 shares of common stock that were made available for future issuance under our 2018 Stock Option and Grant Plan upon the effectiveness of the registration statement of which this prospectus forms a part; and</w:t>
      </w:r>
    </w:p>
    <w:p>
      <w:pPr>
        <w:spacing w:after="0" w:line="75" w:lineRule="exact"/>
        <w:rPr>
          <w:rFonts w:ascii="Arial" w:cs="Arial" w:eastAsia="Arial" w:hAnsi="Arial"/>
          <w:sz w:val="18"/>
          <w:szCs w:val="18"/>
          <w:color w:val="32406B"/>
        </w:rPr>
      </w:pPr>
    </w:p>
    <w:p>
      <w:pPr>
        <w:ind w:left="1060" w:right="160" w:hanging="424"/>
        <w:spacing w:after="0" w:line="277" w:lineRule="auto"/>
        <w:tabs>
          <w:tab w:leader="none" w:pos="106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an additional 223,200 shares of common stock that were made available for future issuance under our 2018 Employee Stock Purchase Plan upon the effectiveness of the registration statement of which this prospectus forms a part.</w:t>
      </w:r>
    </w:p>
    <w:p>
      <w:pPr>
        <w:spacing w:after="0" w:line="170"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32406B"/>
        </w:rPr>
        <w:t>To the extent that stock options or warrants are exercised, new stock options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64</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SELECTED CONSOLIDATED FINANCIAL DATA</w:t>
      </w:r>
    </w:p>
    <w:p>
      <w:pPr>
        <w:spacing w:after="0" w:line="22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32406B"/>
        </w:rPr>
        <w:t>The selected consolidated statements of operations data for the years ended December 31, 2016 and 2017 and the selected consolidated balance sheet data as of December 31, 2016 and 2017 are derived from our audited financial statements included elsewhere in this prospectus. The consolidated statements of operations data for the three months ended March 31, 2017 and 2018 and the consolidated balance sheet data as of March 31, 2018 have been derived from our unaudited condensed consolidated financial statements included elsewhere in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contained in those statements. Our historical results are not necessarily indicative of the results that may be expected in any future period. You should read the following selected financial data together with the information in the sections titled “Management’s Discussion and Analysis of Financial Condition and Results of Operations” and our financial statements and related notes included elsewhere in this prospectus.</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32406B"/>
              </w:rPr>
              <w:t>Year Ended 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32406B"/>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32406B"/>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32406B"/>
              </w:rPr>
              <w:t>2016</w:t>
            </w: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32406B"/>
              </w:rPr>
              <w:t>2017</w:t>
            </w: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32406B"/>
              </w:rPr>
              <w:t>2017</w:t>
            </w:r>
          </w:p>
        </w:tc>
        <w:tc>
          <w:tcPr>
            <w:tcW w:w="4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32406B"/>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8"/>
          </w:tcPr>
          <w:p>
            <w:pPr>
              <w:jc w:val="right"/>
              <w:ind w:right="20"/>
              <w:spacing w:after="0" w:line="155" w:lineRule="exact"/>
              <w:rPr>
                <w:sz w:val="20"/>
                <w:szCs w:val="20"/>
                <w:color w:val="auto"/>
              </w:rPr>
            </w:pPr>
            <w:r>
              <w:rPr>
                <w:rFonts w:ascii="Arial" w:cs="Arial" w:eastAsia="Arial" w:hAnsi="Arial"/>
                <w:sz w:val="14"/>
                <w:szCs w:val="14"/>
                <w:b w:val="1"/>
                <w:bCs w:val="1"/>
                <w:color w:val="32406B"/>
                <w:w w:val="91"/>
              </w:rPr>
              <w:t>(in thousands, except share and per share data)</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Consolidated Statement of Operations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32406B"/>
              </w:rPr>
              <w:t>Operating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Research and development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2,663</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15,191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1,434</w:t>
            </w:r>
          </w:p>
        </w:tc>
        <w:tc>
          <w:tcPr>
            <w:tcW w:w="4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32406B"/>
              </w:rPr>
              <w:t>General and administrative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1,962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3,195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610</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32406B"/>
              </w:rPr>
              <w:t>Total operating expenses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4,625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18,386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2,044</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7,788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gridSpan w:val="3"/>
          </w:tcPr>
          <w:p>
            <w:pPr>
              <w:spacing w:after="0"/>
              <w:rPr>
                <w:sz w:val="20"/>
                <w:szCs w:val="20"/>
                <w:color w:val="auto"/>
              </w:rPr>
            </w:pPr>
            <w:r>
              <w:rPr>
                <w:rFonts w:ascii="Arial" w:cs="Arial" w:eastAsia="Arial" w:hAnsi="Arial"/>
                <w:sz w:val="18"/>
                <w:szCs w:val="18"/>
                <w:color w:val="32406B"/>
              </w:rPr>
              <w:t>Loss from operations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(4,625)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(18,386)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(2,044)</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2406B"/>
              </w:rPr>
              <w:t>(7,788)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Other income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32406B"/>
              </w:rPr>
              <w:t>Interest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57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4</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2406B"/>
              </w:rPr>
              <w:t>158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Change in fair value of preferred stock warrant liability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32406B"/>
              </w:rPr>
              <w:t>Change in fair value of derivative liability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32406B"/>
              </w:rPr>
              <w:t>(39)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32406B"/>
              </w:rPr>
              <w:t>(283)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32406B"/>
              </w:rPr>
              <w:t>(32)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32406B"/>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Other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tcPr>
          <w:p>
            <w:pPr>
              <w:ind w:left="700"/>
              <w:spacing w:after="0"/>
              <w:rPr>
                <w:sz w:val="20"/>
                <w:szCs w:val="20"/>
                <w:color w:val="auto"/>
              </w:rPr>
            </w:pPr>
            <w:r>
              <w:rPr>
                <w:rFonts w:ascii="Arial" w:cs="Arial" w:eastAsia="Arial" w:hAnsi="Arial"/>
                <w:sz w:val="18"/>
                <w:szCs w:val="18"/>
                <w:color w:val="32406B"/>
              </w:rPr>
              <w:t>Total other expense, net</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(262)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(33)</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(454)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Net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(4,664)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(18,648)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(2,077)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9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(8,242)</w:t>
            </w: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32406B"/>
              </w:rPr>
              <w:t>Reconciliation of net loss to net loss attributable to common stockholders: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Net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(4,664)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(18,648)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(2,077)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9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32406B"/>
              </w:rPr>
              <w:t>Accretion of redeemable convertible preferred stock to redemption value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32406B"/>
              </w:rPr>
              <w:t>(305)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32406B"/>
              </w:rPr>
              <w:t>(85)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32406B"/>
              </w:rPr>
              <w:t>(47)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32406B"/>
              </w:rPr>
              <w:t>(2,243)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Net loss attributable to common stockholders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(4,969)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(18,733)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(2,124)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9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(10,485)</w:t>
            </w: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32406B"/>
                <w:w w:val="96"/>
              </w:rPr>
              <w:t>Net loss per share attributable to common stockholders—basic and diluted</w:t>
            </w:r>
            <w:r>
              <w:rPr>
                <w:rFonts w:ascii="Arial" w:cs="Arial" w:eastAsia="Arial" w:hAnsi="Arial"/>
                <w:sz w:val="15"/>
                <w:szCs w:val="15"/>
                <w:color w:val="32406B"/>
                <w:w w:val="96"/>
              </w:rPr>
              <w:t>(1)</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(2.44)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(0.97)</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Weighted-average common shares outstanding—basic and diluted</w:t>
            </w:r>
            <w:r>
              <w:rPr>
                <w:rFonts w:ascii="Arial" w:cs="Arial" w:eastAsia="Arial" w:hAnsi="Arial"/>
                <w:sz w:val="15"/>
                <w:szCs w:val="15"/>
                <w:color w:val="32406B"/>
              </w:rPr>
              <w:t>(1)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7"/>
              </w:rPr>
              <w:t>2,038,025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7"/>
              </w:rPr>
              <w:t>2,235,865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7"/>
              </w:rPr>
              <w:t>2,181,715</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9"/>
              </w:rPr>
              <w:t>2,324,790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32406B"/>
                <w:w w:val="95"/>
              </w:rPr>
              <w:t>Pro forma net loss per share attributable to common stockholders—basic and</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32406B"/>
              </w:rPr>
              <w:t>diluted</w:t>
            </w:r>
            <w:r>
              <w:rPr>
                <w:rFonts w:ascii="Arial" w:cs="Arial" w:eastAsia="Arial" w:hAnsi="Arial"/>
                <w:sz w:val="15"/>
                <w:szCs w:val="15"/>
                <w:color w:val="32406B"/>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32406B"/>
              </w:rPr>
              <w:t>(2.69)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32406B"/>
                <w:w w:val="9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32406B"/>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32406B"/>
                <w:w w:val="93"/>
              </w:rPr>
              <w:t>Pro forma weighted-average common shares outstanding—basic and diluted</w:t>
            </w:r>
            <w:r>
              <w:rPr>
                <w:rFonts w:ascii="Arial" w:cs="Arial" w:eastAsia="Arial" w:hAnsi="Arial"/>
                <w:sz w:val="15"/>
                <w:szCs w:val="15"/>
                <w:color w:val="32406B"/>
                <w:w w:val="93"/>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7"/>
              </w:rPr>
              <w:t>6,922,173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8"/>
              </w:rPr>
              <w:t>16,187,901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32406B"/>
            </w:tcBorders>
          </w:tcPr>
          <w:p>
            <w:pPr>
              <w:spacing w:after="0"/>
              <w:rPr>
                <w:sz w:val="11"/>
                <w:szCs w:val="11"/>
                <w:color w:val="auto"/>
              </w:rPr>
            </w:pPr>
          </w:p>
        </w:tc>
        <w:tc>
          <w:tcPr>
            <w:tcW w:w="4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340" w:hanging="436"/>
        <w:spacing w:after="0" w:line="312" w:lineRule="auto"/>
        <w:tabs>
          <w:tab w:leader="none" w:pos="640" w:val="left"/>
        </w:tabs>
        <w:numPr>
          <w:ilvl w:val="0"/>
          <w:numId w:val="45"/>
        </w:numPr>
        <w:rPr>
          <w:rFonts w:ascii="Arial" w:cs="Arial" w:eastAsia="Arial" w:hAnsi="Arial"/>
          <w:sz w:val="16"/>
          <w:szCs w:val="16"/>
          <w:color w:val="32406B"/>
        </w:rPr>
      </w:pPr>
      <w:r>
        <w:rPr>
          <w:rFonts w:ascii="Arial" w:cs="Arial" w:eastAsia="Arial" w:hAnsi="Arial"/>
          <w:sz w:val="16"/>
          <w:szCs w:val="16"/>
          <w:color w:val="32406B"/>
        </w:rPr>
        <w:t>See Notes 2 and 13 to our audited consolidated financial statements and Note 12 to our unaudited condensed consolidated financial statements appearing elsewhere in this prospectus for further details on the calculation of basic and diluted net loss per share attributable to common stockholders and on the calculation of pro forma basic and diluted net loss per share attributable to common stockholders.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65</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60" w:type="dxa"/>
            <w:vAlign w:val="bottom"/>
            <w:gridSpan w:val="2"/>
            <w:vMerge w:val="restart"/>
          </w:tcPr>
          <w:p>
            <w:pPr>
              <w:jc w:val="right"/>
              <w:ind w:right="154"/>
              <w:spacing w:after="0"/>
              <w:rPr>
                <w:sz w:val="20"/>
                <w:szCs w:val="20"/>
                <w:color w:val="auto"/>
              </w:rPr>
            </w:pPr>
            <w:r>
              <w:rPr>
                <w:rFonts w:ascii="Arial" w:cs="Arial" w:eastAsia="Arial" w:hAnsi="Arial"/>
                <w:sz w:val="14"/>
                <w:szCs w:val="14"/>
                <w:b w:val="1"/>
                <w:bCs w:val="1"/>
                <w:color w:val="32406B"/>
              </w:rPr>
              <w:t>As of December 31,</w:t>
            </w:r>
          </w:p>
        </w:tc>
        <w:tc>
          <w:tcPr>
            <w:tcW w:w="280" w:type="dxa"/>
            <w:vAlign w:val="bottom"/>
            <w:vMerge w:val="restart"/>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32406B"/>
                <w:w w:val="91"/>
              </w:rPr>
              <w:t>As of</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62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660" w:type="dxa"/>
            <w:vAlign w:val="bottom"/>
            <w:tcBorders>
              <w:bottom w:val="single" w:sz="8" w:color="auto"/>
            </w:tcBorders>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32406B"/>
                <w:w w:val="95"/>
              </w:rPr>
              <w:t>March 31,</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240" w:type="dxa"/>
            <w:vAlign w:val="bottom"/>
          </w:tcPr>
          <w:p>
            <w:pPr>
              <w:spacing w:after="0"/>
              <w:rPr>
                <w:sz w:val="4"/>
                <w:szCs w:val="4"/>
                <w:color w:val="auto"/>
              </w:rPr>
            </w:pPr>
          </w:p>
        </w:tc>
        <w:tc>
          <w:tcPr>
            <w:tcW w:w="272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32406B"/>
              </w:rPr>
              <w:t>2016</w:t>
            </w: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32406B"/>
              </w:rPr>
              <w:t>2017</w:t>
            </w:r>
          </w:p>
        </w:tc>
        <w:tc>
          <w:tcPr>
            <w:tcW w:w="2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72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center"/>
              <w:ind w:left="35"/>
              <w:spacing w:after="0"/>
              <w:rPr>
                <w:sz w:val="20"/>
                <w:szCs w:val="20"/>
                <w:color w:val="auto"/>
              </w:rPr>
            </w:pPr>
            <w:r>
              <w:rPr>
                <w:rFonts w:ascii="Arial" w:cs="Arial" w:eastAsia="Arial" w:hAnsi="Arial"/>
                <w:sz w:val="14"/>
                <w:szCs w:val="14"/>
                <w:b w:val="1"/>
                <w:bCs w:val="1"/>
                <w:color w:val="32406B"/>
                <w:w w:val="96"/>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32406B"/>
              </w:rPr>
              <w:t>(in thousands)</w:t>
            </w: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Consolidated Balance Sheet Data:</w:t>
            </w:r>
          </w:p>
        </w:tc>
        <w:tc>
          <w:tcPr>
            <w:tcW w:w="1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32406B"/>
              </w:rPr>
              <w:t>Cash and cash equivalents</w:t>
            </w:r>
          </w:p>
        </w:tc>
        <w:tc>
          <w:tcPr>
            <w:tcW w:w="2720" w:type="dxa"/>
            <w:vAlign w:val="bottom"/>
            <w:gridSpan w:val="2"/>
          </w:tcPr>
          <w:p>
            <w:pPr>
              <w:jc w:val="right"/>
              <w:ind w:right="139"/>
              <w:spacing w:after="0"/>
              <w:rPr>
                <w:sz w:val="20"/>
                <w:szCs w:val="20"/>
                <w:color w:val="auto"/>
              </w:rPr>
            </w:pPr>
            <w:r>
              <w:rPr>
                <w:rFonts w:ascii="Arial" w:cs="Arial" w:eastAsia="Arial" w:hAnsi="Arial"/>
                <w:sz w:val="18"/>
                <w:szCs w:val="18"/>
                <w:color w:val="32406B"/>
              </w:rPr>
              <w:t>$ 5,357</w:t>
            </w:r>
          </w:p>
        </w:tc>
        <w:tc>
          <w:tcPr>
            <w:tcW w:w="880" w:type="dxa"/>
            <w:vAlign w:val="bottom"/>
          </w:tcPr>
          <w:p>
            <w:pPr>
              <w:jc w:val="right"/>
              <w:spacing w:after="0"/>
              <w:rPr>
                <w:sz w:val="20"/>
                <w:szCs w:val="20"/>
                <w:color w:val="auto"/>
              </w:rPr>
            </w:pPr>
            <w:r>
              <w:rPr>
                <w:rFonts w:ascii="Arial" w:cs="Arial" w:eastAsia="Arial" w:hAnsi="Arial"/>
                <w:sz w:val="18"/>
                <w:szCs w:val="18"/>
                <w:color w:val="32406B"/>
              </w:rPr>
              <w:t>$  5,963</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$ 57,928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32406B"/>
              </w:rPr>
              <w:t>Working capital</w:t>
            </w:r>
            <w:r>
              <w:rPr>
                <w:rFonts w:ascii="Arial" w:cs="Arial" w:eastAsia="Arial" w:hAnsi="Arial"/>
                <w:sz w:val="15"/>
                <w:szCs w:val="15"/>
                <w:color w:val="32406B"/>
              </w:rPr>
              <w:t>(1)</w:t>
            </w:r>
          </w:p>
        </w:tc>
        <w:tc>
          <w:tcPr>
            <w:tcW w:w="27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32406B"/>
              </w:rPr>
              <w:t>4,485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3,683</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53,420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32406B"/>
              </w:rPr>
              <w:t>Total assets</w:t>
            </w:r>
          </w:p>
        </w:tc>
        <w:tc>
          <w:tcPr>
            <w:tcW w:w="2720" w:type="dxa"/>
            <w:vAlign w:val="bottom"/>
            <w:gridSpan w:val="2"/>
          </w:tcPr>
          <w:p>
            <w:pPr>
              <w:jc w:val="right"/>
              <w:ind w:right="139"/>
              <w:spacing w:after="0"/>
              <w:rPr>
                <w:sz w:val="20"/>
                <w:szCs w:val="20"/>
                <w:color w:val="auto"/>
              </w:rPr>
            </w:pPr>
            <w:r>
              <w:rPr>
                <w:rFonts w:ascii="Arial" w:cs="Arial" w:eastAsia="Arial" w:hAnsi="Arial"/>
                <w:sz w:val="18"/>
                <w:szCs w:val="18"/>
                <w:color w:val="32406B"/>
              </w:rPr>
              <w:t>5,400</w:t>
            </w:r>
          </w:p>
        </w:tc>
        <w:tc>
          <w:tcPr>
            <w:tcW w:w="880" w:type="dxa"/>
            <w:vAlign w:val="bottom"/>
          </w:tcPr>
          <w:p>
            <w:pPr>
              <w:jc w:val="right"/>
              <w:spacing w:after="0"/>
              <w:rPr>
                <w:sz w:val="20"/>
                <w:szCs w:val="20"/>
                <w:color w:val="auto"/>
              </w:rPr>
            </w:pPr>
            <w:r>
              <w:rPr>
                <w:rFonts w:ascii="Arial" w:cs="Arial" w:eastAsia="Arial" w:hAnsi="Arial"/>
                <w:sz w:val="18"/>
                <w:szCs w:val="18"/>
                <w:color w:val="32406B"/>
              </w:rPr>
              <w:t>7,022</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60,216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32406B"/>
              </w:rPr>
              <w:t>Warrant to purchase redeemable convertible preferred stock</w:t>
            </w:r>
          </w:p>
        </w:tc>
        <w:tc>
          <w:tcPr>
            <w:tcW w:w="19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35</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32406B"/>
              </w:rPr>
              <w:t>Derivative liability</w:t>
            </w:r>
          </w:p>
        </w:tc>
        <w:tc>
          <w:tcPr>
            <w:tcW w:w="2720" w:type="dxa"/>
            <w:vAlign w:val="bottom"/>
            <w:gridSpan w:val="2"/>
          </w:tcPr>
          <w:p>
            <w:pPr>
              <w:jc w:val="right"/>
              <w:ind w:right="139"/>
              <w:spacing w:after="0"/>
              <w:rPr>
                <w:sz w:val="20"/>
                <w:szCs w:val="20"/>
                <w:color w:val="auto"/>
              </w:rPr>
            </w:pPr>
            <w:r>
              <w:rPr>
                <w:rFonts w:ascii="Arial" w:cs="Arial" w:eastAsia="Arial" w:hAnsi="Arial"/>
                <w:sz w:val="18"/>
                <w:szCs w:val="18"/>
                <w:color w:val="32406B"/>
              </w:rPr>
              <w:t>88</w:t>
            </w:r>
          </w:p>
        </w:tc>
        <w:tc>
          <w:tcPr>
            <w:tcW w:w="880" w:type="dxa"/>
            <w:vAlign w:val="bottom"/>
          </w:tcPr>
          <w:p>
            <w:pPr>
              <w:jc w:val="right"/>
              <w:spacing w:after="0"/>
              <w:rPr>
                <w:sz w:val="20"/>
                <w:szCs w:val="20"/>
                <w:color w:val="auto"/>
              </w:rPr>
            </w:pPr>
            <w:r>
              <w:rPr>
                <w:rFonts w:ascii="Arial" w:cs="Arial" w:eastAsia="Arial" w:hAnsi="Arial"/>
                <w:sz w:val="18"/>
                <w:szCs w:val="18"/>
                <w:color w:val="32406B"/>
              </w:rPr>
              <w:t>371</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958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32406B"/>
              </w:rPr>
              <w:t>Redeemable convertible preferred stock</w:t>
            </w:r>
          </w:p>
        </w:tc>
        <w:tc>
          <w:tcPr>
            <w:tcW w:w="27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32406B"/>
              </w:rPr>
              <w:t>9,000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26,500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32406B"/>
              </w:rPr>
              <w:t>Total stockholders’ deficit</w:t>
            </w:r>
          </w:p>
        </w:tc>
        <w:tc>
          <w:tcPr>
            <w:tcW w:w="2720" w:type="dxa"/>
            <w:vAlign w:val="bottom"/>
            <w:gridSpan w:val="2"/>
          </w:tcPr>
          <w:p>
            <w:pPr>
              <w:jc w:val="right"/>
              <w:ind w:right="79"/>
              <w:spacing w:after="0"/>
              <w:rPr>
                <w:sz w:val="20"/>
                <w:szCs w:val="20"/>
                <w:color w:val="auto"/>
              </w:rPr>
            </w:pPr>
            <w:r>
              <w:rPr>
                <w:rFonts w:ascii="Arial" w:cs="Arial" w:eastAsia="Arial" w:hAnsi="Arial"/>
                <w:sz w:val="18"/>
                <w:szCs w:val="18"/>
                <w:color w:val="32406B"/>
              </w:rPr>
              <w:t>(4,579)</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32406B"/>
              </w:rPr>
              <w:t>(23,135)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32406B"/>
              </w:rPr>
              <w:t>(33,511)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We define working capital as current assets less current liabilities.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66</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32406B"/>
        </w:rPr>
        <w:t>MANAGEMENT’S DISCUSSION AND ANALYSIS OF FINANCIAL CONDITION AND RESULTS OF OPERATIONS</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32406B"/>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uncertainties and assumptions. You should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Overview</w:t>
      </w:r>
    </w:p>
    <w:p>
      <w:pPr>
        <w:spacing w:after="0" w:line="121"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32406B"/>
        </w:rPr>
        <w:t xml:space="preserve">We are a Phase 2 clinical stage gene therapy company focused on developing potentially curative </w:t>
      </w:r>
      <w:r>
        <w:rPr>
          <w:rFonts w:ascii="Arial" w:cs="Arial" w:eastAsia="Arial" w:hAnsi="Arial"/>
          <w:sz w:val="17"/>
          <w:szCs w:val="17"/>
          <w:i w:val="1"/>
          <w:iCs w:val="1"/>
          <w:color w:val="32406B"/>
        </w:rPr>
        <w:t>ex vivo</w:t>
      </w:r>
      <w:r>
        <w:rPr>
          <w:rFonts w:ascii="Arial" w:cs="Arial" w:eastAsia="Arial" w:hAnsi="Arial"/>
          <w:sz w:val="17"/>
          <w:szCs w:val="17"/>
          <w:color w:val="32406B"/>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has the potential to provide curative benefit in an outpatient setting for a range of diseases. Our initial focus is on a group of rare genetic diseases referred to as lysosomal storage diseases, which today are primarily managed with enzyme replacement therapies, or ERTs.</w:t>
      </w:r>
    </w:p>
    <w:p>
      <w:pPr>
        <w:spacing w:after="0" w:line="1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We are initially targeting rare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32406B"/>
        </w:rPr>
        <w:t>We seek to develop promising gene therapy programs by applying our expertise in gene and cellular therapies and clinical and regulatory strategy and execution to efficiently bring these potentially curative therapies to patients. In our initial programs, we leverage years of extensive preclinical and early clinical research by leading researchers, as well as our internal research efforts, to advance potential therapies. We plan to identify and develop future product candidates through our own internal research efforts as well as through collaborations with leading academics.</w:t>
      </w:r>
    </w:p>
    <w:p>
      <w:pPr>
        <w:spacing w:after="0" w:line="154"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32406B"/>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We do not have any products approved for sale and have not generated any revenue from product sales. To date, we have funded our operations with proceeds from the sales of preferred stock. Through March 31, 2018, we had received gross proceeds of $87.5 million from the sales of our preferred stock. Since our inception,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$4.7 million and $18.6 million for the years ended December 31, 2016 and 2017, respectively, and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67</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32406B"/>
        </w:rPr>
        <w:t>$8.2 million for the three months ended March 31, 2018. As of March 31, 2018 we had an accumulated deficit of $33.6 million. 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upon the closing of this offering, we expect to incur additional costs associated with operating as a public company, including significant legal, accounting, investor relations and other expenses that we did not incur as a private company.</w:t>
      </w:r>
    </w:p>
    <w:p>
      <w:pPr>
        <w:spacing w:after="0" w:line="18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32406B"/>
        </w:rPr>
        <w:t>As a result, 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anticipated net proceeds from this offering. We also plan to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9"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32406B"/>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As of March 31, 2018, we had cash and cash equivalents of $57.9 million. We believe that the anticipated net proceeds from this offering, together with our existing cash and cash equivalents, will enable us to fund our operating expenses and capital expenditure requirements into 2020. We have based this estimate on assumptions that may prove to be wrong, and we could exhaust our available capital resources sooner than we expect. See “— Liquidity and Capital Resources.”</w:t>
      </w:r>
    </w:p>
    <w:p>
      <w:pPr>
        <w:spacing w:after="0" w:line="18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32406B"/>
        </w:rPr>
        <w:t>Without giving effect to the anticipated net proceeds from this offering, we expect that our existing cash and cash equivalents will be sufficient to fund our operating expenses and capital expenditure requirements until at least the middle of 2019. To finance our operations beyond that point, we will need to raise additional capital, which cannot be assured.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Components of Our Consolidated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Revenue</w:t>
      </w:r>
    </w:p>
    <w:p>
      <w:pPr>
        <w:spacing w:after="0" w:line="117"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32406B"/>
        </w:rPr>
        <w:t>To date, we have not generated any revenue from product sales and do not expect to generate any revenue from the sale of products in the near future. If development efforts for our product candidates are successful and result in regulatory approval or additional license agreements with third parties, we may generate revenue in the future from product sales.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68</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Research and Development Expenses</w:t>
      </w:r>
    </w:p>
    <w:p>
      <w:pPr>
        <w:spacing w:after="0" w:line="117"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32406B"/>
        </w:rPr>
        <w:t>Research and development expenses consist primarily of costs incurred in connection with the discovery and development of our product candidates. We expense research and development costs as incurred. These expenses include:</w:t>
      </w:r>
    </w:p>
    <w:p>
      <w:pPr>
        <w:spacing w:after="0" w:line="76" w:lineRule="exact"/>
        <w:rPr>
          <w:sz w:val="20"/>
          <w:szCs w:val="20"/>
          <w:color w:val="auto"/>
        </w:rPr>
      </w:pPr>
    </w:p>
    <w:p>
      <w:pPr>
        <w:ind w:left="1060" w:hanging="424"/>
        <w:spacing w:after="0"/>
        <w:tabs>
          <w:tab w:leader="none" w:pos="1060" w:val="left"/>
        </w:tabs>
        <w:numPr>
          <w:ilvl w:val="0"/>
          <w:numId w:val="47"/>
        </w:numPr>
        <w:rPr>
          <w:rFonts w:ascii="Arial" w:cs="Arial" w:eastAsia="Arial" w:hAnsi="Arial"/>
          <w:sz w:val="18"/>
          <w:szCs w:val="18"/>
          <w:color w:val="32406B"/>
        </w:rPr>
      </w:pPr>
      <w:r>
        <w:rPr>
          <w:rFonts w:ascii="Arial" w:cs="Arial" w:eastAsia="Arial" w:hAnsi="Arial"/>
          <w:sz w:val="18"/>
          <w:szCs w:val="18"/>
          <w:color w:val="32406B"/>
        </w:rPr>
        <w:t>license maintenance fees and milestone fees incurred in connection with various license agreements;</w:t>
      </w:r>
    </w:p>
    <w:p>
      <w:pPr>
        <w:spacing w:after="0" w:line="130" w:lineRule="exact"/>
        <w:rPr>
          <w:rFonts w:ascii="Arial" w:cs="Arial" w:eastAsia="Arial" w:hAnsi="Arial"/>
          <w:sz w:val="18"/>
          <w:szCs w:val="18"/>
          <w:color w:val="32406B"/>
        </w:rPr>
      </w:pPr>
    </w:p>
    <w:p>
      <w:pPr>
        <w:ind w:left="1060" w:right="60" w:hanging="424"/>
        <w:spacing w:after="0" w:line="342" w:lineRule="auto"/>
        <w:tabs>
          <w:tab w:leader="none" w:pos="1060" w:val="left"/>
        </w:tabs>
        <w:numPr>
          <w:ilvl w:val="0"/>
          <w:numId w:val="47"/>
        </w:numPr>
        <w:rPr>
          <w:rFonts w:ascii="Arial" w:cs="Arial" w:eastAsia="Arial" w:hAnsi="Arial"/>
          <w:sz w:val="16"/>
          <w:szCs w:val="16"/>
          <w:color w:val="32406B"/>
        </w:rPr>
      </w:pPr>
      <w:r>
        <w:rPr>
          <w:rFonts w:ascii="Arial" w:cs="Arial" w:eastAsia="Arial" w:hAnsi="Arial"/>
          <w:sz w:val="16"/>
          <w:szCs w:val="16"/>
          <w:color w:val="32406B"/>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29" w:lineRule="exact"/>
        <w:rPr>
          <w:rFonts w:ascii="Arial" w:cs="Arial" w:eastAsia="Arial" w:hAnsi="Arial"/>
          <w:sz w:val="16"/>
          <w:szCs w:val="16"/>
          <w:color w:val="32406B"/>
        </w:rPr>
      </w:pPr>
    </w:p>
    <w:p>
      <w:pPr>
        <w:ind w:left="1060" w:right="640" w:hanging="424"/>
        <w:spacing w:after="0" w:line="277" w:lineRule="auto"/>
        <w:tabs>
          <w:tab w:leader="none" w:pos="1060" w:val="left"/>
        </w:tabs>
        <w:numPr>
          <w:ilvl w:val="0"/>
          <w:numId w:val="47"/>
        </w:numPr>
        <w:rPr>
          <w:rFonts w:ascii="Arial" w:cs="Arial" w:eastAsia="Arial" w:hAnsi="Arial"/>
          <w:sz w:val="18"/>
          <w:szCs w:val="18"/>
          <w:color w:val="32406B"/>
        </w:rPr>
      </w:pPr>
      <w:r>
        <w:rPr>
          <w:rFonts w:ascii="Arial" w:cs="Arial" w:eastAsia="Arial" w:hAnsi="Arial"/>
          <w:sz w:val="18"/>
          <w:szCs w:val="18"/>
          <w:color w:val="32406B"/>
        </w:rPr>
        <w:t>manufacturing scale-up expenses and the cost of acquiring and manufacturing preclinical and clinical trial materials and commercial materials, including manufacturing validation batches;</w:t>
      </w:r>
    </w:p>
    <w:p>
      <w:pPr>
        <w:spacing w:after="0" w:line="75" w:lineRule="exact"/>
        <w:rPr>
          <w:rFonts w:ascii="Arial" w:cs="Arial" w:eastAsia="Arial" w:hAnsi="Arial"/>
          <w:sz w:val="18"/>
          <w:szCs w:val="18"/>
          <w:color w:val="32406B"/>
        </w:rPr>
      </w:pPr>
    </w:p>
    <w:p>
      <w:pPr>
        <w:ind w:left="1060" w:right="420" w:hanging="424"/>
        <w:spacing w:after="0" w:line="277" w:lineRule="auto"/>
        <w:tabs>
          <w:tab w:leader="none" w:pos="1060" w:val="left"/>
        </w:tabs>
        <w:numPr>
          <w:ilvl w:val="0"/>
          <w:numId w:val="47"/>
        </w:numPr>
        <w:rPr>
          <w:rFonts w:ascii="Arial" w:cs="Arial" w:eastAsia="Arial" w:hAnsi="Arial"/>
          <w:sz w:val="18"/>
          <w:szCs w:val="18"/>
          <w:color w:val="32406B"/>
        </w:rPr>
      </w:pPr>
      <w:r>
        <w:rPr>
          <w:rFonts w:ascii="Arial" w:cs="Arial" w:eastAsia="Arial" w:hAnsi="Arial"/>
          <w:sz w:val="18"/>
          <w:szCs w:val="18"/>
          <w:color w:val="32406B"/>
        </w:rPr>
        <w:t>employee-related expenses, including salaries, related benefits, travel and stock-based compensation expense for employees engaged in research and development functions;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47"/>
        </w:numPr>
        <w:rPr>
          <w:rFonts w:ascii="Arial" w:cs="Arial" w:eastAsia="Arial" w:hAnsi="Arial"/>
          <w:sz w:val="18"/>
          <w:szCs w:val="18"/>
          <w:color w:val="32406B"/>
        </w:rPr>
      </w:pPr>
      <w:r>
        <w:rPr>
          <w:rFonts w:ascii="Arial" w:cs="Arial" w:eastAsia="Arial" w:hAnsi="Arial"/>
          <w:sz w:val="18"/>
          <w:szCs w:val="18"/>
          <w:color w:val="32406B"/>
        </w:rPr>
        <w:t>costs related to compliance with regulatory requirements;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47"/>
        </w:numPr>
        <w:rPr>
          <w:rFonts w:ascii="Arial" w:cs="Arial" w:eastAsia="Arial" w:hAnsi="Arial"/>
          <w:sz w:val="18"/>
          <w:szCs w:val="18"/>
          <w:color w:val="32406B"/>
        </w:rPr>
      </w:pPr>
      <w:r>
        <w:rPr>
          <w:rFonts w:ascii="Arial" w:cs="Arial" w:eastAsia="Arial" w:hAnsi="Arial"/>
          <w:sz w:val="18"/>
          <w:szCs w:val="18"/>
          <w:color w:val="32406B"/>
        </w:rPr>
        <w:t>allocated facilities costs, depreciation and other expenses, which include rent and utilities.</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32406B"/>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32406B"/>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table below summarizes our research and development expenses incurred by program:</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32406B"/>
                <w:w w:val="93"/>
              </w:rPr>
              <w:t>Year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32406B"/>
                <w:w w:val="95"/>
              </w:rPr>
              <w:t>Three Months</w:t>
            </w: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32406B"/>
                <w:w w:val="92"/>
              </w:rPr>
              <w:t>December 31,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32406B"/>
                <w:w w:val="97"/>
              </w:rPr>
              <w:t>Ended March 31,</w:t>
            </w: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32406B"/>
                <w:w w:val="89"/>
              </w:rPr>
              <w:t>2016</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32406B"/>
              </w:rPr>
              <w:t>2017</w:t>
            </w: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32406B"/>
                <w:w w:val="89"/>
              </w:rPr>
              <w:t>2017</w:t>
            </w:r>
          </w:p>
        </w:tc>
        <w:tc>
          <w:tcPr>
            <w:tcW w:w="8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32406B"/>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ind w:right="12"/>
              <w:spacing w:after="0" w:line="142" w:lineRule="exact"/>
              <w:rPr>
                <w:sz w:val="20"/>
                <w:szCs w:val="20"/>
                <w:color w:val="auto"/>
              </w:rPr>
            </w:pPr>
            <w:r>
              <w:rPr>
                <w:rFonts w:ascii="Arial" w:cs="Arial" w:eastAsia="Arial" w:hAnsi="Arial"/>
                <w:sz w:val="14"/>
                <w:szCs w:val="14"/>
                <w:b w:val="1"/>
                <w:bCs w:val="1"/>
                <w:color w:val="32406B"/>
                <w:w w:val="91"/>
              </w:rPr>
              <w:t>(in thousands)</w:t>
            </w: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32406B"/>
              </w:rPr>
              <w:t>Fabry</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6,101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$1,889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32406B"/>
              </w:rPr>
              <w:t>Gaucher</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32406B"/>
              </w:rPr>
              <w:t>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2,612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32406B"/>
              </w:rPr>
              <w:t>91</w:t>
            </w: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855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32406B"/>
              </w:rPr>
              <w:t>AML</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32406B"/>
              </w:rPr>
              <w:t>Cystinosis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32406B"/>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1,030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32406B"/>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148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32406B"/>
              </w:rPr>
              <w:t>Pompe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147</w:t>
            </w:r>
          </w:p>
        </w:tc>
        <w:tc>
          <w:tcPr>
            <w:tcW w:w="6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32406B"/>
              </w:rPr>
              <w:t>Unallocated research and development expenses</w:t>
            </w:r>
          </w:p>
        </w:tc>
        <w:tc>
          <w:tcPr>
            <w:tcW w:w="2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8"/>
              </w:rPr>
              <w:t>1,723</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4,258</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790</w:t>
            </w:r>
          </w:p>
        </w:tc>
        <w:tc>
          <w:tcPr>
            <w:tcW w:w="3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2,562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Total research and development expenses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8"/>
              </w:rPr>
              <w:t>2,663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7"/>
              </w:rPr>
              <w:t>15,191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8"/>
              </w:rPr>
              <w:t>1,434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$5,647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32406B"/>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69</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32406B"/>
        </w:rPr>
        <w:t>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4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32406B"/>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7" w:lineRule="exact"/>
        <w:rPr>
          <w:sz w:val="20"/>
          <w:szCs w:val="20"/>
          <w:color w:val="auto"/>
        </w:rPr>
      </w:pPr>
    </w:p>
    <w:p>
      <w:pPr>
        <w:ind w:left="1060" w:right="720" w:hanging="424"/>
        <w:spacing w:after="0" w:line="277" w:lineRule="auto"/>
        <w:tabs>
          <w:tab w:leader="none" w:pos="106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the scope, progress, outcome and costs of our preclinical development activities, clinical trials and other research and development activities;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establishing an appropriate safety profile with IND-enabling studies;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successful patient enrollment in, and the initiation and completion of, clinical trials;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the timing, receipt and terms of any marketing approvals from applicable regulatory authorities;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establishing commercial manufacturing capabilities or making arrangements with third-party manufacturers;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48"/>
        </w:numPr>
        <w:rPr>
          <w:rFonts w:ascii="Arial" w:cs="Arial" w:eastAsia="Arial" w:hAnsi="Arial"/>
          <w:sz w:val="16"/>
          <w:szCs w:val="16"/>
          <w:color w:val="32406B"/>
        </w:rPr>
      </w:pPr>
      <w:r>
        <w:rPr>
          <w:rFonts w:ascii="Arial" w:cs="Arial" w:eastAsia="Arial" w:hAnsi="Arial"/>
          <w:sz w:val="16"/>
          <w:szCs w:val="16"/>
          <w:color w:val="32406B"/>
        </w:rPr>
        <w:t>development and timely delivery of commercial-grade drug formulations that can be used in our clinical trials and for commercial launch;</w:t>
      </w:r>
    </w:p>
    <w:p>
      <w:pPr>
        <w:spacing w:after="0" w:line="153" w:lineRule="exact"/>
        <w:rPr>
          <w:rFonts w:ascii="Arial" w:cs="Arial" w:eastAsia="Arial" w:hAnsi="Arial"/>
          <w:sz w:val="16"/>
          <w:szCs w:val="16"/>
          <w:color w:val="32406B"/>
        </w:rPr>
      </w:pPr>
    </w:p>
    <w:p>
      <w:pPr>
        <w:ind w:left="1060" w:hanging="424"/>
        <w:spacing w:after="0"/>
        <w:tabs>
          <w:tab w:leader="none" w:pos="106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obtaining, maintaining, defending and enforcing patent claims and other intellectual property rights;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significant and changing government regulation;</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launching commercial sales of our product candidates, if and when approved, whether alone or in collaboration with others;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maintaining a continued acceptable safety profile of the product candidates following approval.</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U.S. Food and Drug Administration, or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General and Administrative Expenses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1"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32406B"/>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director and officer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70</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32406B"/>
        </w:rPr>
        <w:t>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Other Income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Interest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Interest income consists of income from bank deposits.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Other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Other expense consists of foreign exchange gain or loss.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Change in Fair Value of Preferred Stock Warrant Liability</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32406B"/>
        </w:rPr>
        <w:t>In connection with entering into our loan agreement, we agreed to issue a warrant to purchase shares of our preferred stock to the lender. We classify the warrant as a liability on our consolidated balance sheet and we are required to remeasure to fair value at each reporting date. We recognize changes in the fair value of the warrant liability as a component of other income (expense), net in our consolidated statements of operations and comprehensive loss. We will continue to recognize changes in the fair value of the warrant liability until the warrants are exercised, expire or qualify for equity classification.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Change in Fair Value of Derivative Liability</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32406B"/>
        </w:rPr>
        <w:t>Our stock purchase agreement with University Health Network, or UHN, provides for a payment to UHN upon completion of an initial public offering, or IPO, which includes this offering, if UHN’s fully-diluted percentage ownership of our company is reduced within a range of specified percentages. We classify the IPO dilution payment obligation as a liability on our consolidated balance sheet and we are required to remeasure to fair value at each reporting date. We recognize changes in the fair value of the derivative liability as a component of other income (expense), net in our consolidated statements of operations and comprehensive loss. We will continue to recognize changes in the fair value of the derivative liability until an IPO occurs.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71</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Consolidated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Comparison of the Years Ended December 31, 2016 and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summarizes our consolidated results of operations for the years ended December 31, 2016 and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7"/>
          </w:tcPr>
          <w:p>
            <w:pPr>
              <w:ind w:left="120"/>
              <w:spacing w:after="0"/>
              <w:rPr>
                <w:sz w:val="20"/>
                <w:szCs w:val="20"/>
                <w:color w:val="auto"/>
              </w:rPr>
            </w:pPr>
            <w:r>
              <w:rPr>
                <w:rFonts w:ascii="Arial" w:cs="Arial" w:eastAsia="Arial" w:hAnsi="Arial"/>
                <w:sz w:val="14"/>
                <w:szCs w:val="14"/>
                <w:b w:val="1"/>
                <w:bCs w:val="1"/>
                <w:color w:val="32406B"/>
              </w:rPr>
              <w:t>Year Ended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7"/>
          </w:tcPr>
          <w:p>
            <w:pPr>
              <w:ind w:left="80"/>
              <w:spacing w:after="0"/>
              <w:rPr>
                <w:sz w:val="20"/>
                <w:szCs w:val="20"/>
                <w:color w:val="auto"/>
              </w:rPr>
            </w:pPr>
            <w:r>
              <w:rPr>
                <w:rFonts w:ascii="Arial" w:cs="Arial" w:eastAsia="Arial" w:hAnsi="Arial"/>
                <w:sz w:val="14"/>
                <w:szCs w:val="14"/>
                <w:b w:val="1"/>
                <w:bCs w:val="1"/>
                <w:color w:val="32406B"/>
              </w:rPr>
              <w:t>December 31,</w:t>
            </w:r>
          </w:p>
        </w:tc>
        <w:tc>
          <w:tcPr>
            <w:tcW w:w="120" w:type="dxa"/>
            <w:vAlign w:val="bottom"/>
          </w:tcPr>
          <w:p>
            <w:pPr>
              <w:spacing w:after="0"/>
              <w:rPr>
                <w:sz w:val="14"/>
                <w:szCs w:val="14"/>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32406B"/>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81"/>
              <w:spacing w:after="0" w:line="142" w:lineRule="exact"/>
              <w:rPr>
                <w:sz w:val="20"/>
                <w:szCs w:val="20"/>
                <w:color w:val="auto"/>
              </w:rPr>
            </w:pPr>
            <w:r>
              <w:rPr>
                <w:rFonts w:ascii="Arial" w:cs="Arial" w:eastAsia="Arial" w:hAnsi="Arial"/>
                <w:sz w:val="14"/>
                <w:szCs w:val="14"/>
                <w:b w:val="1"/>
                <w:bCs w:val="1"/>
                <w:color w:val="32406B"/>
              </w:rPr>
              <w:t>2016</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b w:val="1"/>
                <w:bCs w:val="1"/>
                <w:color w:val="32406B"/>
              </w:rPr>
              <w:t>2017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5"/>
          </w:tcPr>
          <w:p>
            <w:pPr>
              <w:ind w:left="120"/>
              <w:spacing w:after="0" w:line="142" w:lineRule="exact"/>
              <w:rPr>
                <w:sz w:val="20"/>
                <w:szCs w:val="20"/>
                <w:color w:val="auto"/>
              </w:rPr>
            </w:pPr>
            <w:r>
              <w:rPr>
                <w:rFonts w:ascii="Arial" w:cs="Arial" w:eastAsia="Arial" w:hAnsi="Arial"/>
                <w:sz w:val="14"/>
                <w:szCs w:val="14"/>
                <w:b w:val="1"/>
                <w:bCs w:val="1"/>
                <w:color w:val="32406B"/>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32406B"/>
              </w:rPr>
              <w:t>Operating expenses: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32406B"/>
              </w:rPr>
              <w:t>Research and development</w:t>
            </w:r>
          </w:p>
        </w:tc>
        <w:tc>
          <w:tcPr>
            <w:tcW w:w="2460" w:type="dxa"/>
            <w:vAlign w:val="bottom"/>
            <w:gridSpan w:val="4"/>
          </w:tcPr>
          <w:p>
            <w:pPr>
              <w:jc w:val="right"/>
              <w:spacing w:after="0"/>
              <w:rPr>
                <w:sz w:val="20"/>
                <w:szCs w:val="20"/>
                <w:color w:val="auto"/>
              </w:rPr>
            </w:pPr>
            <w:r>
              <w:rPr>
                <w:rFonts w:ascii="Arial" w:cs="Arial" w:eastAsia="Arial" w:hAnsi="Arial"/>
                <w:sz w:val="18"/>
                <w:szCs w:val="18"/>
                <w:color w:val="32406B"/>
              </w:rPr>
              <w:t>$ 2,663</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32406B"/>
              </w:rPr>
              <w:t>$ 15,191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32406B"/>
                <w:w w:val="99"/>
              </w:rPr>
              <w:t>$ 12,528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General and administrative</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1,962</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3,195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1,233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32406B"/>
              </w:rPr>
              <w:t>Total operating expenses</w:t>
            </w:r>
          </w:p>
        </w:tc>
        <w:tc>
          <w:tcPr>
            <w:tcW w:w="1880" w:type="dxa"/>
            <w:vAlign w:val="bottom"/>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32406B"/>
              </w:rPr>
              <w:t>4,625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18,386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13,761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32406B"/>
              </w:rPr>
              <w:t>Loss from operations</w:t>
            </w:r>
          </w:p>
        </w:tc>
        <w:tc>
          <w:tcPr>
            <w:tcW w:w="2700" w:type="dxa"/>
            <w:vAlign w:val="bottom"/>
            <w:gridSpan w:val="5"/>
            <w:shd w:val="clear" w:color="auto" w:fill="CCEEFF"/>
          </w:tcPr>
          <w:p>
            <w:pPr>
              <w:jc w:val="right"/>
              <w:ind w:right="119"/>
              <w:spacing w:after="0"/>
              <w:rPr>
                <w:sz w:val="20"/>
                <w:szCs w:val="20"/>
                <w:color w:val="auto"/>
              </w:rPr>
            </w:pPr>
            <w:r>
              <w:rPr>
                <w:rFonts w:ascii="Arial" w:cs="Arial" w:eastAsia="Arial" w:hAnsi="Arial"/>
                <w:sz w:val="18"/>
                <w:szCs w:val="18"/>
                <w:color w:val="32406B"/>
              </w:rPr>
              <w:t>(4,625)</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32406B"/>
              </w:rPr>
              <w:t>(18,386)</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32406B"/>
              </w:rPr>
              <w:t>Other income (expense):</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Interest income</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6</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57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32406B"/>
              </w:rPr>
              <w:t>Change in fair value of preferred stock warrant liability</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179"/>
              <w:spacing w:after="0"/>
              <w:rPr>
                <w:sz w:val="20"/>
                <w:szCs w:val="20"/>
                <w:color w:val="auto"/>
              </w:rPr>
            </w:pPr>
            <w:r>
              <w:rPr>
                <w:rFonts w:ascii="Arial" w:cs="Arial" w:eastAsia="Arial" w:hAnsi="Arial"/>
                <w:sz w:val="18"/>
                <w:szCs w:val="18"/>
                <w:color w:val="32406B"/>
              </w:rPr>
              <w:t>—</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32406B"/>
              </w:rPr>
              <w:t>(17)</w:t>
            </w:r>
          </w:p>
        </w:tc>
        <w:tc>
          <w:tcPr>
            <w:tcW w:w="24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32406B"/>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Change in fair value of derivative liability</w:t>
            </w:r>
          </w:p>
        </w:tc>
        <w:tc>
          <w:tcPr>
            <w:tcW w:w="2700" w:type="dxa"/>
            <w:vAlign w:val="bottom"/>
            <w:gridSpan w:val="5"/>
            <w:shd w:val="clear" w:color="auto" w:fill="CCEEFF"/>
          </w:tcPr>
          <w:p>
            <w:pPr>
              <w:jc w:val="right"/>
              <w:ind w:right="119"/>
              <w:spacing w:after="0"/>
              <w:rPr>
                <w:sz w:val="20"/>
                <w:szCs w:val="20"/>
                <w:color w:val="auto"/>
              </w:rPr>
            </w:pPr>
            <w:r>
              <w:rPr>
                <w:rFonts w:ascii="Arial" w:cs="Arial" w:eastAsia="Arial" w:hAnsi="Arial"/>
                <w:sz w:val="18"/>
                <w:szCs w:val="18"/>
                <w:color w:val="32406B"/>
              </w:rPr>
              <w:t>(39)</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32406B"/>
              </w:rPr>
              <w:t>(283)</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32406B"/>
              </w:rPr>
              <w:t>Other expense</w:t>
            </w:r>
          </w:p>
        </w:tc>
        <w:tc>
          <w:tcPr>
            <w:tcW w:w="1880" w:type="dxa"/>
            <w:vAlign w:val="bottom"/>
          </w:tcPr>
          <w:p>
            <w:pPr>
              <w:spacing w:after="0"/>
              <w:rPr>
                <w:sz w:val="18"/>
                <w:szCs w:val="18"/>
                <w:color w:val="auto"/>
              </w:rPr>
            </w:pPr>
          </w:p>
        </w:tc>
        <w:tc>
          <w:tcPr>
            <w:tcW w:w="820" w:type="dxa"/>
            <w:vAlign w:val="bottom"/>
            <w:gridSpan w:val="4"/>
          </w:tcPr>
          <w:p>
            <w:pPr>
              <w:jc w:val="right"/>
              <w:ind w:right="119"/>
              <w:spacing w:after="0"/>
              <w:rPr>
                <w:sz w:val="20"/>
                <w:szCs w:val="20"/>
                <w:color w:val="auto"/>
              </w:rPr>
            </w:pPr>
            <w:r>
              <w:rPr>
                <w:rFonts w:ascii="Arial" w:cs="Arial" w:eastAsia="Arial" w:hAnsi="Arial"/>
                <w:sz w:val="18"/>
                <w:szCs w:val="18"/>
                <w:color w:val="32406B"/>
              </w:rPr>
              <w:t>(6)</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32406B"/>
              </w:rPr>
              <w:t>(19)</w:t>
            </w:r>
          </w:p>
        </w:tc>
        <w:tc>
          <w:tcPr>
            <w:tcW w:w="24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32406B"/>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Total other expense, net</w:t>
            </w:r>
          </w:p>
        </w:tc>
        <w:tc>
          <w:tcPr>
            <w:tcW w:w="18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19"/>
              <w:spacing w:after="0"/>
              <w:rPr>
                <w:sz w:val="20"/>
                <w:szCs w:val="20"/>
                <w:color w:val="auto"/>
              </w:rPr>
            </w:pPr>
            <w:r>
              <w:rPr>
                <w:rFonts w:ascii="Arial" w:cs="Arial" w:eastAsia="Arial" w:hAnsi="Arial"/>
                <w:sz w:val="18"/>
                <w:szCs w:val="18"/>
                <w:color w:val="32406B"/>
              </w:rPr>
              <w:t>(39)</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32406B"/>
              </w:rPr>
              <w:t>(262)</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(223)</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32406B"/>
              </w:rPr>
              <w:t>Net loss</w:t>
            </w:r>
          </w:p>
        </w:tc>
        <w:tc>
          <w:tcPr>
            <w:tcW w:w="188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32406B"/>
                <w:w w:val="83"/>
              </w:rPr>
              <w:t>$(4,664)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w w:val="83"/>
              </w:rPr>
              <w:t>$(18,648)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5"/>
              </w:rPr>
              <w:t>$(13,984)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tcPr>
          <w:p>
            <w:pPr>
              <w:ind w:left="420"/>
              <w:spacing w:after="0"/>
              <w:rPr>
                <w:sz w:val="20"/>
                <w:szCs w:val="20"/>
                <w:color w:val="auto"/>
              </w:rPr>
            </w:pPr>
            <w:r>
              <w:rPr>
                <w:rFonts w:ascii="Arial" w:cs="Arial" w:eastAsia="Arial" w:hAnsi="Arial"/>
                <w:sz w:val="18"/>
                <w:szCs w:val="18"/>
                <w:i w:val="1"/>
                <w:iCs w:val="1"/>
                <w:color w:val="32406B"/>
              </w:rPr>
              <w:t>Research and Development Expenses</w:t>
            </w:r>
          </w:p>
        </w:tc>
        <w:tc>
          <w:tcPr>
            <w:tcW w:w="1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32406B"/>
                <w:w w:val="93"/>
              </w:rPr>
              <w:t>Year Ended</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32406B"/>
                <w:w w:val="92"/>
              </w:rPr>
              <w:t>December 31,</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32406B"/>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220" w:type="dxa"/>
            <w:vAlign w:val="bottom"/>
            <w:gridSpan w:val="3"/>
          </w:tcPr>
          <w:p>
            <w:pPr>
              <w:spacing w:after="0"/>
              <w:rPr>
                <w:sz w:val="12"/>
                <w:szCs w:val="12"/>
                <w:color w:val="auto"/>
              </w:rPr>
            </w:pPr>
          </w:p>
        </w:tc>
        <w:tc>
          <w:tcPr>
            <w:tcW w:w="4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32406B"/>
              </w:rPr>
              <w:t>2016</w:t>
            </w:r>
          </w:p>
        </w:tc>
        <w:tc>
          <w:tcPr>
            <w:tcW w:w="8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32406B"/>
              </w:rPr>
              <w:t>2017</w:t>
            </w:r>
          </w:p>
        </w:tc>
        <w:tc>
          <w:tcPr>
            <w:tcW w:w="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32406B"/>
                <w:w w:val="95"/>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32406B"/>
              </w:rPr>
              <w:t>Direct research and development expenses by program:</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32406B"/>
              </w:rPr>
              <w:t>Fabry</w:t>
            </w:r>
          </w:p>
        </w:tc>
        <w:tc>
          <w:tcPr>
            <w:tcW w:w="2700" w:type="dxa"/>
            <w:vAlign w:val="bottom"/>
            <w:gridSpan w:val="5"/>
          </w:tcPr>
          <w:p>
            <w:pPr>
              <w:jc w:val="right"/>
              <w:spacing w:after="0"/>
              <w:rPr>
                <w:sz w:val="20"/>
                <w:szCs w:val="20"/>
                <w:color w:val="auto"/>
              </w:rPr>
            </w:pPr>
            <w:r>
              <w:rPr>
                <w:rFonts w:ascii="Arial" w:cs="Arial" w:eastAsia="Arial" w:hAnsi="Arial"/>
                <w:sz w:val="18"/>
                <w:szCs w:val="18"/>
                <w:color w:val="32406B"/>
              </w:rPr>
              <w:t>$  105</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32406B"/>
              </w:rPr>
              <w:t>$ 6,101</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32406B"/>
              </w:rPr>
              <w:t>$ 5,996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Gaucher</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32406B"/>
              </w:rPr>
              <w:t>50</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32406B"/>
              </w:rPr>
              <w:t>2,612</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32406B"/>
              </w:rPr>
              <w:t>AML</w:t>
            </w:r>
          </w:p>
        </w:tc>
        <w:tc>
          <w:tcPr>
            <w:tcW w:w="2700" w:type="dxa"/>
            <w:vAlign w:val="bottom"/>
            <w:gridSpan w:val="5"/>
          </w:tcPr>
          <w:p>
            <w:pPr>
              <w:jc w:val="right"/>
              <w:spacing w:after="0"/>
              <w:rPr>
                <w:sz w:val="20"/>
                <w:szCs w:val="20"/>
                <w:color w:val="auto"/>
              </w:rPr>
            </w:pPr>
            <w:r>
              <w:rPr>
                <w:rFonts w:ascii="Arial" w:cs="Arial" w:eastAsia="Arial" w:hAnsi="Arial"/>
                <w:sz w:val="18"/>
                <w:szCs w:val="18"/>
                <w:color w:val="32406B"/>
              </w:rPr>
              <w:t>785</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32406B"/>
              </w:rPr>
              <w:t>180</w:t>
            </w:r>
          </w:p>
        </w:tc>
        <w:tc>
          <w:tcPr>
            <w:tcW w:w="24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32406B"/>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Cystinosis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32406B"/>
              </w:rPr>
              <w:t>1,030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32406B"/>
              </w:rPr>
              <w:t>Pompe</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32406B"/>
              </w:rPr>
              <w:t>—</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32406B"/>
              </w:rPr>
              <w:t>1,010</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32406B"/>
              </w:rPr>
              <w:t>1,010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32406B"/>
              </w:rPr>
              <w:t>Unallocated research and development expenses: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32406B"/>
              </w:rPr>
              <w:t>Personnel related (including stock-based compensation)</w:t>
            </w:r>
          </w:p>
        </w:tc>
        <w:tc>
          <w:tcPr>
            <w:tcW w:w="2700" w:type="dxa"/>
            <w:vAlign w:val="bottom"/>
            <w:gridSpan w:val="5"/>
          </w:tcPr>
          <w:p>
            <w:pPr>
              <w:jc w:val="right"/>
              <w:spacing w:after="0"/>
              <w:rPr>
                <w:sz w:val="20"/>
                <w:szCs w:val="20"/>
                <w:color w:val="auto"/>
              </w:rPr>
            </w:pPr>
            <w:r>
              <w:rPr>
                <w:rFonts w:ascii="Arial" w:cs="Arial" w:eastAsia="Arial" w:hAnsi="Arial"/>
                <w:sz w:val="18"/>
                <w:szCs w:val="18"/>
                <w:color w:val="32406B"/>
              </w:rPr>
              <w:t>1,298</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32406B"/>
              </w:rPr>
              <w:t>3,203</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32406B"/>
              </w:rPr>
              <w:t>1,905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Other</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32406B"/>
              </w:rPr>
              <w:t>425</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32406B"/>
              </w:rPr>
              <w:t>1,055</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32406B"/>
              </w:rPr>
              <w:t>Total research and development expenses</w:t>
            </w:r>
          </w:p>
        </w:tc>
        <w:tc>
          <w:tcPr>
            <w:tcW w:w="22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w w:val="83"/>
              </w:rPr>
              <w:t>$2,663</w:t>
            </w:r>
          </w:p>
        </w:tc>
        <w:tc>
          <w:tcPr>
            <w:tcW w:w="380" w:type="dxa"/>
            <w:vAlign w:val="bottom"/>
            <w:gridSpan w:val="2"/>
          </w:tcPr>
          <w:p>
            <w:pPr>
              <w:spacing w:after="0"/>
              <w:rPr>
                <w:sz w:val="19"/>
                <w:szCs w:val="19"/>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32406B"/>
                <w:w w:val="86"/>
              </w:rPr>
              <w:t>$15,191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$12,528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32406B"/>
        </w:rPr>
        <w:t>Research and development expenses were $2.7 million for the year ended December 31, 2016, compared to $15.2 million for the year ended December 31, 2017. The increase of $12.5 million was primarily due to increases of $6.0 million in direct costs for our Fabry program, $2.6 million in direct costs connected with our Gaucher program, $1.0 million in direct costs related to our Cystinosis program, $1.0 million in direct costs connected with our Pompe program, and $2.5 million in research and discovery and unallocated costs, all partially offset by a decrease of $0.6 million in direct costs for our AML program as we shifted our focus onto developing our other programs.</w:t>
      </w:r>
    </w:p>
    <w:p>
      <w:pPr>
        <w:spacing w:after="0" w:line="17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32406B"/>
        </w:rPr>
        <w:t>The increase in direct costs for our Fabry program was primarily due to pre-clinical, clinical and process development cost of $3.1 million, as well as CMO, CRO and consulting fees of $2.5 million.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72</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32406B"/>
        </w:rPr>
        <w:t>The increase in direct costs for our Gaucher program was primarily due to pre-clinical and process development cost of $1.2 million, as well as CMO fees of $1.0 million.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increase in direct costs for our Cystinosis program was primarily due to upfront license cost of $1.0 million paid to GenStem.</w:t>
      </w:r>
    </w:p>
    <w:p>
      <w:pPr>
        <w:spacing w:after="0" w:line="22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32406B"/>
        </w:rPr>
        <w:t>The increase in direct costs for our Pompe program was primarily due to upfront license cost of $0.5 million paid and $0.5 million payable to BioMarin.</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32406B"/>
        </w:rPr>
        <w:t>The increase in research and discovery and unallocated costs was primarily due to an increase of $1.9 million in personnel-related costs, including stock-based compensation, as a result of hiring additional personnel in our research and development department and an increase of $0.6 million in unallocated consulting expenses and facility costs and rent expense. Personnel-related costs for the years ended December 31, 2016 and 2017 included stock-based compensation expense of less than $0.1 million.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General and Administrative Expenses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32406B"/>
        </w:rPr>
        <w:t>General and administrative expenses were $2.0 million for the year ended December 31, 2016, compared to $3.2 million for the year ended December 31, 2017. The increase of $1.2 million was primarily due to increases of $0.4 million in personnel-related costs, including stock-based compensation, $0.3 million in consulting expense, $0.1 million in professional fees and $0.2 million in facility expense. The increase in personnel-related costs was due to the hiring of additional personnel in our general and administrative functions, including the hiring of our CFO in late 2017. Professional fees increased due to costs associated with the preparation of our financial statements as well as ongoing business operations. The increase in facility expense was primarily due to the addition of increased office space as a result of the continued growth of the employee headcount.</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Other Income (Expense),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Other income (expense), net was not significant during either of the years ended December 31, 2016 or 2017.</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Comparison of the Three Months Ended March 31, 2017 and 2018</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summarizes our consolidated results of operations for the three months ended March 31, 2017 and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32406B"/>
              </w:rPr>
              <w:t>Three Months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32406B"/>
              </w:rPr>
              <w:t>Ended March 31,</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32406B"/>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32406B"/>
              </w:rPr>
              <w:t>2017</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32406B"/>
              </w:rPr>
              <w:t>2018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32406B"/>
                <w:w w:val="99"/>
              </w:rPr>
              <w:t>(in thousands)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32406B"/>
              </w:rPr>
              <w:t>Operating expenses:</w:t>
            </w:r>
          </w:p>
        </w:tc>
        <w:tc>
          <w:tcPr>
            <w:tcW w:w="3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700"/>
              <w:spacing w:after="0"/>
              <w:rPr>
                <w:sz w:val="20"/>
                <w:szCs w:val="20"/>
                <w:color w:val="auto"/>
              </w:rPr>
            </w:pPr>
            <w:r>
              <w:rPr>
                <w:rFonts w:ascii="Arial" w:cs="Arial" w:eastAsia="Arial" w:hAnsi="Arial"/>
                <w:sz w:val="18"/>
                <w:szCs w:val="18"/>
                <w:color w:val="32406B"/>
              </w:rPr>
              <w:t>Research and development</w:t>
            </w:r>
          </w:p>
        </w:tc>
        <w:tc>
          <w:tcPr>
            <w:tcW w:w="4060" w:type="dxa"/>
            <w:vAlign w:val="bottom"/>
            <w:gridSpan w:val="2"/>
          </w:tcPr>
          <w:p>
            <w:pPr>
              <w:jc w:val="right"/>
              <w:spacing w:after="0"/>
              <w:rPr>
                <w:sz w:val="20"/>
                <w:szCs w:val="20"/>
                <w:color w:val="auto"/>
              </w:rPr>
            </w:pPr>
            <w:r>
              <w:rPr>
                <w:rFonts w:ascii="Arial" w:cs="Arial" w:eastAsia="Arial" w:hAnsi="Arial"/>
                <w:sz w:val="18"/>
                <w:szCs w:val="18"/>
                <w:color w:val="32406B"/>
              </w:rPr>
              <w:t>$ 1,434</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32406B"/>
              </w:rPr>
              <w:t>$ 5,647</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32406B"/>
              </w:rPr>
              <w:t>$ 4,213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General and administrative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610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2,141</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1,531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1060"/>
              <w:spacing w:after="0"/>
              <w:rPr>
                <w:sz w:val="20"/>
                <w:szCs w:val="20"/>
                <w:color w:val="auto"/>
              </w:rPr>
            </w:pPr>
            <w:r>
              <w:rPr>
                <w:rFonts w:ascii="Arial" w:cs="Arial" w:eastAsia="Arial" w:hAnsi="Arial"/>
                <w:sz w:val="18"/>
                <w:szCs w:val="18"/>
                <w:color w:val="32406B"/>
              </w:rPr>
              <w:t>Total operating expenses</w:t>
            </w:r>
          </w:p>
        </w:tc>
        <w:tc>
          <w:tcPr>
            <w:tcW w:w="35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2,044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7,788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5,744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32406B"/>
              </w:rPr>
              <w:t>Loss from operations</w:t>
            </w:r>
          </w:p>
        </w:tc>
        <w:tc>
          <w:tcPr>
            <w:tcW w:w="4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32406B"/>
              </w:rPr>
              <w:t>(2,044)</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32406B"/>
              </w:rPr>
              <w:t>(7,788)</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32406B"/>
              </w:rPr>
              <w:t>Other income (expense):</w:t>
            </w:r>
          </w:p>
        </w:tc>
        <w:tc>
          <w:tcPr>
            <w:tcW w:w="3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Interest income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158</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32406B"/>
              </w:rPr>
              <w:t>Change in fair value of preferred stock warrant liability</w:t>
            </w:r>
          </w:p>
        </w:tc>
        <w:tc>
          <w:tcPr>
            <w:tcW w:w="3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32406B"/>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32406B"/>
              </w:rPr>
              <w:t>(12)</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32406B"/>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Change in fair value of derivative liability</w:t>
            </w:r>
          </w:p>
        </w:tc>
        <w:tc>
          <w:tcPr>
            <w:tcW w:w="4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32406B"/>
              </w:rPr>
              <w:t>(32)</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32406B"/>
              </w:rPr>
              <w:t>(587)</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32406B"/>
              </w:rPr>
              <w:t>Other expenses</w:t>
            </w:r>
          </w:p>
        </w:tc>
        <w:tc>
          <w:tcPr>
            <w:tcW w:w="35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32406B"/>
              </w:rPr>
              <w:t>(5)</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32406B"/>
              </w:rPr>
              <w:t>(13)</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32406B"/>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Total other expense, net</w:t>
            </w:r>
          </w:p>
        </w:tc>
        <w:tc>
          <w:tcPr>
            <w:tcW w:w="3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(33)</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32406B"/>
              </w:rPr>
              <w:t>(454)</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(421)</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32406B"/>
              </w:rPr>
              <w:t>Net loss</w:t>
            </w:r>
          </w:p>
        </w:tc>
        <w:tc>
          <w:tcPr>
            <w:tcW w:w="35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0"/>
              </w:rPr>
              <w:t>$(2,077)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0"/>
              </w:rPr>
              <w:t>$(8,242)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0"/>
              </w:rPr>
              <w:t>$(6,165)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500" w:type="dxa"/>
            <w:vAlign w:val="bottom"/>
            <w:vMerge w:val="restart"/>
          </w:tcPr>
          <w:p>
            <w:pPr>
              <w:jc w:val="right"/>
              <w:ind w:right="2690"/>
              <w:spacing w:after="0"/>
              <w:rPr>
                <w:sz w:val="20"/>
                <w:szCs w:val="20"/>
                <w:color w:val="auto"/>
              </w:rPr>
            </w:pPr>
            <w:r>
              <w:rPr>
                <w:rFonts w:ascii="Arial" w:cs="Arial" w:eastAsia="Arial" w:hAnsi="Arial"/>
                <w:sz w:val="18"/>
                <w:szCs w:val="18"/>
                <w:color w:val="32406B"/>
              </w:rPr>
              <w:t>73</w:t>
            </w: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Research and Development Expenses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32406B"/>
                <w:w w:val="93"/>
              </w:rPr>
              <w:t>Three Months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32406B"/>
                <w:w w:val="95"/>
              </w:rPr>
              <w:t>Ended March 31,</w:t>
            </w:r>
          </w:p>
        </w:tc>
        <w:tc>
          <w:tcPr>
            <w:tcW w:w="10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32406B"/>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32406B"/>
                <w:w w:val="89"/>
              </w:rPr>
              <w:t>2017</w:t>
            </w: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32406B"/>
              </w:rPr>
              <w:t>2018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32406B"/>
                <w:w w:val="97"/>
              </w:rPr>
              <w:t>(in thousands)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32406B"/>
              </w:rPr>
              <w:t>Direct research and development expenses by program: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32406B"/>
              </w:rPr>
              <w:t>Fabry</w:t>
            </w:r>
          </w:p>
        </w:tc>
        <w:tc>
          <w:tcPr>
            <w:tcW w:w="100" w:type="dxa"/>
            <w:vAlign w:val="bottom"/>
            <w:gridSpan w:val="2"/>
          </w:tcPr>
          <w:p>
            <w:pPr>
              <w:jc w:val="right"/>
              <w:spacing w:after="0"/>
              <w:rPr>
                <w:sz w:val="20"/>
                <w:szCs w:val="20"/>
                <w:color w:val="auto"/>
              </w:rPr>
            </w:pPr>
            <w:r>
              <w:rPr>
                <w:rFonts w:ascii="Arial" w:cs="Arial" w:eastAsia="Arial" w:hAnsi="Arial"/>
                <w:sz w:val="18"/>
                <w:szCs w:val="18"/>
                <w:color w:val="32406B"/>
                <w:w w:val="79"/>
              </w:rPr>
              <w:t>$</w:t>
            </w:r>
          </w:p>
        </w:tc>
        <w:tc>
          <w:tcPr>
            <w:tcW w:w="400" w:type="dxa"/>
            <w:vAlign w:val="bottom"/>
          </w:tcPr>
          <w:p>
            <w:pPr>
              <w:jc w:val="right"/>
              <w:spacing w:after="0"/>
              <w:rPr>
                <w:sz w:val="20"/>
                <w:szCs w:val="20"/>
                <w:color w:val="auto"/>
              </w:rPr>
            </w:pPr>
            <w:r>
              <w:rPr>
                <w:rFonts w:ascii="Arial" w:cs="Arial" w:eastAsia="Arial" w:hAnsi="Arial"/>
                <w:sz w:val="18"/>
                <w:szCs w:val="18"/>
                <w:color w:val="32406B"/>
              </w:rPr>
              <w:t>387</w:t>
            </w: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$1,889</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32406B"/>
              </w:rPr>
              <w:t>$1,502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Gaucher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855</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32406B"/>
              </w:rPr>
              <w:t>AML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32406B"/>
              </w:rPr>
              <w:t>166</w:t>
            </w: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46</w:t>
            </w:r>
          </w:p>
        </w:tc>
        <w:tc>
          <w:tcPr>
            <w:tcW w:w="2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32406B"/>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Cystinosis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148</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32406B"/>
              </w:rPr>
              <w:t>Pompe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32406B"/>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147</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32406B"/>
              </w:rPr>
              <w:t>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32406B"/>
              </w:rPr>
              <w:t>Unallocated research and development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32406B"/>
              </w:rPr>
              <w:t>Personnel related (including 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32406B"/>
              </w:rPr>
              <w:t>636</w:t>
            </w: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1,621</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32406B"/>
              </w:rPr>
              <w:t>985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941</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700"/>
              <w:spacing w:after="0"/>
              <w:rPr>
                <w:sz w:val="20"/>
                <w:szCs w:val="20"/>
                <w:color w:val="auto"/>
              </w:rPr>
            </w:pPr>
            <w:r>
              <w:rPr>
                <w:rFonts w:ascii="Arial" w:cs="Arial" w:eastAsia="Arial" w:hAnsi="Arial"/>
                <w:sz w:val="18"/>
                <w:szCs w:val="18"/>
                <w:color w:val="32406B"/>
              </w:rPr>
              <w:t>Total research and development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4"/>
              </w:rPr>
              <w:t>1,434</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7"/>
              </w:rPr>
              <w:t>$5,647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7"/>
              </w:rPr>
              <w:t>$4,213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32406B"/>
        </w:rPr>
        <w:t>Research and development expenses were $1.4 million for the three months ended March 31, 2017, compared to $5.6 million for the three months ended March 31, 2018. The increase of $4.2 million was primarily due to increases of $1.5 million in direct costs for our Fabry program, $0.8 million in direct costs connected with our Gaucher program, $0.1 million in direct costs related to our Cystinosis program, $0.1 million in direct costs related to our Pompe program, and $1.6 million in research and discovery and unallocated costs, all partially offset by a decrease of $0.1 million in direct costs for our AML program as we shifted our focus onto developing our other programs.</w:t>
      </w:r>
    </w:p>
    <w:p>
      <w:pPr>
        <w:spacing w:after="0" w:line="17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32406B"/>
        </w:rPr>
        <w:t>The increase in direct costs for our Fabry program was primarily due to pre-clinical, clinical and process development cost of $1.1 million, as well as CMO, CRO and consulting fees of $0.4 million.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increase in direct costs for our Gaucher program was primarily due to pre-clinical and process development cost of $0.8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increase in direct costs for our Cystinosis program was primarily due to consulting fees of $0.1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increase in direct costs for our Pompe program was primarily due to development costs of $0.1 million.</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32406B"/>
        </w:rPr>
        <w:t>The increase in research and discovery and unallocated costs was primarily due to an increase of $1.0 million in personnel-related costs, including stock-based compensation, as a result of hiring additional personnel in our research and development department and an increase of $0.8 million in unallocated consulting expenses and facility costs and rent expense.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General and Administrative Expenses</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32406B"/>
        </w:rPr>
        <w:t>General and administrative expenses were $0.6 million for the three months ended March 31, 2017, compared to $2.1 million for the three months ended March 31, 2018. The increase of $1.5 million was primarily due to increases of $0.6 million in personnel-related costs, including stock-based compensation, $0.6 million in consulting expense, $0.2 million in professional fees and $0.1 million in legal expense. The increase in personnel-related costs was due to the hiring of additional personnel in our general and administrative functions, including the hiring of our CFO in late 2017. Professional fees increased due to costs associated with the preparation of our consolidated financial statements as well as ongoing business operations.</w:t>
      </w: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74</w:t>
      </w:r>
    </w:p>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Other Income (Expense), net</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32406B"/>
        </w:rPr>
        <w:t>Other income (expense), net was a loss of less than $0.1 million for the three months ended March 31, 2017, compared to a loss of $0.5 million for the three months ended March 31, 2018. The increase in other expense of $0.4 million was primarily due to increase of $0.6 million in change fair value of derivative liability, partially offset by a $0.2 million increase in interest income.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Liquidity and Capital Resources</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32406B"/>
        </w:rPr>
        <w:t>Since our inception, we have not generated any revenue and have incurred significant operating losses and negative cash flows from our operations. We have funded our operations to date primarily with proceeds from the sale of preferred stock. Through March 31, 2018, we had received gross cash proceeds of $87.5 million from sales of our preferred stock.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Cash in excess of immediate requirements is invested primarily with a view to liquidity and capital preservation.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summarizes our cash flows for each of the periods presented: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32406B"/>
                <w:w w:val="93"/>
              </w:rPr>
              <w:t>Year Ended</w:t>
            </w:r>
          </w:p>
        </w:tc>
        <w:tc>
          <w:tcPr>
            <w:tcW w:w="180" w:type="dxa"/>
            <w:vAlign w:val="bottom"/>
          </w:tcPr>
          <w:p>
            <w:pPr>
              <w:spacing w:after="0"/>
              <w:rPr>
                <w:sz w:val="14"/>
                <w:szCs w:val="14"/>
                <w:color w:val="auto"/>
              </w:rPr>
            </w:pPr>
          </w:p>
        </w:tc>
        <w:tc>
          <w:tcPr>
            <w:tcW w:w="1680" w:type="dxa"/>
            <w:vAlign w:val="bottom"/>
            <w:gridSpan w:val="5"/>
          </w:tcPr>
          <w:p>
            <w:pPr>
              <w:ind w:left="120"/>
              <w:spacing w:after="0"/>
              <w:rPr>
                <w:sz w:val="20"/>
                <w:szCs w:val="20"/>
                <w:color w:val="auto"/>
              </w:rPr>
            </w:pPr>
            <w:r>
              <w:rPr>
                <w:rFonts w:ascii="Arial" w:cs="Arial" w:eastAsia="Arial" w:hAnsi="Arial"/>
                <w:sz w:val="14"/>
                <w:szCs w:val="14"/>
                <w:b w:val="1"/>
                <w:bCs w:val="1"/>
                <w:color w:val="32406B"/>
              </w:rPr>
              <w:t>Three Months Ended</w:t>
            </w: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32406B"/>
                <w:w w:val="92"/>
              </w:rPr>
              <w:t>December 31,</w:t>
            </w:r>
          </w:p>
        </w:tc>
        <w:tc>
          <w:tcPr>
            <w:tcW w:w="180" w:type="dxa"/>
            <w:vAlign w:val="bottom"/>
          </w:tcPr>
          <w:p>
            <w:pPr>
              <w:spacing w:after="0"/>
              <w:rPr>
                <w:sz w:val="14"/>
                <w:szCs w:val="14"/>
                <w:color w:val="auto"/>
              </w:rPr>
            </w:pPr>
          </w:p>
        </w:tc>
        <w:tc>
          <w:tcPr>
            <w:tcW w:w="1680" w:type="dxa"/>
            <w:vAlign w:val="bottom"/>
            <w:gridSpan w:val="5"/>
          </w:tcPr>
          <w:p>
            <w:pPr>
              <w:ind w:left="460"/>
              <w:spacing w:after="0"/>
              <w:rPr>
                <w:sz w:val="20"/>
                <w:szCs w:val="20"/>
                <w:color w:val="auto"/>
              </w:rPr>
            </w:pPr>
            <w:r>
              <w:rPr>
                <w:rFonts w:ascii="Arial" w:cs="Arial" w:eastAsia="Arial" w:hAnsi="Arial"/>
                <w:sz w:val="14"/>
                <w:szCs w:val="14"/>
                <w:b w:val="1"/>
                <w:bCs w:val="1"/>
                <w:color w:val="32406B"/>
              </w:rPr>
              <w:t>March 31,</w:t>
            </w: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32406B"/>
              </w:rPr>
              <w:t>2016</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32406B"/>
              </w:rPr>
              <w:t>2017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32406B"/>
              </w:rPr>
              <w:t>2017</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32406B"/>
              </w:rPr>
              <w:t>2018</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32406B"/>
                <w:w w:val="91"/>
              </w:rPr>
              <w:t>(in thousands)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32406B"/>
              </w:rPr>
              <w:t>Net cash used in operating activities</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32406B"/>
                <w:w w:val="92"/>
              </w:rPr>
              <w:t>$(3,314)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w w:val="92"/>
              </w:rPr>
              <w:t>(16,382)</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32406B"/>
              </w:rPr>
              <w:t>$(2,011)</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 (5,980)</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32406B"/>
              </w:rPr>
              <w:t>Net cash used in investing activities</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32406B"/>
              </w:rPr>
              <w:t>(24)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32406B"/>
              </w:rPr>
              <w:t>(383)</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32406B"/>
              </w:rPr>
              <w:t>(55)</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32406B"/>
              </w:rPr>
              <w:t>(263)</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32406B"/>
              </w:rPr>
              <w:t>Net cash provided by financing activities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8,695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17,371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3,487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58,208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32406B"/>
              </w:rPr>
              <w:t>Net increase in cash and cash equivalents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$ 5,357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6"/>
              </w:rPr>
              <w:t>$ 1,421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$51,965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Operating Activities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32406B"/>
        </w:rPr>
        <w:t>During the three months ended March 31, 2018, operating activities used $6.0 million of cash and cash equivalents, resulting from our net loss of $8.2 million, partially offset by non-cash charges of $0.9 million and net cash provided by changes in our operating assets and liabilities of $1.3 million. The net changes in our operating assets and liabilities was primarily due to increases in liabilities of $1.8 million due to ongoing research, development, and clinical trial efforts and partially offset by increases in assets of $0.5 million, including an increase due to a $0.2 million security deposit for a new lease that was executed in 2018.</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During the three months ended March 31, 2017, operating activities used $2.0 million of cash and cash equivalents, resulting from our net loss of $2.1 million, primarily offset by non-cash charges of $0.2 million and net cash used by changes in our operating assets and liabilities of $0.1 million. Net cash used by changes in our operating assets and liabilities for the three months ended March 31, 2017 consisted primarily of a $0.1 million increase in prepaid expenses and other current assets.</w:t>
      </w:r>
    </w:p>
    <w:p>
      <w:pPr>
        <w:spacing w:after="0" w:line="187" w:lineRule="exact"/>
        <w:rPr>
          <w:sz w:val="20"/>
          <w:szCs w:val="20"/>
          <w:color w:val="auto"/>
        </w:rPr>
      </w:pPr>
    </w:p>
    <w:p>
      <w:pPr>
        <w:ind w:left="200" w:right="400" w:firstLine="441"/>
        <w:spacing w:after="0" w:line="291" w:lineRule="auto"/>
        <w:rPr>
          <w:sz w:val="20"/>
          <w:szCs w:val="20"/>
          <w:color w:val="auto"/>
        </w:rPr>
      </w:pPr>
      <w:r>
        <w:rPr>
          <w:rFonts w:ascii="Arial" w:cs="Arial" w:eastAsia="Arial" w:hAnsi="Arial"/>
          <w:sz w:val="16"/>
          <w:szCs w:val="16"/>
          <w:color w:val="32406B"/>
        </w:rPr>
        <w:t>During the year ended December 31, 2017, operating activities used $16.4 million of cash and cash equivalents, resulting from our net loss of $18.6 million, partially offset by non-cash charges of $0.7 million and net cash provided by changes in our operating assets and liabilities of</w:t>
      </w:r>
    </w:p>
    <w:p>
      <w:pPr>
        <w:ind w:left="200"/>
        <w:spacing w:after="0"/>
        <w:rPr>
          <w:sz w:val="20"/>
          <w:szCs w:val="20"/>
          <w:color w:val="auto"/>
        </w:rPr>
      </w:pPr>
      <w:r>
        <w:rPr>
          <w:rFonts w:ascii="Arial" w:cs="Arial" w:eastAsia="Arial" w:hAnsi="Arial"/>
          <w:sz w:val="17"/>
          <w:szCs w:val="17"/>
          <w:color w:val="32406B"/>
        </w:rPr>
        <w:t>$1.6 million. Net cash provided by changes in our operating assets and liabilities for the year ended December 31, 2017 consisted primarily of a</w:t>
      </w:r>
    </w:p>
    <w:p>
      <w:pPr>
        <w:spacing w:after="0" w:line="21" w:lineRule="exact"/>
        <w:rPr>
          <w:sz w:val="20"/>
          <w:szCs w:val="20"/>
          <w:color w:val="auto"/>
        </w:rPr>
      </w:pPr>
    </w:p>
    <w:p>
      <w:pPr>
        <w:jc w:val="both"/>
        <w:ind w:left="200" w:right="120"/>
        <w:spacing w:after="0" w:line="255" w:lineRule="auto"/>
        <w:rPr>
          <w:sz w:val="20"/>
          <w:szCs w:val="20"/>
          <w:color w:val="auto"/>
        </w:rPr>
      </w:pPr>
      <w:r>
        <w:rPr>
          <w:rFonts w:ascii="Arial" w:cs="Arial" w:eastAsia="Arial" w:hAnsi="Arial"/>
          <w:sz w:val="18"/>
          <w:szCs w:val="18"/>
          <w:color w:val="32406B"/>
        </w:rPr>
        <w:t>$1.5 million increase in accrued expenses and other current liabilities, a $0.5 million increase in other long-term liability and a $0.2 million increase in accounts payable, partially offset by a $0.2 million increase in other assets and a $0.3 million increase in prepaid expenses and other current assets. The increases in accrued expenses and other</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75</w:t>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32406B"/>
        </w:rPr>
        <w:t>current liabilities were primarily due to ongoing research, development, and clinical trial work, and an increase in the incentive bonus accrual as of December 31, 2017. The increase in prepaid expenses and other current assets was primarily due to a $0.1 million increase in prepaid development costs associated with our Gaucher program and a $0.1 million increase in prepaid rent upon commencement of two new leases during 2017.</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During the year ended December 31, 2016, operating activities used $3.3 million of cash and cash equivalents, resulting from our net loss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$4.7 million, primarily offset by non-cash charges of $0.6 million and net cash provided by changes in our operating assets and liabilities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$0.8 million. Net cash provided by changes in our operating assets and liabilities for the year ended December 31, 2016 consisted primarily of a</w:t>
      </w:r>
    </w:p>
    <w:p>
      <w:pPr>
        <w:spacing w:after="0" w:line="21" w:lineRule="exact"/>
        <w:rPr>
          <w:sz w:val="20"/>
          <w:szCs w:val="20"/>
          <w:color w:val="auto"/>
        </w:rPr>
      </w:pPr>
    </w:p>
    <w:p>
      <w:pPr>
        <w:jc w:val="both"/>
        <w:ind w:left="200" w:right="180"/>
        <w:spacing w:after="0" w:line="255" w:lineRule="auto"/>
        <w:rPr>
          <w:sz w:val="20"/>
          <w:szCs w:val="20"/>
          <w:color w:val="auto"/>
        </w:rPr>
      </w:pPr>
      <w:r>
        <w:rPr>
          <w:rFonts w:ascii="Arial" w:cs="Arial" w:eastAsia="Arial" w:hAnsi="Arial"/>
          <w:sz w:val="18"/>
          <w:szCs w:val="18"/>
          <w:color w:val="32406B"/>
        </w:rPr>
        <w:t>$0.6 million increase in accrued expenses and other current liabilities and $0.2 million increase in accounts payable. The increase in accrued expenses and other current liabilities was due to an increase in professional fees and personnel costs associated with establishing our Cambridge, Massachusetts operations.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Investing Activities</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32406B"/>
        </w:rPr>
        <w:t>During the three months ended March 31, 2018, we used $0.3 million of cash and cash equivalents in investing activities consisting of purchases of property and equipment. During the three months ended March 31, 2017, we used less than $0.1 million of cash and cash equivalents in purchases of property and equipment.</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During the year ended December 31, 2017, we used $0.4 million of cash and cash equivalents in investing activities consisting of purchases of property and equipment. During the year ended December 31, 2016, we used an insignificant amount of cash and cash equivalents in investing activities consisting of payment of a leasing deposit.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Financing Activities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32406B"/>
        </w:rPr>
        <w:t>During the three months ended March 31, 2018, net cash provided by financing activities was $58.2 million, primarily consisting of net cash proceeds from our issuance of Series B preferred stock in January 2018.</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32406B"/>
        </w:rPr>
        <w:t>During the three months ended March 31, 2017, net cash provided by financing activities was $3.5 million, consisting of net cash proceeds from our issuance of Series A preferred stock in March 2017.</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32406B"/>
        </w:rPr>
        <w:t>During the year ended December 31, 2017, net cash provided by financing activities was $17.4 million, primarily consisting of net cash proceeds of $17.4 million from our issuance of Series A preferred stock in March 2017 and October 2017.</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During the year ended December 31, 2016, net cash provided by financing activities was $8.7 million, primarily consisting of net cash proceeds of $1.4 million from our issuance of Series Seed preferred stock in January 2016 and net proceeds of $7.3 million from our issuance of Series A preferred stock in July 2016.</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Term Loan Agreement</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32406B"/>
        </w:rPr>
        <w:t>In June 2017, we entered into a Loan and Security Agreement, which we refer to as the Loan Agreement, with Silicon Valley Bank, or SVB, providing a senior secured non-revolving loan facility of up to an aggregate principal amount of $10.0 million, available for us to draw down in three tranches until October 31, 2018, subject to the satisfaction of certain milestones for each tranche. As of March 31, 2018, we had not drawn down from the facility and the $3.5 million first tranche was available.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The first tranche of $3.5 million was made available upon entry into the Loan Agreement as we satisfied the borrowing conditions at such</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time. The second tranche of $3.5 million will be made available after the funding of the first tranche amounts and upon confirmation by SVB that either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we have met certain clinical and developmental milestones, or we have subsequently obtained at least $7.5 million in cash proceeds from the sale</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76</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32406B"/>
        </w:rPr>
        <w:t>of our equity securities from investors reasonably acceptable to SVB. The third tranche of $3.0 million will be made available after the funding of the first and second tranche amounts and upon confirmation by SVB that we have subsequently obtained at least an additional $6.5 million in cash proceeds from the sale of our equity securities to investors reasonably acceptable to SVB, and we have received a signed and enforceable term sheet from investors acceptable to SVB committing to provide financing on or before March 31, 2018 in an amount equal to at least 12 months of operating expenses. In January 2018, we received gross cash proceeds of $60.5 million from the sale of our Series B preferred stock.</w:t>
      </w:r>
    </w:p>
    <w:p>
      <w:pPr>
        <w:spacing w:after="0" w:line="173"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32406B"/>
        </w:rPr>
        <w:t>Any outstanding principal amounts under the Loan Agreement will accrue interest at a floating per annum rate equal to the greater of 1% and the “prime rate,” as published in the Wall Street Journal, minus 3%. 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w:t>
      </w:r>
    </w:p>
    <w:p>
      <w:pPr>
        <w:spacing w:after="0" w:line="188"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32406B"/>
        </w:rPr>
        <w:t>Pursuant to the Loan Agreement, we provided a first priority security interest in all existing and after-acquired assets, excluding intellectual property and certain other assets owned by us. The Loan Agreement contains a negative pledge on our intellectual property.</w:t>
      </w:r>
    </w:p>
    <w:p>
      <w:pPr>
        <w:spacing w:after="0" w:line="147" w:lineRule="exact"/>
        <w:rPr>
          <w:sz w:val="20"/>
          <w:szCs w:val="20"/>
          <w:color w:val="auto"/>
        </w:rPr>
      </w:pPr>
    </w:p>
    <w:p>
      <w:pPr>
        <w:ind w:left="200" w:right="360" w:firstLine="441"/>
        <w:spacing w:after="0" w:line="279" w:lineRule="auto"/>
        <w:rPr>
          <w:sz w:val="20"/>
          <w:szCs w:val="20"/>
          <w:color w:val="auto"/>
        </w:rPr>
      </w:pPr>
      <w:r>
        <w:rPr>
          <w:rFonts w:ascii="Arial" w:cs="Arial" w:eastAsia="Arial" w:hAnsi="Arial"/>
          <w:sz w:val="17"/>
          <w:szCs w:val="17"/>
          <w:color w:val="32406B"/>
        </w:rPr>
        <w:t>In connection with the Loan Agreement, we issued a warrant to SVB to purchase shares of our Series A preferred stock at an exercise price of $0.7949 per share. This warrant is initially exercisable for 28,305 shares of Series A preferred stock. Up to an additional 160,397 shares of Series A preferred stock may become subject to this warrant, with the proportion of such additional shares equal to the percentage of the full $10.0 million aggregate principal amount under the Loan Agreement that we draw down thereunder.</w:t>
      </w:r>
    </w:p>
    <w:p>
      <w:pPr>
        <w:spacing w:after="0" w:line="17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32406B"/>
        </w:rPr>
        <w:t>The Loan Agreement allows us to voluntarily prepay all but not less than all the outstanding amounts thereunder. A scaling prepayment fee of 1% or 0.5% would be assessed if we prepay the amounts within the first anniversary of funding, or between the first and second anniversary of funding, respectively. No prepayment fee would be assessed if we prepay the amounts after the second anniversary of funding. A final payment fee of 6.75% multiplied by the original principal amount of each tranche drawn is due upon the earliest to occur of the maturity date of the Loan Agreement, the termination of the Loan Agreement, the acceleration of the Loan Agreement or repayment or prepayment of such borrowings.</w:t>
      </w:r>
    </w:p>
    <w:p>
      <w:pPr>
        <w:spacing w:after="0" w:line="1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32406B"/>
        </w:rPr>
        <w:t>The Loan Agreement contains customary indemnification obligations and customary events of default, including, among other things, our failure to fulfill certain of our obligations under the Loan Agreement and the occurrence of a material adverse change in our business, operations or condition, a material impairment of the prospect of repayment of any portion of the loan, or a material impairment in the perfection or priority of the SVB’s lien in the collateral or in the value of such collateral. In the event of default by us under the Loan Agreement, SVB would be entitled to exercise its remedies thereunder, including the right to accelerate the debt, upon which we may be required to repay all amounts then outstanding under the Loan Agreement or SVB may take possession of the collateral securing the Loan Agreement.</w:t>
      </w:r>
    </w:p>
    <w:p>
      <w:pPr>
        <w:spacing w:after="0" w:line="178"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32406B"/>
        </w:rPr>
        <w:t>The Loan Agreement includes certain restrictions on, among other things, our ability to incur additional indebtedness, change the name or location of our business, merge with or acquire other entities, pay dividends or make other distributions to holders of our capital stock, make certain investments, engage in transactions with affiliates, create liens, open new deposit accounts, sell assets or pay subordinated debt.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Funding Requirements</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32406B"/>
        </w:rPr>
        <w:t>We expect our expenses to increase substantially in connection with our ongoing activities, particularly as we advance the preclinical activities and clinical trials of our product candidates. In addition, upon the closing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77</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this offering, we expect to incur additional costs associated with operating as a public company. Our expenses will also increase as we:</w:t>
      </w:r>
    </w:p>
    <w:p>
      <w:pPr>
        <w:spacing w:after="0" w:line="131" w:lineRule="exact"/>
        <w:rPr>
          <w:sz w:val="20"/>
          <w:szCs w:val="20"/>
          <w:color w:val="auto"/>
        </w:rPr>
      </w:pPr>
    </w:p>
    <w:p>
      <w:pPr>
        <w:ind w:left="1060" w:right="500" w:hanging="424"/>
        <w:spacing w:after="0" w:line="277" w:lineRule="auto"/>
        <w:tabs>
          <w:tab w:leader="none" w:pos="106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continue our development of our product candidates, including continuing enrollment in our recently initiated Phase 2 clinical trial for AVR-RD-01;</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initiate additional clinical trials and preclinical studies for our other product candidates;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seek to identify and develop or in-license or acquire additional product candidates and technologies;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49"/>
        </w:numPr>
        <w:rPr>
          <w:rFonts w:ascii="Arial" w:cs="Arial" w:eastAsia="Arial" w:hAnsi="Arial"/>
          <w:sz w:val="17"/>
          <w:szCs w:val="17"/>
          <w:color w:val="32406B"/>
        </w:rPr>
      </w:pPr>
      <w:r>
        <w:rPr>
          <w:rFonts w:ascii="Arial" w:cs="Arial" w:eastAsia="Arial" w:hAnsi="Arial"/>
          <w:sz w:val="17"/>
          <w:szCs w:val="17"/>
          <w:color w:val="32406B"/>
        </w:rPr>
        <w:t xml:space="preserve">seek to industrialize our </w:t>
      </w:r>
      <w:r>
        <w:rPr>
          <w:rFonts w:ascii="Arial" w:cs="Arial" w:eastAsia="Arial" w:hAnsi="Arial"/>
          <w:sz w:val="17"/>
          <w:szCs w:val="17"/>
          <w:i w:val="1"/>
          <w:iCs w:val="1"/>
          <w:color w:val="32406B"/>
        </w:rPr>
        <w:t>ex vivo</w:t>
      </w:r>
      <w:r>
        <w:rPr>
          <w:rFonts w:ascii="Arial" w:cs="Arial" w:eastAsia="Arial" w:hAnsi="Arial"/>
          <w:sz w:val="17"/>
          <w:szCs w:val="17"/>
          <w:color w:val="32406B"/>
        </w:rPr>
        <w:t xml:space="preserve"> lentiviral gene therapy approach into a robust, scalable and, if approved, commercially viable process;</w:t>
      </w:r>
    </w:p>
    <w:p>
      <w:pPr>
        <w:spacing w:after="0" w:line="142" w:lineRule="exact"/>
        <w:rPr>
          <w:rFonts w:ascii="Arial" w:cs="Arial" w:eastAsia="Arial" w:hAnsi="Arial"/>
          <w:sz w:val="17"/>
          <w:szCs w:val="17"/>
          <w:color w:val="32406B"/>
        </w:rPr>
      </w:pPr>
    </w:p>
    <w:p>
      <w:pPr>
        <w:ind w:left="1060" w:hanging="424"/>
        <w:spacing w:after="0"/>
        <w:tabs>
          <w:tab w:leader="none" w:pos="106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seek marketing approvals for our product candidates that successfully complete clinical trials, if any;</w:t>
      </w:r>
    </w:p>
    <w:p>
      <w:pPr>
        <w:spacing w:after="0" w:line="130" w:lineRule="exact"/>
        <w:rPr>
          <w:rFonts w:ascii="Arial" w:cs="Arial" w:eastAsia="Arial" w:hAnsi="Arial"/>
          <w:sz w:val="18"/>
          <w:szCs w:val="18"/>
          <w:color w:val="32406B"/>
        </w:rPr>
      </w:pPr>
    </w:p>
    <w:p>
      <w:pPr>
        <w:ind w:left="1060" w:right="400" w:hanging="424"/>
        <w:spacing w:after="0" w:line="277" w:lineRule="auto"/>
        <w:tabs>
          <w:tab w:leader="none" w:pos="106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hire and retain additional personnel, such as clinical, quality control, commercial and scientific personnel;</w:t>
      </w:r>
    </w:p>
    <w:p>
      <w:pPr>
        <w:spacing w:after="0" w:line="130" w:lineRule="exact"/>
        <w:rPr>
          <w:rFonts w:ascii="Arial" w:cs="Arial" w:eastAsia="Arial" w:hAnsi="Arial"/>
          <w:sz w:val="18"/>
          <w:szCs w:val="18"/>
          <w:color w:val="32406B"/>
        </w:rPr>
      </w:pPr>
    </w:p>
    <w:p>
      <w:pPr>
        <w:ind w:left="1060" w:right="40" w:hanging="424"/>
        <w:spacing w:after="0" w:line="277" w:lineRule="auto"/>
        <w:tabs>
          <w:tab w:leader="none" w:pos="106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transition our organization to being a public company.</w:t>
      </w:r>
    </w:p>
    <w:p>
      <w:pPr>
        <w:spacing w:after="0" w:line="225"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32406B"/>
        </w:rPr>
        <w:t>We believe that the anticipated net proceeds from this offering, together with our existing cash and cash equivalents, will enable us to fund our operating expenses and capital expenditure requirements into 2020. We have based these estimates on assumptions that may prove to be wrong, and we could utilize our available capital resources sooner than we expect. If we receive regulatory approval for AVR-RD-01 or our other product candidates, we expect to incur significant commercialization expenses related to product manufacturing, sales, marketing and distribution, depending on where we choose to commercialize.</w:t>
      </w:r>
    </w:p>
    <w:p>
      <w:pPr>
        <w:spacing w:after="0" w:line="188" w:lineRule="exact"/>
        <w:rPr>
          <w:sz w:val="20"/>
          <w:szCs w:val="20"/>
          <w:color w:val="auto"/>
        </w:rPr>
      </w:pPr>
    </w:p>
    <w:p>
      <w:pPr>
        <w:ind w:left="200" w:right="200" w:firstLine="441"/>
        <w:spacing w:after="0" w:line="289" w:lineRule="auto"/>
        <w:rPr>
          <w:sz w:val="20"/>
          <w:szCs w:val="20"/>
          <w:color w:val="auto"/>
        </w:rPr>
      </w:pPr>
      <w:r>
        <w:rPr>
          <w:rFonts w:ascii="Arial" w:cs="Arial" w:eastAsia="Arial" w:hAnsi="Arial"/>
          <w:sz w:val="16"/>
          <w:szCs w:val="16"/>
          <w:color w:val="32406B"/>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Contractual Obligations and Commitments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32406B"/>
        </w:rPr>
        <w:t>The following table summarizes our contractual obligations as of December 31, 2017 and the effects that such obligations are expected to have on our liquidity and cash flows in future periods: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32406B"/>
                <w:w w:val="92"/>
              </w:rPr>
              <w:t>Payments Due by Period</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89"/>
              </w:rPr>
              <w:t>Total</w:t>
            </w:r>
          </w:p>
        </w:tc>
        <w:tc>
          <w:tcPr>
            <w:tcW w:w="10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32406B"/>
              </w:rPr>
              <w:t>Less than</w:t>
            </w:r>
          </w:p>
        </w:tc>
        <w:tc>
          <w:tcPr>
            <w:tcW w:w="460" w:type="dxa"/>
            <w:vAlign w:val="bottom"/>
          </w:tcPr>
          <w:p>
            <w:pPr>
              <w:spacing w:after="0"/>
              <w:rPr>
                <w:sz w:val="10"/>
                <w:szCs w:val="10"/>
                <w:color w:val="auto"/>
              </w:rPr>
            </w:pP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32406B"/>
              </w:rPr>
              <w:t>1 to 3</w:t>
            </w:r>
          </w:p>
        </w:tc>
        <w:tc>
          <w:tcPr>
            <w:tcW w:w="120" w:type="dxa"/>
            <w:vAlign w:val="bottom"/>
          </w:tcPr>
          <w:p>
            <w:pPr>
              <w:spacing w:after="0"/>
              <w:rPr>
                <w:sz w:val="10"/>
                <w:szCs w:val="10"/>
                <w:color w:val="auto"/>
              </w:rPr>
            </w:pPr>
          </w:p>
        </w:tc>
        <w:tc>
          <w:tcPr>
            <w:tcW w:w="360" w:type="dxa"/>
            <w:vAlign w:val="bottom"/>
          </w:tcPr>
          <w:p>
            <w:pPr>
              <w:ind w:left="20"/>
              <w:spacing w:after="0" w:line="119" w:lineRule="exact"/>
              <w:rPr>
                <w:sz w:val="20"/>
                <w:szCs w:val="20"/>
                <w:color w:val="auto"/>
              </w:rPr>
            </w:pPr>
            <w:r>
              <w:rPr>
                <w:rFonts w:ascii="Arial" w:cs="Arial" w:eastAsia="Arial" w:hAnsi="Arial"/>
                <w:sz w:val="13"/>
                <w:szCs w:val="13"/>
                <w:b w:val="1"/>
                <w:bCs w:val="1"/>
                <w:color w:val="32406B"/>
                <w:w w:val="94"/>
              </w:rPr>
              <w:t>4 to 5</w:t>
            </w:r>
          </w:p>
        </w:tc>
        <w:tc>
          <w:tcPr>
            <w:tcW w:w="11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32406B"/>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32406B"/>
                <w:w w:val="90"/>
              </w:rPr>
              <w:t>1 Year</w:t>
            </w:r>
          </w:p>
        </w:tc>
        <w:tc>
          <w:tcPr>
            <w:tcW w:w="4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32406B"/>
              </w:rPr>
              <w:t>Years</w:t>
            </w:r>
          </w:p>
        </w:tc>
        <w:tc>
          <w:tcPr>
            <w:tcW w:w="12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32406B"/>
                <w:w w:val="89"/>
              </w:rPr>
              <w:t>Years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32406B"/>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32406B"/>
                <w:w w:val="91"/>
              </w:rPr>
              <w:t>(in thousands)</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32406B"/>
              </w:rPr>
              <w:t>Operating lease commitments</w:t>
            </w:r>
          </w:p>
        </w:tc>
        <w:tc>
          <w:tcPr>
            <w:tcW w:w="3420" w:type="dxa"/>
            <w:vAlign w:val="bottom"/>
            <w:gridSpan w:val="2"/>
            <w:shd w:val="clear" w:color="auto" w:fill="CCEEFF"/>
          </w:tcPr>
          <w:p>
            <w:pPr>
              <w:jc w:val="center"/>
              <w:ind w:left="2830"/>
              <w:spacing w:after="0"/>
              <w:rPr>
                <w:sz w:val="20"/>
                <w:szCs w:val="20"/>
                <w:color w:val="auto"/>
              </w:rPr>
            </w:pPr>
            <w:r>
              <w:rPr>
                <w:rFonts w:ascii="Arial" w:cs="Arial" w:eastAsia="Arial" w:hAnsi="Arial"/>
                <w:sz w:val="18"/>
                <w:szCs w:val="18"/>
                <w:color w:val="32406B"/>
                <w:w w:val="90"/>
              </w:rPr>
              <w:t>$1,641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395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$682</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32406B"/>
                <w:w w:val="84"/>
              </w:rPr>
              <w:t>$341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32406B"/>
              </w:rPr>
              <w:t>Total</w:t>
            </w:r>
          </w:p>
        </w:tc>
        <w:tc>
          <w:tcPr>
            <w:tcW w:w="29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32406B"/>
                <w:w w:val="90"/>
              </w:rPr>
              <w:t>$1,641</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395</w:t>
            </w: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4"/>
              </w:rPr>
              <w:t>$682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84"/>
              </w:rPr>
              <w:t>$341</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920" w:type="dxa"/>
            <w:vAlign w:val="bottom"/>
            <w:vMerge w:val="restart"/>
          </w:tcPr>
          <w:p>
            <w:pPr>
              <w:jc w:val="right"/>
              <w:ind w:right="1010"/>
              <w:spacing w:after="0"/>
              <w:rPr>
                <w:sz w:val="20"/>
                <w:szCs w:val="20"/>
                <w:color w:val="auto"/>
              </w:rPr>
            </w:pPr>
            <w:r>
              <w:rPr>
                <w:rFonts w:ascii="Arial" w:cs="Arial" w:eastAsia="Arial" w:hAnsi="Arial"/>
                <w:sz w:val="18"/>
                <w:szCs w:val="18"/>
                <w:color w:val="32406B"/>
              </w:rPr>
              <w:t>78</w:t>
            </w: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32406B"/>
        </w:rPr>
        <w:t>We enter into contracts in the normal course of business with CROs, CMOs and other third parties for clinical trials, preclinical research studies and testing and manufacturing services.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not known.</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32406B"/>
        </w:rPr>
        <w:t>Additionally, the table above excludes the payment that may be due to UHN upon the closing of the sale of shares of common stock in an IPO, which includes this offering. If UHN’s fully-diluted percentage ownership of our company is reduced within a range of specified percentages in an IPO, then we are obligated to pay UHN an amount up to $2.0 million. We have not included the UHN dilution payment in the preceding table as the amount, timing and likelihood of such payments are not known.</w:t>
      </w:r>
    </w:p>
    <w:p>
      <w:pPr>
        <w:spacing w:after="0" w:line="18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32406B"/>
        </w:rPr>
        <w:t>In addition, pursuant to our license agreements with UHN, BioMarin, GenStem and the Lund University rights holders, we are required to make certain milestone and royalty payments to our licensors. See “Business—License Agreements” for additional details regarding our payment obligations to these licensors.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Critical Accounting Policies and Significant Judgments and Estimates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5"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32406B"/>
        </w:rPr>
        <w:t>While our significant accounting policies are described in more detail in Note 2 to our consolidated financial statements appearing elsewhere in this prospectus, we believe that the following accounting policies are those most critical to the judgments and estimates used in the preparation of our consolidated financial statements.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Accrued Research and Development Expenses</w:t>
      </w:r>
    </w:p>
    <w:p>
      <w:pPr>
        <w:spacing w:after="0" w:line="117" w:lineRule="exact"/>
        <w:rPr>
          <w:sz w:val="20"/>
          <w:szCs w:val="20"/>
          <w:color w:val="auto"/>
        </w:rPr>
      </w:pPr>
    </w:p>
    <w:p>
      <w:pPr>
        <w:ind w:left="200" w:right="280" w:firstLine="441"/>
        <w:spacing w:after="0" w:line="271" w:lineRule="auto"/>
        <w:rPr>
          <w:sz w:val="20"/>
          <w:szCs w:val="20"/>
          <w:color w:val="auto"/>
        </w:rPr>
      </w:pPr>
      <w:r>
        <w:rPr>
          <w:rFonts w:ascii="Arial" w:cs="Arial" w:eastAsia="Arial" w:hAnsi="Arial"/>
          <w:sz w:val="17"/>
          <w:szCs w:val="17"/>
          <w:color w:val="32406B"/>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84" w:lineRule="exact"/>
        <w:rPr>
          <w:sz w:val="20"/>
          <w:szCs w:val="20"/>
          <w:color w:val="auto"/>
        </w:rPr>
      </w:pPr>
    </w:p>
    <w:p>
      <w:pPr>
        <w:ind w:left="1060" w:hanging="424"/>
        <w:spacing w:after="0"/>
        <w:tabs>
          <w:tab w:leader="none" w:pos="1060" w:val="left"/>
        </w:tabs>
        <w:numPr>
          <w:ilvl w:val="0"/>
          <w:numId w:val="50"/>
        </w:numPr>
        <w:rPr>
          <w:rFonts w:ascii="Arial" w:cs="Arial" w:eastAsia="Arial" w:hAnsi="Arial"/>
          <w:sz w:val="18"/>
          <w:szCs w:val="18"/>
          <w:color w:val="32406B"/>
        </w:rPr>
      </w:pPr>
      <w:r>
        <w:rPr>
          <w:rFonts w:ascii="Arial" w:cs="Arial" w:eastAsia="Arial" w:hAnsi="Arial"/>
          <w:sz w:val="18"/>
          <w:szCs w:val="18"/>
          <w:color w:val="32406B"/>
        </w:rPr>
        <w:t>vendors, including central laboratories, in connection with preclinical development activities;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50"/>
        </w:numPr>
        <w:rPr>
          <w:rFonts w:ascii="Arial" w:cs="Arial" w:eastAsia="Arial" w:hAnsi="Arial"/>
          <w:sz w:val="18"/>
          <w:szCs w:val="18"/>
          <w:color w:val="32406B"/>
        </w:rPr>
      </w:pPr>
      <w:r>
        <w:rPr>
          <w:rFonts w:ascii="Arial" w:cs="Arial" w:eastAsia="Arial" w:hAnsi="Arial"/>
          <w:sz w:val="18"/>
          <w:szCs w:val="18"/>
          <w:color w:val="32406B"/>
        </w:rPr>
        <w:t>CROs and investigative sites in connection with preclinical and clinical studies;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50"/>
        </w:numPr>
        <w:rPr>
          <w:rFonts w:ascii="Arial" w:cs="Arial" w:eastAsia="Arial" w:hAnsi="Arial"/>
          <w:sz w:val="18"/>
          <w:szCs w:val="18"/>
          <w:color w:val="32406B"/>
        </w:rPr>
      </w:pPr>
      <w:r>
        <w:rPr>
          <w:rFonts w:ascii="Arial" w:cs="Arial" w:eastAsia="Arial" w:hAnsi="Arial"/>
          <w:sz w:val="18"/>
          <w:szCs w:val="18"/>
          <w:color w:val="32406B"/>
        </w:rPr>
        <w:t>CMOs in connection with drug substance and drug product formulation of preclinical and clinical trial materials.</w:t>
      </w:r>
    </w:p>
    <w:p>
      <w:pPr>
        <w:spacing w:after="0" w:line="22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32406B"/>
        </w:rPr>
        <w:t>We base our expenses related to preclinical studies and clinical trials on our estimates of the services received and efforts expended pursuant to quotes and contracts with multiple research institutions and CROs that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79</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32406B"/>
        </w:rPr>
        <w:t>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Stock-Based Compensation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We measure stock options and other stock-based awards granted to employees and members of our board of directors for their services as directors based on the fair value on the date of the grant and recognize the corresponding compensation expense of those awards over the requisite service period, which is generally the vesting period of the respective award. We have only issued stock options with service-based vesting conditions and record the expense for these awards using the straight-line method.</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32406B"/>
        </w:rPr>
        <w:t>For stock-based awards granted to consultants and non-employees, we recognize compensation expense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8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32406B"/>
        </w:rPr>
        <w:t>We estimate the fair value of each stock option grant using the Black-Scholes option-pricing model, which uses as inputs the estimated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8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32406B"/>
        </w:rPr>
        <w:t>We determined the assumptions for the Black-Scholes option-pricing model as discussed below. Each of these inputs is subjective and generally requires significant judgment to determine.</w:t>
      </w:r>
    </w:p>
    <w:p>
      <w:pPr>
        <w:spacing w:after="0" w:line="76" w:lineRule="exact"/>
        <w:rPr>
          <w:sz w:val="20"/>
          <w:szCs w:val="20"/>
          <w:color w:val="auto"/>
        </w:rPr>
      </w:pPr>
    </w:p>
    <w:p>
      <w:pPr>
        <w:ind w:left="1060" w:right="180" w:hanging="424"/>
        <w:spacing w:after="0" w:line="277" w:lineRule="auto"/>
        <w:tabs>
          <w:tab w:leader="none" w:pos="1060" w:val="left"/>
        </w:tabs>
        <w:numPr>
          <w:ilvl w:val="0"/>
          <w:numId w:val="51"/>
        </w:numPr>
        <w:rPr>
          <w:rFonts w:ascii="Arial" w:cs="Arial" w:eastAsia="Arial" w:hAnsi="Arial"/>
          <w:sz w:val="18"/>
          <w:szCs w:val="18"/>
          <w:color w:val="32406B"/>
        </w:rPr>
      </w:pPr>
      <w:r>
        <w:rPr>
          <w:rFonts w:ascii="Arial" w:cs="Arial" w:eastAsia="Arial" w:hAnsi="Arial"/>
          <w:sz w:val="18"/>
          <w:szCs w:val="18"/>
          <w:i w:val="1"/>
          <w:iCs w:val="1"/>
          <w:color w:val="32406B"/>
        </w:rPr>
        <w:t xml:space="preserve">Fair Value of Our Common Stock. </w:t>
      </w:r>
      <w:r>
        <w:rPr>
          <w:rFonts w:ascii="Arial" w:cs="Arial" w:eastAsia="Arial" w:hAnsi="Arial"/>
          <w:sz w:val="18"/>
          <w:szCs w:val="18"/>
          <w:color w:val="32406B"/>
        </w:rPr>
        <w:t>Prior to this offering, our stock was not publicly traded, and therefore we estimated the fair value of our</w:t>
      </w:r>
      <w:r>
        <w:rPr>
          <w:rFonts w:ascii="Arial" w:cs="Arial" w:eastAsia="Arial" w:hAnsi="Arial"/>
          <w:sz w:val="18"/>
          <w:szCs w:val="18"/>
          <w:i w:val="1"/>
          <w:iCs w:val="1"/>
          <w:color w:val="32406B"/>
        </w:rPr>
        <w:t xml:space="preserve"> </w:t>
      </w:r>
      <w:r>
        <w:rPr>
          <w:rFonts w:ascii="Arial" w:cs="Arial" w:eastAsia="Arial" w:hAnsi="Arial"/>
          <w:sz w:val="18"/>
          <w:szCs w:val="18"/>
          <w:color w:val="32406B"/>
        </w:rPr>
        <w:t>common stock, as discussed in “Determination of the Fair Value of Common Stock” below.</w:t>
      </w:r>
    </w:p>
    <w:p>
      <w:pPr>
        <w:spacing w:after="0" w:line="75" w:lineRule="exact"/>
        <w:rPr>
          <w:rFonts w:ascii="Arial" w:cs="Arial" w:eastAsia="Arial" w:hAnsi="Arial"/>
          <w:sz w:val="18"/>
          <w:szCs w:val="18"/>
          <w:color w:val="32406B"/>
        </w:rPr>
      </w:pPr>
    </w:p>
    <w:p>
      <w:pPr>
        <w:ind w:left="1060" w:right="220" w:hanging="424"/>
        <w:spacing w:after="0" w:line="264" w:lineRule="auto"/>
        <w:tabs>
          <w:tab w:leader="none" w:pos="1060" w:val="left"/>
        </w:tabs>
        <w:numPr>
          <w:ilvl w:val="0"/>
          <w:numId w:val="51"/>
        </w:numPr>
        <w:rPr>
          <w:rFonts w:ascii="Arial" w:cs="Arial" w:eastAsia="Arial" w:hAnsi="Arial"/>
          <w:sz w:val="18"/>
          <w:szCs w:val="18"/>
          <w:color w:val="32406B"/>
        </w:rPr>
      </w:pPr>
      <w:r>
        <w:rPr>
          <w:rFonts w:ascii="Arial" w:cs="Arial" w:eastAsia="Arial" w:hAnsi="Arial"/>
          <w:sz w:val="18"/>
          <w:szCs w:val="18"/>
          <w:i w:val="1"/>
          <w:iCs w:val="1"/>
          <w:color w:val="32406B"/>
        </w:rPr>
        <w:t xml:space="preserve">Expected Term. </w:t>
      </w:r>
      <w:r>
        <w:rPr>
          <w:rFonts w:ascii="Arial" w:cs="Arial" w:eastAsia="Arial" w:hAnsi="Arial"/>
          <w:sz w:val="18"/>
          <w:szCs w:val="18"/>
          <w:color w:val="32406B"/>
        </w:rPr>
        <w:t>The expected term represents the period that the stock-based awards are expected to be outstanding. The expected term of</w:t>
      </w:r>
      <w:r>
        <w:rPr>
          <w:rFonts w:ascii="Arial" w:cs="Arial" w:eastAsia="Arial" w:hAnsi="Arial"/>
          <w:sz w:val="18"/>
          <w:szCs w:val="18"/>
          <w:i w:val="1"/>
          <w:iCs w:val="1"/>
          <w:color w:val="32406B"/>
        </w:rPr>
        <w:t xml:space="preserve"> </w:t>
      </w:r>
      <w:r>
        <w:rPr>
          <w:rFonts w:ascii="Arial" w:cs="Arial" w:eastAsia="Arial" w:hAnsi="Arial"/>
          <w:sz w:val="18"/>
          <w:szCs w:val="18"/>
          <w:color w:val="32406B"/>
        </w:rPr>
        <w:t>stock options granted has been determined using the simplified method, which uses the midpoint between the vesting date and the contractual term.</w:t>
      </w:r>
    </w:p>
    <w:p>
      <w:pPr>
        <w:spacing w:after="0" w:line="86" w:lineRule="exact"/>
        <w:rPr>
          <w:rFonts w:ascii="Arial" w:cs="Arial" w:eastAsia="Arial" w:hAnsi="Arial"/>
          <w:sz w:val="18"/>
          <w:szCs w:val="18"/>
          <w:color w:val="32406B"/>
        </w:rPr>
      </w:pPr>
    </w:p>
    <w:p>
      <w:pPr>
        <w:ind w:left="1060" w:right="340" w:hanging="424"/>
        <w:spacing w:after="0" w:line="308" w:lineRule="auto"/>
        <w:tabs>
          <w:tab w:leader="none" w:pos="1060" w:val="left"/>
        </w:tabs>
        <w:numPr>
          <w:ilvl w:val="0"/>
          <w:numId w:val="51"/>
        </w:numPr>
        <w:rPr>
          <w:rFonts w:ascii="Arial" w:cs="Arial" w:eastAsia="Arial" w:hAnsi="Arial"/>
          <w:sz w:val="17"/>
          <w:szCs w:val="17"/>
          <w:color w:val="32406B"/>
        </w:rPr>
      </w:pPr>
      <w:r>
        <w:rPr>
          <w:rFonts w:ascii="Arial" w:cs="Arial" w:eastAsia="Arial" w:hAnsi="Arial"/>
          <w:sz w:val="17"/>
          <w:szCs w:val="17"/>
          <w:i w:val="1"/>
          <w:iCs w:val="1"/>
          <w:color w:val="32406B"/>
        </w:rPr>
        <w:t xml:space="preserve">Risk-Free Interest Rate. </w:t>
      </w:r>
      <w:r>
        <w:rPr>
          <w:rFonts w:ascii="Arial" w:cs="Arial" w:eastAsia="Arial" w:hAnsi="Arial"/>
          <w:sz w:val="17"/>
          <w:szCs w:val="17"/>
          <w:color w:val="32406B"/>
        </w:rPr>
        <w:t>The risk-free interest rate is based on the U.S. Treasury yield curve in effect at the date of grant for zero-coupon</w:t>
      </w:r>
      <w:r>
        <w:rPr>
          <w:rFonts w:ascii="Arial" w:cs="Arial" w:eastAsia="Arial" w:hAnsi="Arial"/>
          <w:sz w:val="17"/>
          <w:szCs w:val="17"/>
          <w:i w:val="1"/>
          <w:iCs w:val="1"/>
          <w:color w:val="32406B"/>
        </w:rPr>
        <w:t xml:space="preserve"> </w:t>
      </w:r>
      <w:r>
        <w:rPr>
          <w:rFonts w:ascii="Arial" w:cs="Arial" w:eastAsia="Arial" w:hAnsi="Arial"/>
          <w:sz w:val="17"/>
          <w:szCs w:val="17"/>
          <w:color w:val="32406B"/>
        </w:rPr>
        <w:t>U.S. Treasury constant maturity notes with terms approximately equal to the stock-based award’s expected term.</w:t>
      </w:r>
    </w:p>
    <w:p>
      <w:pPr>
        <w:spacing w:after="0" w:line="51" w:lineRule="exact"/>
        <w:rPr>
          <w:rFonts w:ascii="Arial" w:cs="Arial" w:eastAsia="Arial" w:hAnsi="Arial"/>
          <w:sz w:val="17"/>
          <w:szCs w:val="17"/>
          <w:color w:val="32406B"/>
        </w:rPr>
      </w:pPr>
    </w:p>
    <w:p>
      <w:pPr>
        <w:ind w:left="1060" w:right="140" w:hanging="424"/>
        <w:spacing w:after="0" w:line="264" w:lineRule="auto"/>
        <w:tabs>
          <w:tab w:leader="none" w:pos="1060" w:val="left"/>
        </w:tabs>
        <w:numPr>
          <w:ilvl w:val="0"/>
          <w:numId w:val="51"/>
        </w:numPr>
        <w:rPr>
          <w:rFonts w:ascii="Arial" w:cs="Arial" w:eastAsia="Arial" w:hAnsi="Arial"/>
          <w:sz w:val="18"/>
          <w:szCs w:val="18"/>
          <w:color w:val="32406B"/>
        </w:rPr>
      </w:pPr>
      <w:r>
        <w:rPr>
          <w:rFonts w:ascii="Arial" w:cs="Arial" w:eastAsia="Arial" w:hAnsi="Arial"/>
          <w:sz w:val="18"/>
          <w:szCs w:val="18"/>
          <w:i w:val="1"/>
          <w:iCs w:val="1"/>
          <w:color w:val="32406B"/>
        </w:rPr>
        <w:t xml:space="preserve">Expected Volatility. </w:t>
      </w:r>
      <w:r>
        <w:rPr>
          <w:rFonts w:ascii="Arial" w:cs="Arial" w:eastAsia="Arial" w:hAnsi="Arial"/>
          <w:sz w:val="18"/>
          <w:szCs w:val="18"/>
          <w:color w:val="32406B"/>
        </w:rPr>
        <w:t>Because we do not have a trading history of our common stock, the expected volatility was derived from the average</w:t>
      </w:r>
      <w:r>
        <w:rPr>
          <w:rFonts w:ascii="Arial" w:cs="Arial" w:eastAsia="Arial" w:hAnsi="Arial"/>
          <w:sz w:val="18"/>
          <w:szCs w:val="18"/>
          <w:i w:val="1"/>
          <w:iCs w:val="1"/>
          <w:color w:val="32406B"/>
        </w:rPr>
        <w:t xml:space="preserve"> </w:t>
      </w:r>
      <w:r>
        <w:rPr>
          <w:rFonts w:ascii="Arial" w:cs="Arial" w:eastAsia="Arial" w:hAnsi="Arial"/>
          <w:sz w:val="18"/>
          <w:szCs w:val="18"/>
          <w:color w:val="32406B"/>
        </w:rPr>
        <w:t>historical stock volatilities of several public companies within our industry that we consider to be comparable to our business over a period equivalent to the expected term of the stock-based awards.</w:t>
      </w:r>
    </w:p>
    <w:p>
      <w:pPr>
        <w:spacing w:after="0" w:line="86" w:lineRule="exact"/>
        <w:rPr>
          <w:rFonts w:ascii="Arial" w:cs="Arial" w:eastAsia="Arial" w:hAnsi="Arial"/>
          <w:sz w:val="18"/>
          <w:szCs w:val="18"/>
          <w:color w:val="32406B"/>
        </w:rPr>
      </w:pPr>
    </w:p>
    <w:p>
      <w:pPr>
        <w:ind w:left="1060" w:hanging="424"/>
        <w:spacing w:after="0"/>
        <w:tabs>
          <w:tab w:leader="none" w:pos="1060" w:val="left"/>
        </w:tabs>
        <w:numPr>
          <w:ilvl w:val="0"/>
          <w:numId w:val="51"/>
        </w:numPr>
        <w:rPr>
          <w:rFonts w:ascii="Arial" w:cs="Arial" w:eastAsia="Arial" w:hAnsi="Arial"/>
          <w:sz w:val="16"/>
          <w:szCs w:val="16"/>
          <w:color w:val="32406B"/>
        </w:rPr>
      </w:pPr>
      <w:r>
        <w:rPr>
          <w:rFonts w:ascii="Arial" w:cs="Arial" w:eastAsia="Arial" w:hAnsi="Arial"/>
          <w:sz w:val="16"/>
          <w:szCs w:val="16"/>
          <w:i w:val="1"/>
          <w:iCs w:val="1"/>
          <w:color w:val="32406B"/>
        </w:rPr>
        <w:t xml:space="preserve">Dividend Rate. </w:t>
      </w:r>
      <w:r>
        <w:rPr>
          <w:rFonts w:ascii="Arial" w:cs="Arial" w:eastAsia="Arial" w:hAnsi="Arial"/>
          <w:sz w:val="16"/>
          <w:szCs w:val="16"/>
          <w:color w:val="32406B"/>
        </w:rPr>
        <w:t>The expected dividend is zero as we have not paid and do not anticipate paying any dividends in the foreseeable future.</w:t>
      </w:r>
    </w:p>
    <w:p>
      <w:pPr>
        <w:spacing w:after="0" w:line="24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32406B"/>
        </w:rPr>
        <w:t>If any of the assumptions used in the Black-Scholes model change significantly, stock-based compensation for future awards may differ materially compared with the awards granted previously.</w:t>
      </w:r>
    </w:p>
    <w:p>
      <w:pPr>
        <w:spacing w:after="0" w:line="3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80</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32406B"/>
        </w:rPr>
        <w:t>The weighted-average fair values of options granted during the years ended December 31, 2016 and 2017 were $0.50 and $1.50, respectively. No options were granted during the three months ended March 31, 2017. The weighted-average fair value of options granted during the three months ended March 31, 2018 was $6.99. The weighted-average assumptions utilized to determine the fair value of options granted are presented in the following table:</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32406B"/>
              </w:rPr>
              <w:t>Year Ended</w:t>
            </w:r>
          </w:p>
        </w:tc>
        <w:tc>
          <w:tcPr>
            <w:tcW w:w="2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95"/>
              </w:rPr>
              <w:t>Three Months</w:t>
            </w:r>
          </w:p>
        </w:tc>
      </w:tr>
      <w:tr>
        <w:trPr>
          <w:trHeight w:val="162"/>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8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32406B"/>
              </w:rPr>
              <w:t>December 31,</w:t>
            </w:r>
          </w:p>
        </w:tc>
        <w:tc>
          <w:tcPr>
            <w:tcW w:w="2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93"/>
              </w:rPr>
              <w:t>Ended</w:t>
            </w: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46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32406B"/>
              </w:rPr>
              <w:t>2016</w:t>
            </w: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32406B"/>
              </w:rPr>
              <w:t>2017</w:t>
            </w:r>
          </w:p>
        </w:tc>
        <w:tc>
          <w:tcPr>
            <w:tcW w:w="360" w:type="dxa"/>
            <w:vAlign w:val="bottom"/>
          </w:tcPr>
          <w:p>
            <w:pPr>
              <w:spacing w:after="0"/>
              <w:rPr>
                <w:sz w:val="12"/>
                <w:szCs w:val="12"/>
                <w:color w:val="auto"/>
              </w:rPr>
            </w:pPr>
          </w:p>
        </w:tc>
        <w:tc>
          <w:tcPr>
            <w:tcW w:w="14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32406B"/>
                <w:w w:val="96"/>
              </w:rPr>
              <w:t>March 31, 2018</w:t>
            </w: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Expected option life (years)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6.00</w:t>
            </w: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6.08</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6.07</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32406B"/>
              </w:rPr>
              <w:t>Risk-free interest rate</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32406B"/>
              </w:rPr>
              <w:t>1.39%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32406B"/>
              </w:rPr>
              <w:t>1.93%</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32406B"/>
              </w:rPr>
              <w:t>2.72%</w:t>
            </w: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32406B"/>
              </w:rPr>
              <w:t>Expected volatility</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w w:val="94"/>
              </w:rPr>
              <w:t>86.00%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w w:val="94"/>
              </w:rPr>
              <w:t>84.54%</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84.00%</w:t>
            </w: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32406B"/>
              </w:rPr>
              <w:t>Expected dividend yield</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32406B"/>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Stock-based Awards Granted</w:t>
      </w:r>
    </w:p>
    <w:p>
      <w:pPr>
        <w:spacing w:after="0" w:line="117"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32406B"/>
        </w:rPr>
        <w:t>The following table sets forth by grant date the number of shares subject to options granted since January 1, 2017, the per share exercise price of the options, the fair value of common stock per share on each grant date, and the per share estimated fair value of the options: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32406B"/>
                <w:w w:val="94"/>
              </w:rPr>
              <w:t>Number of</w:t>
            </w:r>
          </w:p>
        </w:tc>
        <w:tc>
          <w:tcPr>
            <w:tcW w:w="1260" w:type="dxa"/>
            <w:vAlign w:val="bottom"/>
            <w:gridSpan w:val="3"/>
          </w:tcPr>
          <w:p>
            <w:pPr>
              <w:ind w:left="640"/>
              <w:spacing w:after="0"/>
              <w:rPr>
                <w:sz w:val="20"/>
                <w:szCs w:val="20"/>
                <w:color w:val="auto"/>
              </w:rPr>
            </w:pPr>
            <w:r>
              <w:rPr>
                <w:rFonts w:ascii="Arial" w:cs="Arial" w:eastAsia="Arial" w:hAnsi="Arial"/>
                <w:sz w:val="14"/>
                <w:szCs w:val="14"/>
                <w:b w:val="1"/>
                <w:bCs w:val="1"/>
                <w:color w:val="32406B"/>
                <w:w w:val="91"/>
              </w:rPr>
              <w:t>Per Share</w:t>
            </w:r>
          </w:p>
        </w:tc>
        <w:tc>
          <w:tcPr>
            <w:tcW w:w="62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32406B"/>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880" w:type="dxa"/>
            <w:vAlign w:val="bottom"/>
            <w:gridSpan w:val="2"/>
          </w:tcPr>
          <w:p>
            <w:pPr>
              <w:jc w:val="center"/>
              <w:ind w:left="2872"/>
              <w:spacing w:after="0" w:line="149" w:lineRule="exact"/>
              <w:rPr>
                <w:sz w:val="20"/>
                <w:szCs w:val="20"/>
                <w:color w:val="auto"/>
              </w:rPr>
            </w:pPr>
            <w:r>
              <w:rPr>
                <w:rFonts w:ascii="Arial" w:cs="Arial" w:eastAsia="Arial" w:hAnsi="Arial"/>
                <w:sz w:val="14"/>
                <w:szCs w:val="14"/>
                <w:b w:val="1"/>
                <w:bCs w:val="1"/>
                <w:color w:val="32406B"/>
                <w:w w:val="90"/>
              </w:rPr>
              <w:t>Shares Subject</w:t>
            </w:r>
          </w:p>
        </w:tc>
        <w:tc>
          <w:tcPr>
            <w:tcW w:w="6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32406B"/>
                <w:w w:val="93"/>
              </w:rPr>
              <w:t>Exercise</w:t>
            </w:r>
          </w:p>
        </w:tc>
        <w:tc>
          <w:tcPr>
            <w:tcW w:w="150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32406B"/>
                <w:w w:val="99"/>
              </w:rPr>
              <w:t>per Common</w:t>
            </w:r>
          </w:p>
        </w:tc>
        <w:tc>
          <w:tcPr>
            <w:tcW w:w="0" w:type="dxa"/>
            <w:vAlign w:val="bottom"/>
          </w:tcPr>
          <w:p>
            <w:pPr>
              <w:spacing w:after="0"/>
              <w:rPr>
                <w:sz w:val="1"/>
                <w:szCs w:val="1"/>
                <w:color w:val="auto"/>
              </w:rPr>
            </w:pPr>
          </w:p>
        </w:tc>
      </w:tr>
      <w:tr>
        <w:trPr>
          <w:trHeight w:val="149"/>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Grant Date</w:t>
            </w:r>
          </w:p>
        </w:tc>
        <w:tc>
          <w:tcPr>
            <w:tcW w:w="29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1"/>
              </w:rPr>
              <w:t>to Options</w:t>
            </w:r>
          </w:p>
        </w:tc>
        <w:tc>
          <w:tcPr>
            <w:tcW w:w="6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32406B"/>
              </w:rPr>
              <w:t>Price of</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32406B"/>
                <w:w w:val="90"/>
              </w:rPr>
              <w:t>Share on</w:t>
            </w:r>
          </w:p>
        </w:tc>
        <w:tc>
          <w:tcPr>
            <w:tcW w:w="0" w:type="dxa"/>
            <w:vAlign w:val="bottom"/>
          </w:tcPr>
          <w:p>
            <w:pPr>
              <w:spacing w:after="0"/>
              <w:rPr>
                <w:sz w:val="1"/>
                <w:szCs w:val="1"/>
                <w:color w:val="auto"/>
              </w:rPr>
            </w:pPr>
          </w:p>
        </w:tc>
      </w:tr>
      <w:tr>
        <w:trPr>
          <w:trHeight w:val="191"/>
        </w:trPr>
        <w:tc>
          <w:tcPr>
            <w:tcW w:w="4400" w:type="dxa"/>
            <w:vAlign w:val="bottom"/>
            <w:gridSpan w:val="3"/>
            <w:vMerge w:val="continue"/>
          </w:tcPr>
          <w:p>
            <w:pPr>
              <w:spacing w:after="0"/>
              <w:rPr>
                <w:sz w:val="16"/>
                <w:szCs w:val="16"/>
                <w:color w:val="auto"/>
              </w:rPr>
            </w:pPr>
          </w:p>
        </w:tc>
        <w:tc>
          <w:tcPr>
            <w:tcW w:w="29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32406B"/>
                <w:w w:val="96"/>
              </w:rPr>
              <w:t>Granted</w:t>
            </w:r>
          </w:p>
        </w:tc>
        <w:tc>
          <w:tcPr>
            <w:tcW w:w="6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32406B"/>
                <w:w w:val="98"/>
              </w:rPr>
              <w:t>Options</w:t>
            </w:r>
          </w:p>
        </w:tc>
        <w:tc>
          <w:tcPr>
            <w:tcW w:w="620" w:type="dxa"/>
            <w:vAlign w:val="bottom"/>
          </w:tcPr>
          <w:p>
            <w:pPr>
              <w:spacing w:after="0"/>
              <w:rPr>
                <w:sz w:val="16"/>
                <w:szCs w:val="16"/>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32406B"/>
                <w:w w:val="97"/>
              </w:rPr>
              <w:t>Grant Date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32406B"/>
                <w:w w:val="95"/>
              </w:rPr>
              <w:t>June 13,</w:t>
            </w:r>
          </w:p>
        </w:tc>
        <w:tc>
          <w:tcPr>
            <w:tcW w:w="3700" w:type="dxa"/>
            <w:vAlign w:val="bottom"/>
            <w:tcBorders>
              <w:top w:val="single" w:sz="8" w:color="CCEEFF"/>
            </w:tcBorders>
            <w:shd w:val="clear" w:color="auto" w:fill="CCEEFF"/>
          </w:tcPr>
          <w:p>
            <w:pPr>
              <w:jc w:val="right"/>
              <w:ind w:right="3315"/>
              <w:spacing w:after="0" w:line="189" w:lineRule="exact"/>
              <w:rPr>
                <w:sz w:val="20"/>
                <w:szCs w:val="20"/>
                <w:color w:val="auto"/>
              </w:rPr>
            </w:pPr>
            <w:r>
              <w:rPr>
                <w:rFonts w:ascii="Arial" w:cs="Arial" w:eastAsia="Arial" w:hAnsi="Arial"/>
                <w:sz w:val="17"/>
                <w:szCs w:val="17"/>
                <w:color w:val="32406B"/>
                <w:w w:val="73"/>
              </w:rPr>
              <w:t>2017</w:t>
            </w:r>
          </w:p>
        </w:tc>
        <w:tc>
          <w:tcPr>
            <w:tcW w:w="29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32406B"/>
              </w:rPr>
              <w:t>192,839</w:t>
            </w:r>
          </w:p>
        </w:tc>
        <w:tc>
          <w:tcPr>
            <w:tcW w:w="6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32406B"/>
              </w:rPr>
              <w:t>$</w:t>
            </w:r>
          </w:p>
        </w:tc>
        <w:tc>
          <w:tcPr>
            <w:tcW w:w="4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32406B"/>
              </w:rPr>
              <w:t>0.91</w:t>
            </w:r>
          </w:p>
        </w:tc>
        <w:tc>
          <w:tcPr>
            <w:tcW w:w="6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32406B"/>
                <w:w w:val="99"/>
              </w:rPr>
              <w:t>$</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32406B"/>
              </w:rPr>
              <w:t>0.91</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32406B"/>
              </w:rPr>
              <w:t>June 26, 2017</w:t>
            </w:r>
          </w:p>
        </w:tc>
        <w:tc>
          <w:tcPr>
            <w:tcW w:w="3880" w:type="dxa"/>
            <w:vAlign w:val="bottom"/>
            <w:gridSpan w:val="2"/>
          </w:tcPr>
          <w:p>
            <w:pPr>
              <w:jc w:val="right"/>
              <w:spacing w:after="0"/>
              <w:rPr>
                <w:sz w:val="20"/>
                <w:szCs w:val="20"/>
                <w:color w:val="auto"/>
              </w:rPr>
            </w:pPr>
            <w:r>
              <w:rPr>
                <w:rFonts w:ascii="Arial" w:cs="Arial" w:eastAsia="Arial" w:hAnsi="Arial"/>
                <w:sz w:val="18"/>
                <w:szCs w:val="18"/>
                <w:color w:val="32406B"/>
              </w:rPr>
              <w:t>4,033</w:t>
            </w:r>
          </w:p>
        </w:tc>
        <w:tc>
          <w:tcPr>
            <w:tcW w:w="820" w:type="dxa"/>
            <w:vAlign w:val="bottom"/>
            <w:gridSpan w:val="2"/>
          </w:tcPr>
          <w:p>
            <w:pPr>
              <w:ind w:left="640"/>
              <w:spacing w:after="0"/>
              <w:rPr>
                <w:sz w:val="20"/>
                <w:szCs w:val="20"/>
                <w:color w:val="auto"/>
              </w:rPr>
            </w:pPr>
            <w:r>
              <w:rPr>
                <w:rFonts w:ascii="Arial" w:cs="Arial" w:eastAsia="Arial" w:hAnsi="Arial"/>
                <w:sz w:val="18"/>
                <w:szCs w:val="18"/>
                <w:color w:val="32406B"/>
              </w:rPr>
              <w:t>$</w:t>
            </w:r>
          </w:p>
        </w:tc>
        <w:tc>
          <w:tcPr>
            <w:tcW w:w="440" w:type="dxa"/>
            <w:vAlign w:val="bottom"/>
          </w:tcPr>
          <w:p>
            <w:pPr>
              <w:jc w:val="right"/>
              <w:spacing w:after="0"/>
              <w:rPr>
                <w:sz w:val="20"/>
                <w:szCs w:val="20"/>
                <w:color w:val="auto"/>
              </w:rPr>
            </w:pPr>
            <w:r>
              <w:rPr>
                <w:rFonts w:ascii="Arial" w:cs="Arial" w:eastAsia="Arial" w:hAnsi="Arial"/>
                <w:sz w:val="18"/>
                <w:szCs w:val="18"/>
                <w:color w:val="32406B"/>
              </w:rPr>
              <w:t>0.91</w:t>
            </w:r>
          </w:p>
        </w:tc>
        <w:tc>
          <w:tcPr>
            <w:tcW w:w="740" w:type="dxa"/>
            <w:vAlign w:val="bottom"/>
            <w:gridSpan w:val="2"/>
          </w:tcPr>
          <w:p>
            <w:pPr>
              <w:ind w:left="620"/>
              <w:spacing w:after="0"/>
              <w:rPr>
                <w:sz w:val="20"/>
                <w:szCs w:val="20"/>
                <w:color w:val="auto"/>
              </w:rPr>
            </w:pPr>
            <w:r>
              <w:rPr>
                <w:rFonts w:ascii="Arial" w:cs="Arial" w:eastAsia="Arial" w:hAnsi="Arial"/>
                <w:sz w:val="18"/>
                <w:szCs w:val="18"/>
                <w:color w:val="32406B"/>
                <w:w w:val="99"/>
              </w:rPr>
              <w:t>$</w:t>
            </w:r>
          </w:p>
        </w:tc>
        <w:tc>
          <w:tcPr>
            <w:tcW w:w="700" w:type="dxa"/>
            <w:vAlign w:val="bottom"/>
          </w:tcPr>
          <w:p>
            <w:pPr>
              <w:jc w:val="right"/>
              <w:spacing w:after="0"/>
              <w:rPr>
                <w:sz w:val="20"/>
                <w:szCs w:val="20"/>
                <w:color w:val="auto"/>
              </w:rPr>
            </w:pPr>
            <w:r>
              <w:rPr>
                <w:rFonts w:ascii="Arial" w:cs="Arial" w:eastAsia="Arial" w:hAnsi="Arial"/>
                <w:sz w:val="18"/>
                <w:szCs w:val="18"/>
                <w:color w:val="32406B"/>
              </w:rPr>
              <w:t>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July 10, 2017</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8,524</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32406B"/>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0.91</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32406B"/>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32406B"/>
              </w:rPr>
              <w:t>July 17, 2017</w:t>
            </w:r>
          </w:p>
        </w:tc>
        <w:tc>
          <w:tcPr>
            <w:tcW w:w="3880" w:type="dxa"/>
            <w:vAlign w:val="bottom"/>
            <w:gridSpan w:val="2"/>
          </w:tcPr>
          <w:p>
            <w:pPr>
              <w:jc w:val="right"/>
              <w:spacing w:after="0"/>
              <w:rPr>
                <w:sz w:val="20"/>
                <w:szCs w:val="20"/>
                <w:color w:val="auto"/>
              </w:rPr>
            </w:pPr>
            <w:r>
              <w:rPr>
                <w:rFonts w:ascii="Arial" w:cs="Arial" w:eastAsia="Arial" w:hAnsi="Arial"/>
                <w:sz w:val="18"/>
                <w:szCs w:val="18"/>
                <w:color w:val="32406B"/>
              </w:rPr>
              <w:t>12,178</w:t>
            </w:r>
          </w:p>
        </w:tc>
        <w:tc>
          <w:tcPr>
            <w:tcW w:w="820" w:type="dxa"/>
            <w:vAlign w:val="bottom"/>
            <w:gridSpan w:val="2"/>
          </w:tcPr>
          <w:p>
            <w:pPr>
              <w:ind w:left="640"/>
              <w:spacing w:after="0"/>
              <w:rPr>
                <w:sz w:val="20"/>
                <w:szCs w:val="20"/>
                <w:color w:val="auto"/>
              </w:rPr>
            </w:pPr>
            <w:r>
              <w:rPr>
                <w:rFonts w:ascii="Arial" w:cs="Arial" w:eastAsia="Arial" w:hAnsi="Arial"/>
                <w:sz w:val="18"/>
                <w:szCs w:val="18"/>
                <w:color w:val="32406B"/>
              </w:rPr>
              <w:t>$</w:t>
            </w:r>
          </w:p>
        </w:tc>
        <w:tc>
          <w:tcPr>
            <w:tcW w:w="440" w:type="dxa"/>
            <w:vAlign w:val="bottom"/>
          </w:tcPr>
          <w:p>
            <w:pPr>
              <w:jc w:val="right"/>
              <w:spacing w:after="0"/>
              <w:rPr>
                <w:sz w:val="20"/>
                <w:szCs w:val="20"/>
                <w:color w:val="auto"/>
              </w:rPr>
            </w:pPr>
            <w:r>
              <w:rPr>
                <w:rFonts w:ascii="Arial" w:cs="Arial" w:eastAsia="Arial" w:hAnsi="Arial"/>
                <w:sz w:val="18"/>
                <w:szCs w:val="18"/>
                <w:color w:val="32406B"/>
              </w:rPr>
              <w:t>0.91</w:t>
            </w:r>
          </w:p>
        </w:tc>
        <w:tc>
          <w:tcPr>
            <w:tcW w:w="740" w:type="dxa"/>
            <w:vAlign w:val="bottom"/>
            <w:gridSpan w:val="2"/>
          </w:tcPr>
          <w:p>
            <w:pPr>
              <w:ind w:left="620"/>
              <w:spacing w:after="0"/>
              <w:rPr>
                <w:sz w:val="20"/>
                <w:szCs w:val="20"/>
                <w:color w:val="auto"/>
              </w:rPr>
            </w:pPr>
            <w:r>
              <w:rPr>
                <w:rFonts w:ascii="Arial" w:cs="Arial" w:eastAsia="Arial" w:hAnsi="Arial"/>
                <w:sz w:val="18"/>
                <w:szCs w:val="18"/>
                <w:color w:val="32406B"/>
                <w:w w:val="99"/>
              </w:rPr>
              <w:t>$</w:t>
            </w:r>
          </w:p>
        </w:tc>
        <w:tc>
          <w:tcPr>
            <w:tcW w:w="700" w:type="dxa"/>
            <w:vAlign w:val="bottom"/>
          </w:tcPr>
          <w:p>
            <w:pPr>
              <w:jc w:val="right"/>
              <w:spacing w:after="0"/>
              <w:rPr>
                <w:sz w:val="20"/>
                <w:szCs w:val="20"/>
                <w:color w:val="auto"/>
              </w:rPr>
            </w:pPr>
            <w:r>
              <w:rPr>
                <w:rFonts w:ascii="Arial" w:cs="Arial" w:eastAsia="Arial" w:hAnsi="Arial"/>
                <w:sz w:val="18"/>
                <w:szCs w:val="18"/>
                <w:color w:val="32406B"/>
              </w:rPr>
              <w:t>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August 28, 2017</w:t>
            </w:r>
            <w:r>
              <w:rPr>
                <w:rFonts w:ascii="Arial" w:cs="Arial" w:eastAsia="Arial" w:hAnsi="Arial"/>
                <w:sz w:val="15"/>
                <w:szCs w:val="15"/>
                <w:color w:val="32406B"/>
              </w:rPr>
              <w:t>(1)</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158,318</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32406B"/>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0.91</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32406B"/>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32406B"/>
              </w:rPr>
              <w:t>October 4, 2017</w:t>
            </w:r>
            <w:r>
              <w:rPr>
                <w:rFonts w:ascii="Arial" w:cs="Arial" w:eastAsia="Arial" w:hAnsi="Arial"/>
                <w:sz w:val="15"/>
                <w:szCs w:val="15"/>
                <w:color w:val="32406B"/>
              </w:rPr>
              <w:t>(2)</w:t>
            </w:r>
          </w:p>
        </w:tc>
        <w:tc>
          <w:tcPr>
            <w:tcW w:w="3880" w:type="dxa"/>
            <w:vAlign w:val="bottom"/>
            <w:gridSpan w:val="2"/>
          </w:tcPr>
          <w:p>
            <w:pPr>
              <w:jc w:val="right"/>
              <w:spacing w:after="0"/>
              <w:rPr>
                <w:sz w:val="20"/>
                <w:szCs w:val="20"/>
                <w:color w:val="auto"/>
              </w:rPr>
            </w:pPr>
            <w:r>
              <w:rPr>
                <w:rFonts w:ascii="Arial" w:cs="Arial" w:eastAsia="Arial" w:hAnsi="Arial"/>
                <w:sz w:val="18"/>
                <w:szCs w:val="18"/>
                <w:color w:val="32406B"/>
              </w:rPr>
              <w:t>8,470</w:t>
            </w:r>
          </w:p>
        </w:tc>
        <w:tc>
          <w:tcPr>
            <w:tcW w:w="820" w:type="dxa"/>
            <w:vAlign w:val="bottom"/>
            <w:gridSpan w:val="2"/>
          </w:tcPr>
          <w:p>
            <w:pPr>
              <w:ind w:left="640"/>
              <w:spacing w:after="0"/>
              <w:rPr>
                <w:sz w:val="20"/>
                <w:szCs w:val="20"/>
                <w:color w:val="auto"/>
              </w:rPr>
            </w:pPr>
            <w:r>
              <w:rPr>
                <w:rFonts w:ascii="Arial" w:cs="Arial" w:eastAsia="Arial" w:hAnsi="Arial"/>
                <w:sz w:val="18"/>
                <w:szCs w:val="18"/>
                <w:color w:val="32406B"/>
              </w:rPr>
              <w:t>$</w:t>
            </w:r>
          </w:p>
        </w:tc>
        <w:tc>
          <w:tcPr>
            <w:tcW w:w="440" w:type="dxa"/>
            <w:vAlign w:val="bottom"/>
          </w:tcPr>
          <w:p>
            <w:pPr>
              <w:jc w:val="right"/>
              <w:spacing w:after="0"/>
              <w:rPr>
                <w:sz w:val="20"/>
                <w:szCs w:val="20"/>
                <w:color w:val="auto"/>
              </w:rPr>
            </w:pPr>
            <w:r>
              <w:rPr>
                <w:rFonts w:ascii="Arial" w:cs="Arial" w:eastAsia="Arial" w:hAnsi="Arial"/>
                <w:sz w:val="18"/>
                <w:szCs w:val="18"/>
                <w:color w:val="32406B"/>
              </w:rPr>
              <w:t>0.91</w:t>
            </w:r>
          </w:p>
        </w:tc>
        <w:tc>
          <w:tcPr>
            <w:tcW w:w="740" w:type="dxa"/>
            <w:vAlign w:val="bottom"/>
            <w:gridSpan w:val="2"/>
          </w:tcPr>
          <w:p>
            <w:pPr>
              <w:ind w:left="620"/>
              <w:spacing w:after="0"/>
              <w:rPr>
                <w:sz w:val="20"/>
                <w:szCs w:val="20"/>
                <w:color w:val="auto"/>
              </w:rPr>
            </w:pPr>
            <w:r>
              <w:rPr>
                <w:rFonts w:ascii="Arial" w:cs="Arial" w:eastAsia="Arial" w:hAnsi="Arial"/>
                <w:sz w:val="18"/>
                <w:szCs w:val="18"/>
                <w:color w:val="32406B"/>
                <w:w w:val="99"/>
              </w:rPr>
              <w:t>$</w:t>
            </w:r>
          </w:p>
        </w:tc>
        <w:tc>
          <w:tcPr>
            <w:tcW w:w="700" w:type="dxa"/>
            <w:vAlign w:val="bottom"/>
          </w:tcPr>
          <w:p>
            <w:pPr>
              <w:jc w:val="right"/>
              <w:spacing w:after="0"/>
              <w:rPr>
                <w:sz w:val="20"/>
                <w:szCs w:val="20"/>
                <w:color w:val="auto"/>
              </w:rPr>
            </w:pPr>
            <w:r>
              <w:rPr>
                <w:rFonts w:ascii="Arial" w:cs="Arial" w:eastAsia="Arial" w:hAnsi="Arial"/>
                <w:sz w:val="18"/>
                <w:szCs w:val="18"/>
                <w:color w:val="32406B"/>
              </w:rPr>
              <w:t>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October 17, 2017</w:t>
            </w:r>
            <w:r>
              <w:rPr>
                <w:rFonts w:ascii="Arial" w:cs="Arial" w:eastAsia="Arial" w:hAnsi="Arial"/>
                <w:sz w:val="15"/>
                <w:szCs w:val="15"/>
                <w:color w:val="32406B"/>
              </w:rPr>
              <w:t>(2)</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2,420</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32406B"/>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0.91</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32406B"/>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32406B"/>
              </w:rPr>
              <w:t>October 24, 2017</w:t>
            </w:r>
            <w:r>
              <w:rPr>
                <w:rFonts w:ascii="Arial" w:cs="Arial" w:eastAsia="Arial" w:hAnsi="Arial"/>
                <w:sz w:val="15"/>
                <w:szCs w:val="15"/>
                <w:color w:val="32406B"/>
              </w:rPr>
              <w:t>(2)</w:t>
            </w:r>
          </w:p>
        </w:tc>
        <w:tc>
          <w:tcPr>
            <w:tcW w:w="3880" w:type="dxa"/>
            <w:vAlign w:val="bottom"/>
            <w:gridSpan w:val="2"/>
          </w:tcPr>
          <w:p>
            <w:pPr>
              <w:jc w:val="right"/>
              <w:spacing w:after="0"/>
              <w:rPr>
                <w:sz w:val="20"/>
                <w:szCs w:val="20"/>
                <w:color w:val="auto"/>
              </w:rPr>
            </w:pPr>
            <w:r>
              <w:rPr>
                <w:rFonts w:ascii="Arial" w:cs="Arial" w:eastAsia="Arial" w:hAnsi="Arial"/>
                <w:sz w:val="18"/>
                <w:szCs w:val="18"/>
                <w:color w:val="32406B"/>
              </w:rPr>
              <w:t>48,740</w:t>
            </w:r>
          </w:p>
        </w:tc>
        <w:tc>
          <w:tcPr>
            <w:tcW w:w="820" w:type="dxa"/>
            <w:vAlign w:val="bottom"/>
            <w:gridSpan w:val="2"/>
          </w:tcPr>
          <w:p>
            <w:pPr>
              <w:ind w:left="640"/>
              <w:spacing w:after="0"/>
              <w:rPr>
                <w:sz w:val="20"/>
                <w:szCs w:val="20"/>
                <w:color w:val="auto"/>
              </w:rPr>
            </w:pPr>
            <w:r>
              <w:rPr>
                <w:rFonts w:ascii="Arial" w:cs="Arial" w:eastAsia="Arial" w:hAnsi="Arial"/>
                <w:sz w:val="18"/>
                <w:szCs w:val="18"/>
                <w:color w:val="32406B"/>
              </w:rPr>
              <w:t>$</w:t>
            </w:r>
          </w:p>
        </w:tc>
        <w:tc>
          <w:tcPr>
            <w:tcW w:w="440" w:type="dxa"/>
            <w:vAlign w:val="bottom"/>
          </w:tcPr>
          <w:p>
            <w:pPr>
              <w:jc w:val="right"/>
              <w:spacing w:after="0"/>
              <w:rPr>
                <w:sz w:val="20"/>
                <w:szCs w:val="20"/>
                <w:color w:val="auto"/>
              </w:rPr>
            </w:pPr>
            <w:r>
              <w:rPr>
                <w:rFonts w:ascii="Arial" w:cs="Arial" w:eastAsia="Arial" w:hAnsi="Arial"/>
                <w:sz w:val="18"/>
                <w:szCs w:val="18"/>
                <w:color w:val="32406B"/>
              </w:rPr>
              <w:t>0.91</w:t>
            </w:r>
          </w:p>
        </w:tc>
        <w:tc>
          <w:tcPr>
            <w:tcW w:w="740" w:type="dxa"/>
            <w:vAlign w:val="bottom"/>
            <w:gridSpan w:val="2"/>
          </w:tcPr>
          <w:p>
            <w:pPr>
              <w:ind w:left="620"/>
              <w:spacing w:after="0"/>
              <w:rPr>
                <w:sz w:val="20"/>
                <w:szCs w:val="20"/>
                <w:color w:val="auto"/>
              </w:rPr>
            </w:pPr>
            <w:r>
              <w:rPr>
                <w:rFonts w:ascii="Arial" w:cs="Arial" w:eastAsia="Arial" w:hAnsi="Arial"/>
                <w:sz w:val="18"/>
                <w:szCs w:val="18"/>
                <w:color w:val="32406B"/>
                <w:w w:val="99"/>
              </w:rPr>
              <w:t>$</w:t>
            </w:r>
          </w:p>
        </w:tc>
        <w:tc>
          <w:tcPr>
            <w:tcW w:w="700" w:type="dxa"/>
            <w:vAlign w:val="bottom"/>
          </w:tcPr>
          <w:p>
            <w:pPr>
              <w:jc w:val="right"/>
              <w:spacing w:after="0"/>
              <w:rPr>
                <w:sz w:val="20"/>
                <w:szCs w:val="20"/>
                <w:color w:val="auto"/>
              </w:rPr>
            </w:pPr>
            <w:r>
              <w:rPr>
                <w:rFonts w:ascii="Arial" w:cs="Arial" w:eastAsia="Arial" w:hAnsi="Arial"/>
                <w:sz w:val="18"/>
                <w:szCs w:val="18"/>
                <w:color w:val="32406B"/>
              </w:rPr>
              <w:t>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March 16, 2018</w:t>
            </w:r>
            <w:r>
              <w:rPr>
                <w:rFonts w:ascii="Arial" w:cs="Arial" w:eastAsia="Arial" w:hAnsi="Arial"/>
                <w:sz w:val="15"/>
                <w:szCs w:val="15"/>
                <w:color w:val="32406B"/>
              </w:rPr>
              <w:t>(3)</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753,789</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32406B"/>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5.00</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32406B"/>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54" w:lineRule="auto"/>
        <w:tabs>
          <w:tab w:leader="none" w:pos="640" w:val="left"/>
        </w:tabs>
        <w:numPr>
          <w:ilvl w:val="0"/>
          <w:numId w:val="52"/>
        </w:numPr>
        <w:rPr>
          <w:rFonts w:ascii="Arial" w:cs="Arial" w:eastAsia="Arial" w:hAnsi="Arial"/>
          <w:sz w:val="18"/>
          <w:szCs w:val="18"/>
          <w:color w:val="32406B"/>
        </w:rPr>
      </w:pPr>
      <w:r>
        <w:rPr>
          <w:rFonts w:ascii="Arial" w:cs="Arial" w:eastAsia="Arial" w:hAnsi="Arial"/>
          <w:sz w:val="18"/>
          <w:szCs w:val="18"/>
          <w:color w:val="32406B"/>
        </w:rPr>
        <w:t>At the time of the option grants in August 2017, our board of directors determined that the fair value of our common stock of $0.91 per share calculated in the contemporaneous valuation as of March 31, 2017 reasonably reflected the per share fair value of one share of our common stock as of the grant date. However, as described below, the fair value of our common stock at this date was adjusted to $2.19 per share in connection with a retrospective fair value assessment for financial reporting purposes.</w:t>
      </w:r>
    </w:p>
    <w:p>
      <w:pPr>
        <w:spacing w:after="0" w:line="2" w:lineRule="exact"/>
        <w:rPr>
          <w:rFonts w:ascii="Arial" w:cs="Arial" w:eastAsia="Arial" w:hAnsi="Arial"/>
          <w:sz w:val="18"/>
          <w:szCs w:val="18"/>
          <w:color w:val="32406B"/>
        </w:rPr>
      </w:pPr>
    </w:p>
    <w:p>
      <w:pPr>
        <w:ind w:left="640" w:right="60" w:hanging="436"/>
        <w:spacing w:after="0" w:line="265" w:lineRule="auto"/>
        <w:tabs>
          <w:tab w:leader="none" w:pos="640" w:val="left"/>
        </w:tabs>
        <w:numPr>
          <w:ilvl w:val="0"/>
          <w:numId w:val="52"/>
        </w:numPr>
        <w:rPr>
          <w:rFonts w:ascii="Arial" w:cs="Arial" w:eastAsia="Arial" w:hAnsi="Arial"/>
          <w:sz w:val="17"/>
          <w:szCs w:val="17"/>
          <w:color w:val="32406B"/>
        </w:rPr>
      </w:pPr>
      <w:r>
        <w:rPr>
          <w:rFonts w:ascii="Arial" w:cs="Arial" w:eastAsia="Arial" w:hAnsi="Arial"/>
          <w:sz w:val="17"/>
          <w:szCs w:val="17"/>
          <w:color w:val="32406B"/>
        </w:rPr>
        <w:t>At the time of the option grants in October 2017, our board of directors determined that the fair value of our common stock of $0.91 per share calculated in the contemporaneous valuation as of March 31, 2017 reasonably reflected the per share fair value of one share of our common stock as of the grant date. However, as described below, the fair value of our common stock at the date of these grants was adjusted to $4.09 per share in connection with a retrospective fair value assessment for financial reporting purposes.</w:t>
      </w:r>
    </w:p>
    <w:p>
      <w:pPr>
        <w:ind w:left="640" w:right="20" w:hanging="436"/>
        <w:spacing w:after="0" w:line="286" w:lineRule="auto"/>
        <w:tabs>
          <w:tab w:leader="none" w:pos="640" w:val="left"/>
        </w:tabs>
        <w:numPr>
          <w:ilvl w:val="0"/>
          <w:numId w:val="52"/>
        </w:numPr>
        <w:rPr>
          <w:rFonts w:ascii="Arial" w:cs="Arial" w:eastAsia="Arial" w:hAnsi="Arial"/>
          <w:sz w:val="16"/>
          <w:szCs w:val="16"/>
          <w:color w:val="32406B"/>
        </w:rPr>
      </w:pPr>
      <w:r>
        <w:rPr>
          <w:rFonts w:ascii="Arial" w:cs="Arial" w:eastAsia="Arial" w:hAnsi="Arial"/>
          <w:sz w:val="16"/>
          <w:szCs w:val="16"/>
          <w:color w:val="32406B"/>
        </w:rPr>
        <w:t>At the time of the option grants in March 2018, our board of directors determined that the fair value of our common stock of $5.00 per share calculated in the contemporaneous valuation as of January 31, 2018 reasonably reflected the per share fair value of one share of our common stock as of the grant date. However, in connection with the preparation of the Company’s unaudited condensed consolidated financial statements for the three months ended March 31, 2018, the fair value of our common stock at the date of these grants was adjusted to $6.03 per share as a result of a contemporaneous valuation performed as of March 31, 2018. In connection with determining the estimated price range for this offering, based on the midpoint of $17.00 per share on the cover of our preliminary prospectus filed with the Securities and Exchange Commission on June 18, 2018, we re-assessed the fair value of our common stock for financial reporting purposes through a retrospective valuation as of March 31, 2018, resulting in a further adjustment of the fair value of our common stock as of such date to $8.76. Such adjustment results in additional stock-based compensation expense of approximately $1.8 million which will be recognized over the four-year vesting period for these awards. The effect of this adjustment did not have a material effect on the interim financial statements for the three-month period ended March 31, 2018.</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81</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Determination of the Fair Value of Common Stock</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32406B"/>
        </w:rPr>
        <w:t>As there has been no public market for our common stock to date, the estimated fair value of our common stock has been determined by our board of directors as of the date of each option grant, with input from management, considering third-party valuations of our common stock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Once a public trading market for our common stock has been established following the closing of this offering, it will no longer be necessary for our board of directors to estimate the fair market value of our common stock in connection with our accounting for granted equity awards.</w:t>
      </w:r>
    </w:p>
    <w:p>
      <w:pPr>
        <w:spacing w:after="0" w:line="192"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32406B"/>
        </w:rPr>
        <w:t>For financial reporting purposes, we performed ordinary share valuations, with the assistance of a third-party specialist, at various dates, which resulted in valuations of our common stock of $0.41 per share as of January 31, 2016, $1.20 per share as of August 31, 2016, $0.91 per share as of March 31, 2017, $2.19 per share as of August 31, 2017, $4.09 per share as of October 31, 2017, $5.00 per share as of January 31, 2018, and $8.76 as of March 31, 2018. In conducting the valuations, our board of directors, with input from management, considered various objective and subjective factors to determine the fair value of our common stock as of each grant date, including:</w:t>
      </w:r>
    </w:p>
    <w:p>
      <w:pPr>
        <w:spacing w:after="0" w:line="78" w:lineRule="exact"/>
        <w:rPr>
          <w:sz w:val="20"/>
          <w:szCs w:val="20"/>
          <w:color w:val="auto"/>
        </w:rPr>
      </w:pPr>
    </w:p>
    <w:p>
      <w:pPr>
        <w:ind w:left="1060" w:right="20" w:hanging="424"/>
        <w:spacing w:after="0" w:line="277" w:lineRule="auto"/>
        <w:tabs>
          <w:tab w:leader="none" w:pos="1060" w:val="left"/>
        </w:tabs>
        <w:numPr>
          <w:ilvl w:val="0"/>
          <w:numId w:val="53"/>
        </w:numPr>
        <w:rPr>
          <w:rFonts w:ascii="Arial" w:cs="Arial" w:eastAsia="Arial" w:hAnsi="Arial"/>
          <w:sz w:val="18"/>
          <w:szCs w:val="18"/>
          <w:color w:val="32406B"/>
        </w:rPr>
      </w:pPr>
      <w:r>
        <w:rPr>
          <w:rFonts w:ascii="Arial" w:cs="Arial" w:eastAsia="Arial" w:hAnsi="Arial"/>
          <w:sz w:val="18"/>
          <w:szCs w:val="18"/>
          <w:color w:val="32406B"/>
        </w:rPr>
        <w:t>the prices at which we sold preferred stock and the superior rights and preferences of the preferred stock relative to our common stock at the time of each grant;</w:t>
      </w:r>
    </w:p>
    <w:p>
      <w:pPr>
        <w:spacing w:after="0" w:line="75" w:lineRule="exact"/>
        <w:rPr>
          <w:rFonts w:ascii="Arial" w:cs="Arial" w:eastAsia="Arial" w:hAnsi="Arial"/>
          <w:sz w:val="18"/>
          <w:szCs w:val="18"/>
          <w:color w:val="32406B"/>
        </w:rPr>
      </w:pPr>
    </w:p>
    <w:p>
      <w:pPr>
        <w:ind w:left="1060" w:right="60" w:hanging="424"/>
        <w:spacing w:after="0" w:line="277" w:lineRule="auto"/>
        <w:tabs>
          <w:tab w:leader="none" w:pos="1060" w:val="left"/>
        </w:tabs>
        <w:numPr>
          <w:ilvl w:val="0"/>
          <w:numId w:val="53"/>
        </w:numPr>
        <w:rPr>
          <w:rFonts w:ascii="Arial" w:cs="Arial" w:eastAsia="Arial" w:hAnsi="Arial"/>
          <w:sz w:val="18"/>
          <w:szCs w:val="18"/>
          <w:color w:val="32406B"/>
        </w:rPr>
      </w:pPr>
      <w:r>
        <w:rPr>
          <w:rFonts w:ascii="Arial" w:cs="Arial" w:eastAsia="Arial" w:hAnsi="Arial"/>
          <w:sz w:val="18"/>
          <w:szCs w:val="18"/>
          <w:color w:val="32406B"/>
        </w:rPr>
        <w:t>the progress of our research and development programs, including the status of preclinical studies and planned clinical trials for our product candidates;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53"/>
        </w:numPr>
        <w:rPr>
          <w:rFonts w:ascii="Arial" w:cs="Arial" w:eastAsia="Arial" w:hAnsi="Arial"/>
          <w:sz w:val="18"/>
          <w:szCs w:val="18"/>
          <w:color w:val="32406B"/>
        </w:rPr>
      </w:pPr>
      <w:r>
        <w:rPr>
          <w:rFonts w:ascii="Arial" w:cs="Arial" w:eastAsia="Arial" w:hAnsi="Arial"/>
          <w:sz w:val="18"/>
          <w:szCs w:val="18"/>
          <w:color w:val="32406B"/>
        </w:rPr>
        <w:t>our stage of development and commercialization and our business strategy;</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53"/>
        </w:numPr>
        <w:rPr>
          <w:rFonts w:ascii="Arial" w:cs="Arial" w:eastAsia="Arial" w:hAnsi="Arial"/>
          <w:sz w:val="18"/>
          <w:szCs w:val="18"/>
          <w:color w:val="32406B"/>
        </w:rPr>
      </w:pPr>
      <w:r>
        <w:rPr>
          <w:rFonts w:ascii="Arial" w:cs="Arial" w:eastAsia="Arial" w:hAnsi="Arial"/>
          <w:sz w:val="18"/>
          <w:szCs w:val="18"/>
          <w:color w:val="32406B"/>
        </w:rPr>
        <w:t>external market conditions affecting the biotechnology industry, and trends within the biotechnology industry;</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53"/>
        </w:numPr>
        <w:rPr>
          <w:rFonts w:ascii="Arial" w:cs="Arial" w:eastAsia="Arial" w:hAnsi="Arial"/>
          <w:sz w:val="18"/>
          <w:szCs w:val="18"/>
          <w:color w:val="32406B"/>
        </w:rPr>
      </w:pPr>
      <w:r>
        <w:rPr>
          <w:rFonts w:ascii="Arial" w:cs="Arial" w:eastAsia="Arial" w:hAnsi="Arial"/>
          <w:sz w:val="18"/>
          <w:szCs w:val="18"/>
          <w:color w:val="32406B"/>
        </w:rPr>
        <w:t>our financial position, including cash on hand, and our historical and forecasted performance and operating results;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53"/>
        </w:numPr>
        <w:rPr>
          <w:rFonts w:ascii="Arial" w:cs="Arial" w:eastAsia="Arial" w:hAnsi="Arial"/>
          <w:sz w:val="18"/>
          <w:szCs w:val="18"/>
          <w:color w:val="32406B"/>
        </w:rPr>
      </w:pPr>
      <w:r>
        <w:rPr>
          <w:rFonts w:ascii="Arial" w:cs="Arial" w:eastAsia="Arial" w:hAnsi="Arial"/>
          <w:sz w:val="18"/>
          <w:szCs w:val="18"/>
          <w:color w:val="32406B"/>
        </w:rPr>
        <w:t>the lack of an active public market for our common stock and our preferred stock;</w:t>
      </w:r>
    </w:p>
    <w:p>
      <w:pPr>
        <w:spacing w:after="0" w:line="130" w:lineRule="exact"/>
        <w:rPr>
          <w:rFonts w:ascii="Arial" w:cs="Arial" w:eastAsia="Arial" w:hAnsi="Arial"/>
          <w:sz w:val="18"/>
          <w:szCs w:val="18"/>
          <w:color w:val="32406B"/>
        </w:rPr>
      </w:pPr>
    </w:p>
    <w:p>
      <w:pPr>
        <w:ind w:left="1060" w:right="40" w:hanging="424"/>
        <w:spacing w:after="0" w:line="277" w:lineRule="auto"/>
        <w:tabs>
          <w:tab w:leader="none" w:pos="1060" w:val="left"/>
        </w:tabs>
        <w:numPr>
          <w:ilvl w:val="0"/>
          <w:numId w:val="53"/>
        </w:numPr>
        <w:rPr>
          <w:rFonts w:ascii="Arial" w:cs="Arial" w:eastAsia="Arial" w:hAnsi="Arial"/>
          <w:sz w:val="18"/>
          <w:szCs w:val="18"/>
          <w:color w:val="32406B"/>
        </w:rPr>
      </w:pPr>
      <w:r>
        <w:rPr>
          <w:rFonts w:ascii="Arial" w:cs="Arial" w:eastAsia="Arial" w:hAnsi="Arial"/>
          <w:sz w:val="18"/>
          <w:szCs w:val="18"/>
          <w:color w:val="32406B"/>
        </w:rPr>
        <w:t>the likelihood of achieving a liquidity event, such as an initial public offering, or IPO, or a sale of our company in light of prevailing market conditions; and</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53"/>
        </w:numPr>
        <w:rPr>
          <w:rFonts w:ascii="Arial" w:cs="Arial" w:eastAsia="Arial" w:hAnsi="Arial"/>
          <w:sz w:val="18"/>
          <w:szCs w:val="18"/>
          <w:color w:val="32406B"/>
        </w:rPr>
      </w:pPr>
      <w:r>
        <w:rPr>
          <w:rFonts w:ascii="Arial" w:cs="Arial" w:eastAsia="Arial" w:hAnsi="Arial"/>
          <w:sz w:val="18"/>
          <w:szCs w:val="18"/>
          <w:color w:val="32406B"/>
        </w:rPr>
        <w:t>the analysis of IPOs and the market performance of similar companies in the biopharmaceutical industry.</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32406B"/>
        </w:rPr>
        <w:t>As described above, for March 31, 2018, in connection with determining the estimated price range for this offering, based on the midpoint of $17.00 per share on the cover of our preliminary prospectus filed with the Securities and Exchange Commission on June 18, 2018, we re-assessed the fair value of our common stock for financial reporting purposes through a retrospective valuation that resulted in an adjustment of the fair value of our common stock as of such date to $8.76. Such adjustment results in additional stock-based compensation expense of approximately $1.8 million which will be recognized over the four-year vesting period for these awards. The effect of this adjustment did not have a material effect on the interim financial statements for the three-month period ended March 31, 2018.</w:t>
      </w:r>
    </w:p>
    <w:p>
      <w:pPr>
        <w:spacing w:after="0" w:line="178"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32406B"/>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stock-based compensation expense could be materially different.</w:t>
      </w:r>
    </w:p>
    <w:p>
      <w:pPr>
        <w:spacing w:after="0" w:line="181"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32406B"/>
        </w:rPr>
        <w:t>The dates of our valuations have not always coincided with the dates of our stock option grants. In determining the fair value of the shares underlying options set forth in the table above, we considered, among other things, the most recent contemporaneous valuations of our ordinary shares and our assessment of additional objective and subjective factors we believed were relevant as of the grant date. The additional factors considered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82</w:t>
      </w:r>
    </w:p>
    <w:p>
      <w:pPr>
        <w:sectPr>
          <w:pgSz w:w="11900" w:h="16838" w:orient="portrait"/>
          <w:cols w:equalWidth="0" w:num="1">
            <w:col w:w="11200"/>
          </w:cols>
          <w:pgMar w:left="24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color w:val="32406B"/>
        </w:rPr>
        <w:t>when determining any changes in fair value between the most recent contemporaneous valuation and the grant dates included our stage of development and commercialization and our business strategy, our operating and financial performance and current business conditions.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Following the closing of this offering, the fair value of our common stock will be determined based on the quoted market price of our common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stock.</w:t>
      </w:r>
    </w:p>
    <w:p>
      <w:pPr>
        <w:spacing w:after="0" w:line="21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Our common stock valuations were prepared using the option-pricing method, or OPM, which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The future value of the common stock is discounted back to the valuation date at an appropriate risk-adjusted discount rate and probability weighted to arrive at an indication of value for the common stock.</w:t>
      </w:r>
    </w:p>
    <w:p>
      <w:pPr>
        <w:spacing w:after="0" w:line="193"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32406B"/>
        </w:rPr>
        <w:t>Beginning with the August 23, 2017 valuation, we changed the methodology for allocating our equity value to our common stock to a hybrid method, which is a combination of a probability weighted expected return method, or PWERM and an OPM. We made this change as greater certainty developed regarding a possible liquidity event. The PWERM methodology relies on a forward-looking analysis to predict the possible future value of a company. Under this method, discrete future outcomes, such as an IPO, non-IPO scenarios, and a merger or sale are weighted based on our estimate of the probability of each scenario. In our application of the hybrid method, we considered an IPO scenario under the PWERM framework, and a non-IPO scenario modeled using an OPM to reflect the full distribution of possible non-IPO outcomes. The hybrid method is useful when certain discrete future outcomes can be predicted, but also accounts for uncertainty regarding the timing or likelihood of specific alternative exit events.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Determination of Initial Public Offering Price</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32406B"/>
        </w:rPr>
        <w:t>We and our underwriters determined the initial public offering price per share of $19.00. In comparison, our estimate of the fair value of our common stock was $0.91 per share at June 13, 2017, June 26, 2017, July 10, 2017 and July 17, 2017, which was determined by our board of directors with the assistance of a third-party valuation of our common stock as of March 31, 2017. Our estimate of the fair value of our common stock as of August 28, 2017 was retrospectively adjusted with the assistance of a third-party valuation of our common stock as of August 31, 2017. Our estimate of the fair value of our common stock as of October 4, 2017, October 17, 2017 and October 24, 2017 was retrospectively adjusted to $4.09 with the assistance of a third-party valuation of our common stock as of October 24, 2017. Our estimate of the fair value of our common stock was $5.00 at March 16, 2018, which was determined by our board of directors with the assistance of a third-party valuation of our common stock as of January 31, 2018, subsequently retrospectively adjusted to $8.76 with the assistance of a third-party valuation of our common stock as of March 31, 2018.</w:t>
      </w:r>
    </w:p>
    <w:p>
      <w:pPr>
        <w:spacing w:after="0" w:line="166"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32406B"/>
        </w:rPr>
        <w:t>These valuations utilized the hybrid method described in “—Determination of the Fair Value of Common Stock.” The valuation for our June 13, 2017, June 26, 2017, July 10, 2017 and July 17, 2017 stock option grants did not consider an initial public offering, or IPO, scenario, and reflected a discount for lack of marketability of 36%. The valuation used for the retrospective fair value assessment of our August 28, 2017 option grants attributed a 10% probability to an IPO scenario and a 90% probability of a non-IPO scenario and reflected a discount for lack of marketability of 20% and 30% to the IPO and non-IPO scenario, respectively. The valuation used for the retrospective fair value assessment of our October 4, 2017, October 17, 2017 and October 24, 2017 option grants attributed a 15% probability to an IPO scenario and a 85% probability of a non-IPO scenario and reflected a discount for lack of marketability of 17% and 25% to the IPO and non-IPO scenario, respectively. The valuation used for the retrospective fair value assessment of our March 16, 2018 option grants attributed a 50% probability to an IPO scenario and a 50% probability of a non-IPO scenario and reflected a discount for lack of marketability of 12% and 25% to the IPO and non-IPO scenario, respectively. In addition to quantitative analysis from third-party valuations of our common stock, we also considered macro-economic and market conditions,</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83</w:t>
      </w:r>
    </w:p>
    <w:p>
      <w:pPr>
        <w:sectPr>
          <w:pgSz w:w="11900" w:h="16838" w:orient="portrait"/>
          <w:cols w:equalWidth="0" w:num="1">
            <w:col w:w="11180"/>
          </w:cols>
          <w:pgMar w:left="24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80"/>
        <w:spacing w:after="0" w:line="308" w:lineRule="auto"/>
        <w:rPr>
          <w:sz w:val="20"/>
          <w:szCs w:val="20"/>
          <w:color w:val="auto"/>
        </w:rPr>
      </w:pPr>
      <w:r>
        <w:rPr>
          <w:rFonts w:ascii="Arial" w:cs="Arial" w:eastAsia="Arial" w:hAnsi="Arial"/>
          <w:sz w:val="17"/>
          <w:szCs w:val="17"/>
          <w:color w:val="32406B"/>
        </w:rPr>
        <w:t>including our subjective assessment of market conditions for initial public offerings of companies similarly situated to ours and our subjective assessment as to the likelihood of successfully executing an initial public offering in the coming months, among other factors.</w:t>
      </w:r>
    </w:p>
    <w:p>
      <w:pPr>
        <w:spacing w:after="0" w:line="14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32406B"/>
        </w:rPr>
        <w:t>We note that, as is typical in initial public offerings, the initial public offering price per share for this offering was not derived using a formal determination of fair value, but was determined based upon discussions between us and the underwriters. Among the factors considered in setting the initial public offering price per share were prevailing market conditions, estimates of our business potential, progress in our research and development programs and developments in our business, the general condition of the securities market and the market prices of, and demand for, publicly-traded common stock of generally comparable companies.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Valuation of Derivative Liability</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The fair value of the derivative liability recognized in connection with our stock purchase agreement with UHN was determined based on significant inputs not observable in the market, which represents a Level 3 measurement within the fair value hierarchy. The fair value of the derivative liability was determined using the PWERM, which considered as inputs the type and probability of occurrence of an IPO dilution event, the amount of the payment, the expected timing of an IPO dilution event and a risk-adjusted discount rate.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Valuation of Warrant Liability</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In connection with entering into a loan agreement, we agreed to issue a warrant to purchase shares of our Series A preferred stock to the lender. We classify the warrant as a liability on our consolidated balance sheet because the warrant represents a free-standing financial instrument that may require us to transfer assets upon exercise. The warrant liability was initially recorded at fair value upon the date of the warrant issuance and is subsequently remeasured to fair value at each reporting date. Changes in the fair value of the warrant liability are recognized as a component of other income (expense), net in the consolidated statements of operations and will continue to be recognized until the warrant is exercised, expires or qualifies for equity classification.</w:t>
      </w:r>
    </w:p>
    <w:p>
      <w:pPr>
        <w:spacing w:after="0" w:line="193"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32406B"/>
        </w:rPr>
        <w:t>We utilize the Black-Scholes option-pricing model, which incorporates assumptions and estimates, to value the warrant. We assess these assumptions and estimates on a quarterly basis as additional information impacting the assumptions is obtained. Estimates and assumptions impacting the fair value measurement include the fair value per share of the underlying equity instruments issuable upon exercise of the warrant, the remaining contractual term of the warrant, risk-free interest rate, expected dividend yield and expected volatility of the underlying preferred stock. We have historically been a private company and lack company-specific historical and implied volatility information of our stock. Therefore, we estimate expected stock volatility based on the historical volatility of publicly traded peer companies for a term equal to the remaining contractual term of the warrant. The risk-free interest rate is determined by reference to the U.S. Treasury yield curve for time periods approximately equal to the remaining contractual term of the warrant. We have estimated a 0% dividend yield based on the fact that we have never paid or declared dividends.</w:t>
      </w:r>
    </w:p>
    <w:p>
      <w:pPr>
        <w:spacing w:after="0" w:line="166"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32406B"/>
        </w:rPr>
        <w:t>Upon the closing of this offering, the preferred stock warrant will become exercisable for common stock instead of preferred stock, and the remeasured fair value of the warrant liability will be reclassified to additional paid-in capital.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Quantitative and Qualitative Disclosures about Market Risks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Interest Rate Risk</w:t>
      </w:r>
    </w:p>
    <w:p>
      <w:pPr>
        <w:spacing w:after="0" w:line="117" w:lineRule="exact"/>
        <w:rPr>
          <w:sz w:val="20"/>
          <w:szCs w:val="20"/>
          <w:color w:val="auto"/>
        </w:rPr>
      </w:pPr>
    </w:p>
    <w:p>
      <w:pPr>
        <w:jc w:val="both"/>
        <w:ind w:left="200" w:right="180" w:firstLine="441"/>
        <w:spacing w:after="0" w:line="286" w:lineRule="auto"/>
        <w:rPr>
          <w:sz w:val="20"/>
          <w:szCs w:val="20"/>
          <w:color w:val="auto"/>
        </w:rPr>
      </w:pPr>
      <w:r>
        <w:rPr>
          <w:rFonts w:ascii="Arial" w:cs="Arial" w:eastAsia="Arial" w:hAnsi="Arial"/>
          <w:sz w:val="17"/>
          <w:szCs w:val="17"/>
          <w:color w:val="32406B"/>
        </w:rPr>
        <w:t>As of March 31, 2018, we had cash and cash equivalents of $57.9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financial position or results of operations.</w:t>
      </w:r>
    </w:p>
    <w:p>
      <w:pPr>
        <w:spacing w:after="0" w:line="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32406B"/>
        </w:rPr>
        <w:t>84</w:t>
      </w:r>
    </w:p>
    <w:p>
      <w:pPr>
        <w:sectPr>
          <w:pgSz w:w="11900" w:h="16838" w:orient="portrait"/>
          <w:cols w:equalWidth="0" w:num="1">
            <w:col w:w="11120"/>
          </w:cols>
          <w:pgMar w:left="240" w:top="459" w:right="5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Foreign Currency Exchange Risk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We are exposed to foreign exchange rate risk. Our headquarters are located in the United States, where the majority of our general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administrative expenses and research and development costs are incurred in U.S. dollars. A portion of our research and development costs are incurred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by our subsidiaries in Australia and Canada, whose functional currencies are the U.S. dollar but engage in transactions in Australian dollars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Canadian dollars, respectively. During each of the years ended December 31, 2016 and 2017, we recognized foreign currency transaction losses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$6,000 and $19,000, respectively. During each of the three months ended March 31, 2017 and 2018, we recognized foreign currency transaction losses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of $5,000 and $13,000, respectively. These losses primarily related to unrealized and realized foreign currency gains and losses as a result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transactions entered into by our Australian and Canadian subsidiaries in currencies other than the U.S. dollar. These foreign currency transaction gains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and losses were recorded in other expense, net in our consolidated statements of operations. We believe that a 10% change in the exchange rate between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the U.S. dollar, Australian dollar and Canadian dollar would not have a material impact on our financial position or results of operations.</w:t>
      </w:r>
    </w:p>
    <w:p>
      <w:pPr>
        <w:spacing w:after="0" w:line="21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32406B"/>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Emerging Growth Company Status</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32406B"/>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this offering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Off-Balance Sheet Arrangements</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32406B"/>
        </w:rPr>
        <w:t>We did not have during the periods presented, and we do not currently have, any off-balance sheet arrangements, as defined in the rules and regulations of the Securities and Exchange Commission.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Recently Issued Accounting Pronouncements</w:t>
      </w:r>
    </w:p>
    <w:p>
      <w:pPr>
        <w:spacing w:after="0" w:line="121" w:lineRule="exact"/>
        <w:rPr>
          <w:sz w:val="20"/>
          <w:szCs w:val="20"/>
          <w:color w:val="auto"/>
        </w:rPr>
      </w:pPr>
    </w:p>
    <w:p>
      <w:pPr>
        <w:ind w:left="200" w:right="640" w:firstLine="441"/>
        <w:spacing w:after="0" w:line="308" w:lineRule="auto"/>
        <w:rPr>
          <w:sz w:val="20"/>
          <w:szCs w:val="20"/>
          <w:color w:val="auto"/>
        </w:rPr>
      </w:pPr>
      <w:r>
        <w:rPr>
          <w:rFonts w:ascii="Arial" w:cs="Arial" w:eastAsia="Arial" w:hAnsi="Arial"/>
          <w:sz w:val="17"/>
          <w:szCs w:val="17"/>
          <w:color w:val="32406B"/>
        </w:rPr>
        <w:t>A description of recently issued accounting pronouncements that may potentially impact our financial position and results of operations is disclosed in Note 15 to our unaudited condensed consolidated financial statements appearing elsewhere in this prospectus.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85</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Overview</w:t>
      </w:r>
    </w:p>
    <w:p>
      <w:pPr>
        <w:spacing w:after="0" w:line="121"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32406B"/>
        </w:rPr>
        <w:t xml:space="preserve">We are a Phase 2 clinical stage gene therapy company focused on developing potentially curative </w:t>
      </w:r>
      <w:r>
        <w:rPr>
          <w:rFonts w:ascii="Arial" w:cs="Arial" w:eastAsia="Arial" w:hAnsi="Arial"/>
          <w:sz w:val="16"/>
          <w:szCs w:val="16"/>
          <w:i w:val="1"/>
          <w:iCs w:val="1"/>
          <w:color w:val="32406B"/>
        </w:rPr>
        <w:t>ex vivo</w:t>
      </w:r>
      <w:r>
        <w:rPr>
          <w:rFonts w:ascii="Arial" w:cs="Arial" w:eastAsia="Arial" w:hAnsi="Arial"/>
          <w:sz w:val="16"/>
          <w:szCs w:val="16"/>
          <w:color w:val="32406B"/>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has the potential to provide curative benefit in an outpatient setting for a range of diseases. Our initial focus is on a group of rare genetic diseases referred to as lysosomal storage diseases, which today are primarily managed with enzyme replacement therapies, or ERTs. These lysosomal storage diseases have well understood biologies, identified patient populations and represent large market opportunities with approximately $4.0 billion in worldwide net sales in 2017.</w:t>
      </w:r>
    </w:p>
    <w:p>
      <w:pPr>
        <w:spacing w:after="0" w:line="16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Our initial pipeline is comprised of four lentiviral-based gene therapies, including AVR-RD-01 for the treatment of Fabry disease, AVR-RD-02 for the treatment of Gaucher disease, AVR-RD-03 for the treatment of Pompe disease and AVR-RD-04 for the treatment of cystinosis. AVR-RD-01 is currently being evaluated in an investigator-sponsored Phase 1 clinical trial and has demonstrated clinically significant increased enzyme activity to date, with plasma a-galactosidase A, or AGA, enzyme activity levels in both patients treated to date increasing above the range for males with classic Fabry disease, defined as less than 1 nmol/hr/ml. On June 7, 2018, we dosed the first patient in our company-sponsored Phase 2 clinical trial of AVR-RD-01. In addition, Phase 1/2 clinical trials for both AVR-RD-02 and AVR-RD-04 are being planned and we expect patients will be dosed in 2019.</w:t>
      </w:r>
    </w:p>
    <w:p>
      <w:pPr>
        <w:spacing w:after="0" w:line="165"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32406B"/>
        </w:rPr>
        <w:t xml:space="preserve">Lentiviral-based gene therapy has been observed to be well-tolerated in third parties’ ongoing clinical trials for rare diseases such as beta thalassemia, ALD and ADA-SCID. To date, over 200 patients have been treated with lentiviral-based gene therapies in third parties’ clinical trials. Historically, the use of </w:t>
      </w:r>
      <w:r>
        <w:rPr>
          <w:rFonts w:ascii="Arial" w:cs="Arial" w:eastAsia="Arial" w:hAnsi="Arial"/>
          <w:sz w:val="16"/>
          <w:szCs w:val="16"/>
          <w:i w:val="1"/>
          <w:iCs w:val="1"/>
          <w:color w:val="32406B"/>
        </w:rPr>
        <w:t>ex vivo</w:t>
      </w:r>
      <w:r>
        <w:rPr>
          <w:rFonts w:ascii="Arial" w:cs="Arial" w:eastAsia="Arial" w:hAnsi="Arial"/>
          <w:sz w:val="16"/>
          <w:szCs w:val="16"/>
          <w:color w:val="32406B"/>
        </w:rPr>
        <w:t xml:space="preserve"> lentiviral-based therapies has been restricted primarily to the most acutely severe diseases where risks of the typical requirement for heavily ablating the patients’ bone marrow and thus significantly impairing these patients’ immune systems had an acceptable risk/benefit profile. The ablation procedure, also known as the conditioning regimen, is administered prior to the gene therapy. The more intensive the conditioning regimen, the greater the risk of toxicity and thus the need for more intensive in-patient monitoring and potential for lengthy hospitalization.</w:t>
      </w:r>
    </w:p>
    <w:p>
      <w:pPr>
        <w:spacing w:after="0" w:line="165"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32406B"/>
        </w:rPr>
        <w:t>Our goal is to broaden the applicability of lentiviral-based gene therapy by initially targeting diseases where we generally believe durable effects can be achieved following a milder conditioning regimen that allows for outpatient treatment. We believe our approach of choosing diseases where the conditioning regimen can be milder, thus improving patient tolerability, will extend the reach of our gene therapies to a broad range of diseases as first-line therapies.</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We are initially targeting rare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32406B"/>
        </w:rPr>
        <w:t>We believe our gene therapies leverage the well understood mechanism of ERTs by transforming a patient’s own cells into a drug product that enables the patient to express functional enzyme or other protein and mirror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86</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32406B"/>
        </w:rPr>
        <w:t>the biology seen in an otherwise healthy individual. We believe that a single dose of our gene therapies may provide meaningful life-long benefit to these patients and potentially cure these diseases while also providing significant health economic advantages.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Our programs leverage years of extensive preclinical and early clinical research by leading researchers, as well as our internal research efforts.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The status of our initial lentiviral-based gene therapy programs is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160020</wp:posOffset>
            </wp:positionV>
            <wp:extent cx="5205730" cy="2701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0573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32406B"/>
        </w:rPr>
        <w:t xml:space="preserve">Our lead product candidate, AVR-RD-01 for the treatment of Fabry disease, is derived from hematopoietic stem cells to which the gene encoding AGA is added in an </w:t>
      </w:r>
      <w:r>
        <w:rPr>
          <w:rFonts w:ascii="Arial" w:cs="Arial" w:eastAsia="Arial" w:hAnsi="Arial"/>
          <w:sz w:val="17"/>
          <w:szCs w:val="17"/>
          <w:i w:val="1"/>
          <w:iCs w:val="1"/>
          <w:color w:val="32406B"/>
        </w:rPr>
        <w:t>ex vivo</w:t>
      </w:r>
      <w:r>
        <w:rPr>
          <w:rFonts w:ascii="Arial" w:cs="Arial" w:eastAsia="Arial" w:hAnsi="Arial"/>
          <w:sz w:val="17"/>
          <w:szCs w:val="17"/>
          <w:color w:val="32406B"/>
        </w:rPr>
        <w:t xml:space="preserve"> process using a lentiviral vector. In an ongoing Phase 1 clinical trial of patients with Fabry disease, AVR-RD-01 has been well-tolerated and has led to the production of active AGA enzyme in the two patients treated to date. The first patient dosed in this trial continues to express plasma activity levels of AGA enzyme above the range for males with classic Fabry disease twelve months after receiving AVR-RD-01. Plasma AGA enzyme activity levels in the second patient also began increasing after receiving AVR-RD-01 and remained above the range for males with classic Fabry disease three months after treatment. In addition, we have initiated our company-sponsored Phase 2 clinical trial of AVR-RD-01 and recently dosed the first patient in this trial on June 7, 2018.</w:t>
      </w:r>
    </w:p>
    <w:p>
      <w:pPr>
        <w:spacing w:after="0" w:line="178"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32406B"/>
        </w:rPr>
        <w:t>Preclinical data for both our Gaucher and cystinosis programs have demonstrated positive results and we expect to begin dosing patients in Phase 1/2 clinical trials for both AVR-RD-02 (Gaucher) and AVR-RD-04 (cystinosis) in 2019. AVR-RD-03 for Pompe disease is currently in early preclinical development. We continue to seek opportunities to expand our approach to other rare and non-rare diseases. We plan to identify and develop future product candidates through our own internal research efforts as well as through collaborations with leading researchers worldwide.</w:t>
      </w:r>
    </w:p>
    <w:p>
      <w:pPr>
        <w:spacing w:after="0" w:line="15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We have developed a detailed plan for the more cost efficient and scalable manufacturing of our product candidates. We are establishing global manufacturing capabilities to support all aspects of the development and, if approved, the eventual commercialization of our gene therapies, from lentiviral vector production to cell processing. We are currently executing on our plans to move to a closed, automated manufacturing system, which we expect to complete by the end of 2019. We also utilize a cryopreservation process that we believe will allow for the global distribution and, if approved, commercialization of our gene therapies.</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32406B"/>
        </w:rPr>
        <w:t>87</w:t>
      </w:r>
    </w:p>
    <w:p>
      <w:pPr>
        <w:sectPr>
          <w:pgSz w:w="11900" w:h="16838" w:orient="portrait"/>
          <w:cols w:equalWidth="0" w:num="1">
            <w:col w:w="11160"/>
          </w:cols>
          <w:pgMar w:left="24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Expertise</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32406B"/>
        </w:rPr>
        <w:t>We are led by biopharmaceutical experts with extensive experience in gene and cellular therapy and rare diseases. Our team has broad expertise in the clinical, regulatory and commercialization aspects of rare diseases as well as process development and manufacturing for cellular therapies. Members of our management team have held senior positions at Shire, Genzyme, Novartis, Lonza and other companies pursuing development, manufacturing and commercialization of gene and cellular therapies and therapies to treat rare diseases.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Strategy</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32406B"/>
        </w:rPr>
        <w:t>Our goal is to develop and commercialize potentially curative lentiviral-based gene therapies for patients and expand the use of this approach to treat a number of diseases. Key elements of our strategy to achieve our goal include:</w:t>
      </w:r>
    </w:p>
    <w:p>
      <w:pPr>
        <w:spacing w:after="0" w:line="76" w:lineRule="exact"/>
        <w:rPr>
          <w:sz w:val="20"/>
          <w:szCs w:val="20"/>
          <w:color w:val="auto"/>
        </w:rPr>
      </w:pPr>
    </w:p>
    <w:p>
      <w:pPr>
        <w:ind w:left="1060" w:hanging="424"/>
        <w:spacing w:after="0" w:line="289" w:lineRule="auto"/>
        <w:tabs>
          <w:tab w:leader="none" w:pos="1060" w:val="left"/>
        </w:tabs>
        <w:numPr>
          <w:ilvl w:val="0"/>
          <w:numId w:val="54"/>
        </w:numPr>
        <w:rPr>
          <w:rFonts w:ascii="Arial" w:cs="Arial" w:eastAsia="Arial" w:hAnsi="Arial"/>
          <w:sz w:val="16"/>
          <w:szCs w:val="16"/>
          <w:color w:val="32406B"/>
        </w:rPr>
      </w:pPr>
      <w:r>
        <w:rPr>
          <w:rFonts w:ascii="Arial" w:cs="Arial" w:eastAsia="Arial" w:hAnsi="Arial"/>
          <w:sz w:val="16"/>
          <w:szCs w:val="16"/>
          <w:i w:val="1"/>
          <w:iCs w:val="1"/>
          <w:color w:val="32406B"/>
        </w:rPr>
        <w:t xml:space="preserve">Rapidly Advance Our Initial Gene Therapies. </w:t>
      </w:r>
      <w:r>
        <w:rPr>
          <w:rFonts w:ascii="Arial" w:cs="Arial" w:eastAsia="Arial" w:hAnsi="Arial"/>
          <w:sz w:val="16"/>
          <w:szCs w:val="16"/>
          <w:color w:val="32406B"/>
        </w:rPr>
        <w:t>We are developing a deep pipeline of four gene therapies to treat Fabry disease, Gaucher</w:t>
      </w:r>
      <w:r>
        <w:rPr>
          <w:rFonts w:ascii="Arial" w:cs="Arial" w:eastAsia="Arial" w:hAnsi="Arial"/>
          <w:sz w:val="16"/>
          <w:szCs w:val="16"/>
          <w:i w:val="1"/>
          <w:iCs w:val="1"/>
          <w:color w:val="32406B"/>
        </w:rPr>
        <w:t xml:space="preserve"> </w:t>
      </w:r>
      <w:r>
        <w:rPr>
          <w:rFonts w:ascii="Arial" w:cs="Arial" w:eastAsia="Arial" w:hAnsi="Arial"/>
          <w:sz w:val="16"/>
          <w:szCs w:val="16"/>
          <w:color w:val="32406B"/>
        </w:rPr>
        <w:t>disease, Pompe disease and cystinosis. We intend to rapidly advance these gene therapies into clinical trials and obtain initial efficacy data in patients from these development programs. AVR-RD-01 has been well tolerated and demonstrated clinically significant increased enzyme activity to date in an ongoing Phase 1 clinical trial. We received approval from both the Australian and Canadian regulatory authorities to initiate our company-sponsored Phase 2 clinical trial for AVR-RD-01 and, on June 7, 2018, the first patient in this clinical trial was dosed at an Australian site. In addition, we expect enrollment in the United States and Japan to begin in 2019 following receipt of regulatory clearance. Phase 1/2 clinical trials of both AVR-RD-02 and AVR-RD-04 are being planned and we expect patients will be dosed in 2019. In addition, we intend to pursue pathways for accelerated review and approval of our product candidates by the FDA and international regulatory authorities through programs such as the Regenerative Medicine Advanced Therapies, or RMAT, program in the United States.</w:t>
      </w:r>
    </w:p>
    <w:p>
      <w:pPr>
        <w:spacing w:after="0" w:line="72" w:lineRule="exact"/>
        <w:rPr>
          <w:rFonts w:ascii="Arial" w:cs="Arial" w:eastAsia="Arial" w:hAnsi="Arial"/>
          <w:sz w:val="16"/>
          <w:szCs w:val="16"/>
          <w:color w:val="32406B"/>
        </w:rPr>
      </w:pPr>
    </w:p>
    <w:p>
      <w:pPr>
        <w:ind w:left="1060" w:right="100" w:hanging="424"/>
        <w:spacing w:after="0" w:line="273" w:lineRule="auto"/>
        <w:tabs>
          <w:tab w:leader="none" w:pos="1060" w:val="left"/>
        </w:tabs>
        <w:numPr>
          <w:ilvl w:val="0"/>
          <w:numId w:val="54"/>
        </w:numPr>
        <w:rPr>
          <w:rFonts w:ascii="Arial" w:cs="Arial" w:eastAsia="Arial" w:hAnsi="Arial"/>
          <w:sz w:val="17"/>
          <w:szCs w:val="17"/>
          <w:color w:val="32406B"/>
        </w:rPr>
      </w:pPr>
      <w:r>
        <w:rPr>
          <w:rFonts w:ascii="Arial" w:cs="Arial" w:eastAsia="Arial" w:hAnsi="Arial"/>
          <w:sz w:val="17"/>
          <w:szCs w:val="17"/>
          <w:i w:val="1"/>
          <w:iCs w:val="1"/>
          <w:color w:val="32406B"/>
        </w:rPr>
        <w:t xml:space="preserve">Develop First-Line Gene Therapies for Lysosomal Storage Diseases. </w:t>
      </w:r>
      <w:r>
        <w:rPr>
          <w:rFonts w:ascii="Arial" w:cs="Arial" w:eastAsia="Arial" w:hAnsi="Arial"/>
          <w:sz w:val="17"/>
          <w:szCs w:val="17"/>
          <w:color w:val="32406B"/>
        </w:rPr>
        <w:t>We are initially targeting lysosomal storage diseases and intend to</w:t>
      </w:r>
      <w:r>
        <w:rPr>
          <w:rFonts w:ascii="Arial" w:cs="Arial" w:eastAsia="Arial" w:hAnsi="Arial"/>
          <w:sz w:val="17"/>
          <w:szCs w:val="17"/>
          <w:i w:val="1"/>
          <w:iCs w:val="1"/>
          <w:color w:val="32406B"/>
        </w:rPr>
        <w:t xml:space="preserve"> </w:t>
      </w:r>
      <w:r>
        <w:rPr>
          <w:rFonts w:ascii="Arial" w:cs="Arial" w:eastAsia="Arial" w:hAnsi="Arial"/>
          <w:sz w:val="17"/>
          <w:szCs w:val="17"/>
          <w:color w:val="32406B"/>
        </w:rPr>
        <w:t>conduct clinical trials in both treatment-experienced and treatment-naïve patient groups in order to maximize the potential of our lentiviral-based gene therapies for patients. We are pioneering the use of a milder conditioning regimen, designed to be performed in an outpatient setting, as we believe this will enable us to pursue early intervention for the treatment of lysosomal storage diseases and expand into a wide range of diseases where lentiviral-based gene therapy has not been previously utilized. We will continue to leverage advancements in stem cell transplantation in order to improve patient tolerability of our lentiviral-based gene therapies.</w:t>
      </w:r>
    </w:p>
    <w:p>
      <w:pPr>
        <w:spacing w:after="0" w:line="83" w:lineRule="exact"/>
        <w:rPr>
          <w:rFonts w:ascii="Arial" w:cs="Arial" w:eastAsia="Arial" w:hAnsi="Arial"/>
          <w:sz w:val="17"/>
          <w:szCs w:val="17"/>
          <w:color w:val="32406B"/>
        </w:rPr>
      </w:pPr>
    </w:p>
    <w:p>
      <w:pPr>
        <w:ind w:left="1060" w:right="60" w:hanging="424"/>
        <w:spacing w:after="0" w:line="259" w:lineRule="auto"/>
        <w:tabs>
          <w:tab w:leader="none" w:pos="1060" w:val="left"/>
        </w:tabs>
        <w:numPr>
          <w:ilvl w:val="0"/>
          <w:numId w:val="54"/>
        </w:numPr>
        <w:rPr>
          <w:rFonts w:ascii="Arial" w:cs="Arial" w:eastAsia="Arial" w:hAnsi="Arial"/>
          <w:sz w:val="18"/>
          <w:szCs w:val="18"/>
          <w:color w:val="32406B"/>
        </w:rPr>
      </w:pPr>
      <w:r>
        <w:rPr>
          <w:rFonts w:ascii="Arial" w:cs="Arial" w:eastAsia="Arial" w:hAnsi="Arial"/>
          <w:sz w:val="18"/>
          <w:szCs w:val="18"/>
          <w:i w:val="1"/>
          <w:iCs w:val="1"/>
          <w:color w:val="32406B"/>
        </w:rPr>
        <w:t xml:space="preserve">Globally Develop, Manufacture and Commercialize Our Gene Therapies. </w:t>
      </w:r>
      <w:r>
        <w:rPr>
          <w:rFonts w:ascii="Arial" w:cs="Arial" w:eastAsia="Arial" w:hAnsi="Arial"/>
          <w:sz w:val="18"/>
          <w:szCs w:val="18"/>
          <w:color w:val="32406B"/>
        </w:rPr>
        <w:t>Lysosomal storage diseases afflict patients globally and we intend</w:t>
      </w:r>
      <w:r>
        <w:rPr>
          <w:rFonts w:ascii="Arial" w:cs="Arial" w:eastAsia="Arial" w:hAnsi="Arial"/>
          <w:sz w:val="18"/>
          <w:szCs w:val="18"/>
          <w:i w:val="1"/>
          <w:iCs w:val="1"/>
          <w:color w:val="32406B"/>
        </w:rPr>
        <w:t xml:space="preserve"> </w:t>
      </w:r>
      <w:r>
        <w:rPr>
          <w:rFonts w:ascii="Arial" w:cs="Arial" w:eastAsia="Arial" w:hAnsi="Arial"/>
          <w:sz w:val="18"/>
          <w:szCs w:val="18"/>
          <w:color w:val="32406B"/>
        </w:rPr>
        <w:t>to build global infrastructure in order to provide treatment to patients around the world. We currently intend to conduct clinical trials across multiple geographies, including the United States, Canada, Australia, Japan, Europe and Israel. We have established a global network of suppliers and contract manufacturing organizations, or CMOs.</w:t>
      </w:r>
    </w:p>
    <w:p>
      <w:pPr>
        <w:spacing w:after="0" w:line="92" w:lineRule="exact"/>
        <w:rPr>
          <w:rFonts w:ascii="Arial" w:cs="Arial" w:eastAsia="Arial" w:hAnsi="Arial"/>
          <w:sz w:val="18"/>
          <w:szCs w:val="18"/>
          <w:color w:val="32406B"/>
        </w:rPr>
      </w:pPr>
    </w:p>
    <w:p>
      <w:pPr>
        <w:ind w:left="1060" w:right="60" w:hanging="424"/>
        <w:spacing w:after="0" w:line="302" w:lineRule="auto"/>
        <w:tabs>
          <w:tab w:leader="none" w:pos="1060" w:val="left"/>
        </w:tabs>
        <w:numPr>
          <w:ilvl w:val="0"/>
          <w:numId w:val="54"/>
        </w:numPr>
        <w:rPr>
          <w:rFonts w:ascii="Arial" w:cs="Arial" w:eastAsia="Arial" w:hAnsi="Arial"/>
          <w:sz w:val="16"/>
          <w:szCs w:val="16"/>
          <w:color w:val="32406B"/>
        </w:rPr>
      </w:pPr>
      <w:r>
        <w:rPr>
          <w:rFonts w:ascii="Arial" w:cs="Arial" w:eastAsia="Arial" w:hAnsi="Arial"/>
          <w:sz w:val="16"/>
          <w:szCs w:val="16"/>
          <w:i w:val="1"/>
          <w:iCs w:val="1"/>
          <w:color w:val="32406B"/>
        </w:rPr>
        <w:t xml:space="preserve">Industrialize Lentiviral-Based Gene Therapy. </w:t>
      </w:r>
      <w:r>
        <w:rPr>
          <w:rFonts w:ascii="Arial" w:cs="Arial" w:eastAsia="Arial" w:hAnsi="Arial"/>
          <w:sz w:val="16"/>
          <w:szCs w:val="16"/>
          <w:color w:val="32406B"/>
        </w:rPr>
        <w:t>We are developing a manufacturing process that is both reproducible and scalable. We believe</w:t>
      </w:r>
      <w:r>
        <w:rPr>
          <w:rFonts w:ascii="Arial" w:cs="Arial" w:eastAsia="Arial" w:hAnsi="Arial"/>
          <w:sz w:val="16"/>
          <w:szCs w:val="16"/>
          <w:i w:val="1"/>
          <w:iCs w:val="1"/>
          <w:color w:val="32406B"/>
        </w:rPr>
        <w:t xml:space="preserve"> </w:t>
      </w:r>
      <w:r>
        <w:rPr>
          <w:rFonts w:ascii="Arial" w:cs="Arial" w:eastAsia="Arial" w:hAnsi="Arial"/>
          <w:sz w:val="16"/>
          <w:szCs w:val="16"/>
          <w:color w:val="32406B"/>
        </w:rPr>
        <w:t>our innovations in viral vector design, cellular manufacturing and other related processes are important steps towards advancing the field of lentiviral-based gene therapy and realizing its full potential to treat a number of diseases. We intend to leverage our core competencies to implement a closed, automated manufacturing system that will enable us to deliver our gene therapies to patients at an industrialized scale.</w:t>
      </w:r>
    </w:p>
    <w:p>
      <w:pPr>
        <w:spacing w:after="0" w:line="59" w:lineRule="exact"/>
        <w:rPr>
          <w:rFonts w:ascii="Arial" w:cs="Arial" w:eastAsia="Arial" w:hAnsi="Arial"/>
          <w:sz w:val="16"/>
          <w:szCs w:val="16"/>
          <w:color w:val="32406B"/>
        </w:rPr>
      </w:pPr>
    </w:p>
    <w:p>
      <w:pPr>
        <w:ind w:left="1060" w:right="440" w:hanging="424"/>
        <w:spacing w:after="0" w:line="259" w:lineRule="auto"/>
        <w:tabs>
          <w:tab w:leader="none" w:pos="1060" w:val="left"/>
        </w:tabs>
        <w:numPr>
          <w:ilvl w:val="0"/>
          <w:numId w:val="54"/>
        </w:numPr>
        <w:rPr>
          <w:rFonts w:ascii="Arial" w:cs="Arial" w:eastAsia="Arial" w:hAnsi="Arial"/>
          <w:sz w:val="18"/>
          <w:szCs w:val="18"/>
          <w:color w:val="32406B"/>
        </w:rPr>
      </w:pPr>
      <w:r>
        <w:rPr>
          <w:rFonts w:ascii="Arial" w:cs="Arial" w:eastAsia="Arial" w:hAnsi="Arial"/>
          <w:sz w:val="18"/>
          <w:szCs w:val="18"/>
          <w:i w:val="1"/>
          <w:iCs w:val="1"/>
          <w:color w:val="32406B"/>
        </w:rPr>
        <w:t xml:space="preserve">Leverage Our Approach Beyond Our Initial Indications. </w:t>
      </w:r>
      <w:r>
        <w:rPr>
          <w:rFonts w:ascii="Arial" w:cs="Arial" w:eastAsia="Arial" w:hAnsi="Arial"/>
          <w:sz w:val="18"/>
          <w:szCs w:val="18"/>
          <w:color w:val="32406B"/>
        </w:rPr>
        <w:t>We are initially developing gene therapies for the treatment of four different</w:t>
      </w:r>
      <w:r>
        <w:rPr>
          <w:rFonts w:ascii="Arial" w:cs="Arial" w:eastAsia="Arial" w:hAnsi="Arial"/>
          <w:sz w:val="18"/>
          <w:szCs w:val="18"/>
          <w:i w:val="1"/>
          <w:iCs w:val="1"/>
          <w:color w:val="32406B"/>
        </w:rPr>
        <w:t xml:space="preserve"> </w:t>
      </w:r>
      <w:r>
        <w:rPr>
          <w:rFonts w:ascii="Arial" w:cs="Arial" w:eastAsia="Arial" w:hAnsi="Arial"/>
          <w:sz w:val="18"/>
          <w:szCs w:val="18"/>
          <w:color w:val="32406B"/>
        </w:rPr>
        <w:t>lysosomal storage diseases and believe that we will gain significant learnings and technical insights from these programs. We intend to leverage our technology and insights to treat a number of rare and non-rare diseases where we believe our lentiviral approach has transformative potential.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88</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Approach</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32406B"/>
        </w:rPr>
        <w:t xml:space="preserve">We develop therapies utilizing our </w:t>
      </w:r>
      <w:r>
        <w:rPr>
          <w:rFonts w:ascii="Arial" w:cs="Arial" w:eastAsia="Arial" w:hAnsi="Arial"/>
          <w:sz w:val="17"/>
          <w:szCs w:val="17"/>
          <w:i w:val="1"/>
          <w:iCs w:val="1"/>
          <w:color w:val="32406B"/>
        </w:rPr>
        <w:t>ex vivo</w:t>
      </w:r>
      <w:r>
        <w:rPr>
          <w:rFonts w:ascii="Arial" w:cs="Arial" w:eastAsia="Arial" w:hAnsi="Arial"/>
          <w:sz w:val="17"/>
          <w:szCs w:val="17"/>
          <w:color w:val="32406B"/>
        </w:rPr>
        <w:t xml:space="preserve"> lentiviral-based gene therapy approach to transform a patient’s own cells into a drug product. Our gene therapies employ lentiviral vectors that are designed to result in stable integration of the desired genes in the chromosomes of the stem cells such that they are permanently maintained in the cell and can be reproduced as the cell divides. We focus on delivering our lentiviral-based gene therapies to hematopoietic stem cells, which are primitive stem cells that develop into all types of blood cells, including white blood cells, red blood cells and platelets. To accomplish this, we extract a patient’s hematopoietic stem cells and modify them </w:t>
      </w:r>
      <w:r>
        <w:rPr>
          <w:rFonts w:ascii="Arial" w:cs="Arial" w:eastAsia="Arial" w:hAnsi="Arial"/>
          <w:sz w:val="17"/>
          <w:szCs w:val="17"/>
          <w:i w:val="1"/>
          <w:iCs w:val="1"/>
          <w:color w:val="32406B"/>
        </w:rPr>
        <w:t>ex vivo</w:t>
      </w:r>
      <w:r>
        <w:rPr>
          <w:rFonts w:ascii="Arial" w:cs="Arial" w:eastAsia="Arial" w:hAnsi="Arial"/>
          <w:sz w:val="17"/>
          <w:szCs w:val="17"/>
          <w:color w:val="32406B"/>
        </w:rPr>
        <w:t xml:space="preserve"> to add a new, functional copy of the gene that is defective in the target disease. We then infuse the modified cells back into the patient. Our gene therapies are designed to be administered to the patient as a one-time therapy in an outpatient setting following a milder outpatient conditioning regimen.</w:t>
      </w:r>
    </w:p>
    <w:p>
      <w:pPr>
        <w:spacing w:after="0" w:line="17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 xml:space="preserve">We are initially focused on employing our approach to treat and potentially cure lysosomal storage diseases. These diseases have well understood biologies, identified patient populations and represent large markets with approximately $4.0 billion in worldwide net sales in 2017. We are industrializing our </w:t>
      </w:r>
      <w:r>
        <w:rPr>
          <w:rFonts w:ascii="Arial" w:cs="Arial" w:eastAsia="Arial" w:hAnsi="Arial"/>
          <w:sz w:val="18"/>
          <w:szCs w:val="18"/>
          <w:i w:val="1"/>
          <w:iCs w:val="1"/>
          <w:color w:val="32406B"/>
        </w:rPr>
        <w:t>ex vivo</w:t>
      </w:r>
      <w:r>
        <w:rPr>
          <w:rFonts w:ascii="Arial" w:cs="Arial" w:eastAsia="Arial" w:hAnsi="Arial"/>
          <w:sz w:val="18"/>
          <w:szCs w:val="18"/>
          <w:color w:val="32406B"/>
        </w:rPr>
        <w:t xml:space="preserve"> lentiviral-based gene therapy approach into a robust, scalable and, if approved, commercially viable process that will allow us to deliver our potentially curative therapies to patients with these and other serious monogenic disorders.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Advantages of Our Lentiviral-Based Gene Therapy Approach</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We believe lentiviral-based gene therapy provides numerous advantages, including:</w:t>
      </w:r>
    </w:p>
    <w:p>
      <w:pPr>
        <w:spacing w:after="0" w:line="131" w:lineRule="exact"/>
        <w:rPr>
          <w:sz w:val="20"/>
          <w:szCs w:val="20"/>
          <w:color w:val="auto"/>
        </w:rPr>
      </w:pPr>
    </w:p>
    <w:p>
      <w:pPr>
        <w:ind w:left="1060" w:right="80" w:hanging="424"/>
        <w:spacing w:after="0" w:line="342" w:lineRule="auto"/>
        <w:tabs>
          <w:tab w:leader="none" w:pos="1060" w:val="left"/>
        </w:tabs>
        <w:numPr>
          <w:ilvl w:val="0"/>
          <w:numId w:val="55"/>
        </w:numPr>
        <w:rPr>
          <w:rFonts w:ascii="Arial" w:cs="Arial" w:eastAsia="Arial" w:hAnsi="Arial"/>
          <w:sz w:val="16"/>
          <w:szCs w:val="16"/>
          <w:color w:val="32406B"/>
        </w:rPr>
      </w:pPr>
      <w:r>
        <w:rPr>
          <w:rFonts w:ascii="Arial" w:cs="Arial" w:eastAsia="Arial" w:hAnsi="Arial"/>
          <w:sz w:val="16"/>
          <w:szCs w:val="16"/>
          <w:i w:val="1"/>
          <w:iCs w:val="1"/>
          <w:color w:val="32406B"/>
        </w:rPr>
        <w:t xml:space="preserve">Durable Benefit. </w:t>
      </w:r>
      <w:r>
        <w:rPr>
          <w:rFonts w:ascii="Arial" w:cs="Arial" w:eastAsia="Arial" w:hAnsi="Arial"/>
          <w:sz w:val="16"/>
          <w:szCs w:val="16"/>
          <w:color w:val="32406B"/>
        </w:rPr>
        <w:t>Lentiviral vectors have the potential to provide life-long benefits with a single dose. Lentiviral vectors can integrate stably</w:t>
      </w:r>
      <w:r>
        <w:rPr>
          <w:rFonts w:ascii="Arial" w:cs="Arial" w:eastAsia="Arial" w:hAnsi="Arial"/>
          <w:sz w:val="16"/>
          <w:szCs w:val="16"/>
          <w:i w:val="1"/>
          <w:iCs w:val="1"/>
          <w:color w:val="32406B"/>
        </w:rPr>
        <w:t xml:space="preserve"> </w:t>
      </w:r>
      <w:r>
        <w:rPr>
          <w:rFonts w:ascii="Arial" w:cs="Arial" w:eastAsia="Arial" w:hAnsi="Arial"/>
          <w:sz w:val="16"/>
          <w:szCs w:val="16"/>
          <w:color w:val="32406B"/>
        </w:rPr>
        <w:t>into the genes of hematopoietic stem cells and, when these cells replicate, they pass the integrated genes on to their progeny cells.</w:t>
      </w:r>
    </w:p>
    <w:p>
      <w:pPr>
        <w:spacing w:after="0" w:line="29" w:lineRule="exact"/>
        <w:rPr>
          <w:rFonts w:ascii="Arial" w:cs="Arial" w:eastAsia="Arial" w:hAnsi="Arial"/>
          <w:sz w:val="16"/>
          <w:szCs w:val="16"/>
          <w:color w:val="32406B"/>
        </w:rPr>
      </w:pPr>
    </w:p>
    <w:p>
      <w:pPr>
        <w:ind w:left="1060" w:right="320" w:hanging="424"/>
        <w:spacing w:after="0" w:line="277" w:lineRule="auto"/>
        <w:tabs>
          <w:tab w:leader="none" w:pos="1060" w:val="left"/>
        </w:tabs>
        <w:numPr>
          <w:ilvl w:val="0"/>
          <w:numId w:val="55"/>
        </w:numPr>
        <w:rPr>
          <w:rFonts w:ascii="Arial" w:cs="Arial" w:eastAsia="Arial" w:hAnsi="Arial"/>
          <w:sz w:val="18"/>
          <w:szCs w:val="18"/>
          <w:color w:val="32406B"/>
        </w:rPr>
      </w:pPr>
      <w:r>
        <w:rPr>
          <w:rFonts w:ascii="Arial" w:cs="Arial" w:eastAsia="Arial" w:hAnsi="Arial"/>
          <w:sz w:val="18"/>
          <w:szCs w:val="18"/>
          <w:i w:val="1"/>
          <w:iCs w:val="1"/>
          <w:color w:val="32406B"/>
        </w:rPr>
        <w:t xml:space="preserve">Systemic Therapeutic Effect. </w:t>
      </w:r>
      <w:r>
        <w:rPr>
          <w:rFonts w:ascii="Arial" w:cs="Arial" w:eastAsia="Arial" w:hAnsi="Arial"/>
          <w:sz w:val="18"/>
          <w:szCs w:val="18"/>
          <w:color w:val="32406B"/>
        </w:rPr>
        <w:t>Progeny cells circulate systemically and therefore have the ability to provide therapeutic benefit to affected</w:t>
      </w:r>
      <w:r>
        <w:rPr>
          <w:rFonts w:ascii="Arial" w:cs="Arial" w:eastAsia="Arial" w:hAnsi="Arial"/>
          <w:sz w:val="18"/>
          <w:szCs w:val="18"/>
          <w:i w:val="1"/>
          <w:iCs w:val="1"/>
          <w:color w:val="32406B"/>
        </w:rPr>
        <w:t xml:space="preserve"> </w:t>
      </w:r>
      <w:r>
        <w:rPr>
          <w:rFonts w:ascii="Arial" w:cs="Arial" w:eastAsia="Arial" w:hAnsi="Arial"/>
          <w:sz w:val="18"/>
          <w:szCs w:val="18"/>
          <w:color w:val="32406B"/>
        </w:rPr>
        <w:t>tissues and organs throughout the body.</w:t>
      </w:r>
    </w:p>
    <w:p>
      <w:pPr>
        <w:spacing w:after="0" w:line="75" w:lineRule="exact"/>
        <w:rPr>
          <w:rFonts w:ascii="Arial" w:cs="Arial" w:eastAsia="Arial" w:hAnsi="Arial"/>
          <w:sz w:val="18"/>
          <w:szCs w:val="18"/>
          <w:color w:val="32406B"/>
        </w:rPr>
      </w:pPr>
    </w:p>
    <w:p>
      <w:pPr>
        <w:ind w:left="1060" w:right="500" w:hanging="424"/>
        <w:spacing w:after="0" w:line="277" w:lineRule="auto"/>
        <w:tabs>
          <w:tab w:leader="none" w:pos="1060" w:val="left"/>
        </w:tabs>
        <w:numPr>
          <w:ilvl w:val="0"/>
          <w:numId w:val="55"/>
        </w:numPr>
        <w:rPr>
          <w:rFonts w:ascii="Arial" w:cs="Arial" w:eastAsia="Arial" w:hAnsi="Arial"/>
          <w:sz w:val="18"/>
          <w:szCs w:val="18"/>
          <w:color w:val="32406B"/>
        </w:rPr>
      </w:pPr>
      <w:r>
        <w:rPr>
          <w:rFonts w:ascii="Arial" w:cs="Arial" w:eastAsia="Arial" w:hAnsi="Arial"/>
          <w:sz w:val="18"/>
          <w:szCs w:val="18"/>
          <w:i w:val="1"/>
          <w:iCs w:val="1"/>
          <w:color w:val="32406B"/>
        </w:rPr>
        <w:t xml:space="preserve">History of Safety. </w:t>
      </w:r>
      <w:r>
        <w:rPr>
          <w:rFonts w:ascii="Arial" w:cs="Arial" w:eastAsia="Arial" w:hAnsi="Arial"/>
          <w:sz w:val="18"/>
          <w:szCs w:val="18"/>
          <w:color w:val="32406B"/>
        </w:rPr>
        <w:t>Over the past 10 years, no instances of insertional mutagenesis or leukemogenesis from lentiviral vectors have been</w:t>
      </w:r>
      <w:r>
        <w:rPr>
          <w:rFonts w:ascii="Arial" w:cs="Arial" w:eastAsia="Arial" w:hAnsi="Arial"/>
          <w:sz w:val="18"/>
          <w:szCs w:val="18"/>
          <w:i w:val="1"/>
          <w:iCs w:val="1"/>
          <w:color w:val="32406B"/>
        </w:rPr>
        <w:t xml:space="preserve"> </w:t>
      </w:r>
      <w:r>
        <w:rPr>
          <w:rFonts w:ascii="Arial" w:cs="Arial" w:eastAsia="Arial" w:hAnsi="Arial"/>
          <w:sz w:val="18"/>
          <w:szCs w:val="18"/>
          <w:color w:val="32406B"/>
        </w:rPr>
        <w:t>observed in clinical trials in which over 200 total patients have been treated.</w:t>
      </w:r>
    </w:p>
    <w:p>
      <w:pPr>
        <w:spacing w:after="0" w:line="75" w:lineRule="exact"/>
        <w:rPr>
          <w:rFonts w:ascii="Arial" w:cs="Arial" w:eastAsia="Arial" w:hAnsi="Arial"/>
          <w:sz w:val="18"/>
          <w:szCs w:val="18"/>
          <w:color w:val="32406B"/>
        </w:rPr>
      </w:pPr>
    </w:p>
    <w:p>
      <w:pPr>
        <w:ind w:left="1060" w:right="120" w:hanging="424"/>
        <w:spacing w:after="0" w:line="264" w:lineRule="auto"/>
        <w:tabs>
          <w:tab w:leader="none" w:pos="1060" w:val="left"/>
        </w:tabs>
        <w:numPr>
          <w:ilvl w:val="0"/>
          <w:numId w:val="55"/>
        </w:numPr>
        <w:rPr>
          <w:rFonts w:ascii="Arial" w:cs="Arial" w:eastAsia="Arial" w:hAnsi="Arial"/>
          <w:sz w:val="18"/>
          <w:szCs w:val="18"/>
          <w:color w:val="32406B"/>
        </w:rPr>
      </w:pPr>
      <w:r>
        <w:rPr>
          <w:rFonts w:ascii="Arial" w:cs="Arial" w:eastAsia="Arial" w:hAnsi="Arial"/>
          <w:sz w:val="18"/>
          <w:szCs w:val="18"/>
          <w:i w:val="1"/>
          <w:iCs w:val="1"/>
          <w:color w:val="32406B"/>
        </w:rPr>
        <w:t xml:space="preserve">Broad Patient Applicability. </w:t>
      </w:r>
      <w:r>
        <w:rPr>
          <w:rFonts w:ascii="Arial" w:cs="Arial" w:eastAsia="Arial" w:hAnsi="Arial"/>
          <w:sz w:val="18"/>
          <w:szCs w:val="18"/>
          <w:color w:val="32406B"/>
        </w:rPr>
        <w:t>Lentiviral-based gene therapies have been used to deliver treatments to patients of all ages, including children,</w:t>
      </w:r>
      <w:r>
        <w:rPr>
          <w:rFonts w:ascii="Arial" w:cs="Arial" w:eastAsia="Arial" w:hAnsi="Arial"/>
          <w:sz w:val="18"/>
          <w:szCs w:val="18"/>
          <w:i w:val="1"/>
          <w:iCs w:val="1"/>
          <w:color w:val="32406B"/>
        </w:rPr>
        <w:t xml:space="preserve"> </w:t>
      </w:r>
      <w:r>
        <w:rPr>
          <w:rFonts w:ascii="Arial" w:cs="Arial" w:eastAsia="Arial" w:hAnsi="Arial"/>
          <w:sz w:val="18"/>
          <w:szCs w:val="18"/>
          <w:color w:val="32406B"/>
        </w:rPr>
        <w:t>and to patients who may be ineligible for other types of gene therapy due to the presence of preexisting antibodies that fight against viral vectors.</w:t>
      </w:r>
    </w:p>
    <w:p>
      <w:pPr>
        <w:spacing w:after="0" w:line="86" w:lineRule="exact"/>
        <w:rPr>
          <w:rFonts w:ascii="Arial" w:cs="Arial" w:eastAsia="Arial" w:hAnsi="Arial"/>
          <w:sz w:val="18"/>
          <w:szCs w:val="18"/>
          <w:color w:val="32406B"/>
        </w:rPr>
      </w:pPr>
    </w:p>
    <w:p>
      <w:pPr>
        <w:ind w:left="1060" w:right="280" w:hanging="424"/>
        <w:spacing w:after="0" w:line="277" w:lineRule="auto"/>
        <w:tabs>
          <w:tab w:leader="none" w:pos="1060" w:val="left"/>
        </w:tabs>
        <w:numPr>
          <w:ilvl w:val="0"/>
          <w:numId w:val="55"/>
        </w:numPr>
        <w:rPr>
          <w:rFonts w:ascii="Arial" w:cs="Arial" w:eastAsia="Arial" w:hAnsi="Arial"/>
          <w:sz w:val="18"/>
          <w:szCs w:val="18"/>
          <w:color w:val="32406B"/>
        </w:rPr>
      </w:pPr>
      <w:r>
        <w:rPr>
          <w:rFonts w:ascii="Arial" w:cs="Arial" w:eastAsia="Arial" w:hAnsi="Arial"/>
          <w:sz w:val="18"/>
          <w:szCs w:val="18"/>
          <w:i w:val="1"/>
          <w:iCs w:val="1"/>
          <w:color w:val="32406B"/>
        </w:rPr>
        <w:t xml:space="preserve">Larger and Varied Payloads. </w:t>
      </w:r>
      <w:r>
        <w:rPr>
          <w:rFonts w:ascii="Arial" w:cs="Arial" w:eastAsia="Arial" w:hAnsi="Arial"/>
          <w:sz w:val="18"/>
          <w:szCs w:val="18"/>
          <w:color w:val="32406B"/>
        </w:rPr>
        <w:t>In contrast to other viral vectors, lentiviruses have the capacity to carry larger gene sequences, which allow</w:t>
      </w:r>
      <w:r>
        <w:rPr>
          <w:rFonts w:ascii="Arial" w:cs="Arial" w:eastAsia="Arial" w:hAnsi="Arial"/>
          <w:sz w:val="18"/>
          <w:szCs w:val="18"/>
          <w:i w:val="1"/>
          <w:iCs w:val="1"/>
          <w:color w:val="32406B"/>
        </w:rPr>
        <w:t xml:space="preserve"> </w:t>
      </w:r>
      <w:r>
        <w:rPr>
          <w:rFonts w:ascii="Arial" w:cs="Arial" w:eastAsia="Arial" w:hAnsi="Arial"/>
          <w:sz w:val="18"/>
          <w:szCs w:val="18"/>
          <w:color w:val="32406B"/>
        </w:rPr>
        <w:t>them to potentially address a large variety of indications.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Strategic Selection of Our Initial Indications</w:t>
      </w:r>
    </w:p>
    <w:p>
      <w:pPr>
        <w:spacing w:after="0" w:line="117"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32406B"/>
        </w:rPr>
        <w:t>There are approximately 50 identified lysosomal storage diseases, which are characterized by an abnormal toxic build-up of by-products in the body’s cells. We are initially targeting Fabry disease, Gaucher disease, Pompe disease and cystinsois. Each of these diseases affects a meaningful number of patients, has a suboptimal standard of care and, we believe, is appropriate for lentiviral-based gene therapy. We believe our approach addresses the shortcomings of existing therapies where patients’ disease continues to progress despite chronic dosing and that our approach has the potential to cure these diseases.</w:t>
      </w:r>
    </w:p>
    <w:p>
      <w:pPr>
        <w:spacing w:after="0" w:line="18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32406B"/>
        </w:rPr>
        <w:t xml:space="preserve">Clinical proof of concept already exists for allogeneic bone marrow transplant in some lysosomal storage diseases, supporting the notion that transplantation of cells that produce normal enzyme can have clinical impact on disease. Experience with allogeneic bone marrow transplant in patients with Gaucher disease provides evidence to support our </w:t>
      </w:r>
      <w:r>
        <w:rPr>
          <w:rFonts w:ascii="Arial" w:cs="Arial" w:eastAsia="Arial" w:hAnsi="Arial"/>
          <w:sz w:val="17"/>
          <w:szCs w:val="17"/>
          <w:i w:val="1"/>
          <w:iCs w:val="1"/>
          <w:color w:val="32406B"/>
        </w:rPr>
        <w:t>ex vivo</w:t>
      </w:r>
      <w:r>
        <w:rPr>
          <w:rFonts w:ascii="Arial" w:cs="Arial" w:eastAsia="Arial" w:hAnsi="Arial"/>
          <w:sz w:val="17"/>
          <w:szCs w:val="17"/>
          <w:color w:val="32406B"/>
        </w:rPr>
        <w:t xml:space="preserve"> gene therapy approach. Additionally, in cystinosis, transplant of human bone marrow and hematopoietic stem cells into a mouse model demonstrates proof of concept efficacy for transplant. Our </w:t>
      </w:r>
      <w:r>
        <w:rPr>
          <w:rFonts w:ascii="Arial" w:cs="Arial" w:eastAsia="Arial" w:hAnsi="Arial"/>
          <w:sz w:val="17"/>
          <w:szCs w:val="17"/>
          <w:i w:val="1"/>
          <w:iCs w:val="1"/>
          <w:color w:val="32406B"/>
        </w:rPr>
        <w:t>ex vivo</w:t>
      </w:r>
      <w:r>
        <w:rPr>
          <w:rFonts w:ascii="Arial" w:cs="Arial" w:eastAsia="Arial" w:hAnsi="Arial"/>
          <w:sz w:val="17"/>
          <w:szCs w:val="17"/>
          <w:color w:val="32406B"/>
        </w:rPr>
        <w:t xml:space="preserve"> gene therapy approach allows patients to be their own cell donor, eliminating the need to find a matched bone marrow donor, while reducing the risk of complications related to more intensive conditioning regimens and short-term immunosuppressants utilized in allogeneic cell transplant.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89</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Expanding the Utility of Lentiviral-Based Gene Therapy with Outpatient Conditioning</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32406B"/>
        </w:rPr>
        <w:t>A core part of our approach is to expand the use of lentiviral-based gene therapy to treat numerous diseases. We believe that we will be able to demonstrate durable effects in our targeted diseases with a milder conditioning regimen which has the potential for reduced short- and long-term toxicities. This, in turn, will make lentiviral-based gene therapy a therapeutic option for less acutely severe diseases or diseases with approved therapies in which large unmet medical needs remain.</w:t>
      </w:r>
    </w:p>
    <w:p>
      <w:pPr>
        <w:spacing w:after="0" w:line="18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32406B"/>
        </w:rPr>
        <w:t xml:space="preserve">Prior to the reintroduction of </w:t>
      </w:r>
      <w:r>
        <w:rPr>
          <w:rFonts w:ascii="Arial" w:cs="Arial" w:eastAsia="Arial" w:hAnsi="Arial"/>
          <w:sz w:val="18"/>
          <w:szCs w:val="18"/>
          <w:i w:val="1"/>
          <w:iCs w:val="1"/>
          <w:color w:val="32406B"/>
        </w:rPr>
        <w:t>ex vivo</w:t>
      </w:r>
      <w:r>
        <w:rPr>
          <w:rFonts w:ascii="Arial" w:cs="Arial" w:eastAsia="Arial" w:hAnsi="Arial"/>
          <w:sz w:val="18"/>
          <w:szCs w:val="18"/>
          <w:color w:val="32406B"/>
        </w:rPr>
        <w:t xml:space="preserve"> modified stem cells, a conditioning regimen is generally required to remove cells from the bone marrow. These conditioning regimens create sufficient space in the bone marrow for the modified hematopoietic stem cells to engraft and produce their progeny cells. Ablation requires the use of cytotoxic drugs that can compromise the patient’s immune system. The degree of immune system compromise increases with the degree of cell removal, so the need for ablation has historically required a risk/benefit assessment to balance the risks of immune system compromise with potential therapeutic benefit in the targeted disease.</w:t>
      </w:r>
    </w:p>
    <w:p>
      <w:pPr>
        <w:spacing w:after="0" w:line="18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32406B"/>
        </w:rPr>
        <w:t xml:space="preserve">Lentiviral-based gene therapy has been observed to be well-tolerated in third parties’ ongoing clinical trials for diseases such as beta thalassemia, ALD and ADA-SCID. Lentiviral vectors also serve as the tool for gene transfer for CAR-T therapies in cancer. Within gene therapy, the use of </w:t>
      </w:r>
      <w:r>
        <w:rPr>
          <w:rFonts w:ascii="Arial" w:cs="Arial" w:eastAsia="Arial" w:hAnsi="Arial"/>
          <w:sz w:val="16"/>
          <w:szCs w:val="16"/>
          <w:i w:val="1"/>
          <w:iCs w:val="1"/>
          <w:color w:val="32406B"/>
        </w:rPr>
        <w:t>ex vivo</w:t>
      </w:r>
      <w:r>
        <w:rPr>
          <w:rFonts w:ascii="Arial" w:cs="Arial" w:eastAsia="Arial" w:hAnsi="Arial"/>
          <w:sz w:val="16"/>
          <w:szCs w:val="16"/>
          <w:color w:val="32406B"/>
        </w:rPr>
        <w:t xml:space="preserve"> lentiviral-based therapies has been restricted primarily to the most acutely severe diseases where risks of the typical requirement for heavily ablating the patients’ bone marrow and thus significantly impairing these patients’ immune systems had an acceptable risk/benefit profile. The ablation procedure, also known as the conditioning regimen, is administered prior to the gene therapy. The more intensive the conditioning regimen, the greater the risk of toxicity and thus the need for more intensive in-patient monitoring and potential for lengthy hospitalization.</w:t>
      </w:r>
    </w:p>
    <w:p>
      <w:pPr>
        <w:spacing w:after="0" w:line="16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32406B"/>
        </w:rPr>
        <w:t xml:space="preserve">In contrast to other diseases with pathophysiologies where gene therapy requires aggressive conditioning regimens, we believe we can generally achieve sufficient cell engraftment in the lysosomal storage diseases on which we are focused by utilizing a milder conditioning regimen. We believe this approach will lead to less immunosuppression and therefore potentially necessitate only an outpatient conditioning regimen. This outpatient regimen has the potential to improve patient tolerability and extend the reach of </w:t>
      </w:r>
      <w:r>
        <w:rPr>
          <w:rFonts w:ascii="Arial" w:cs="Arial" w:eastAsia="Arial" w:hAnsi="Arial"/>
          <w:sz w:val="16"/>
          <w:szCs w:val="16"/>
          <w:i w:val="1"/>
          <w:iCs w:val="1"/>
          <w:color w:val="32406B"/>
        </w:rPr>
        <w:t>ex vivo</w:t>
      </w:r>
      <w:r>
        <w:rPr>
          <w:rFonts w:ascii="Arial" w:cs="Arial" w:eastAsia="Arial" w:hAnsi="Arial"/>
          <w:sz w:val="16"/>
          <w:szCs w:val="16"/>
          <w:color w:val="32406B"/>
        </w:rPr>
        <w:t xml:space="preserve"> lentiviral-based gene therapy into a number of diseases.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Enhancing Our Gene Therapies and Industrializing Our Manufacturing Capabilities</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32406B"/>
        </w:rPr>
        <w:t>Key to our strategy is to continuously improve our technology and production processes and to leverage these improvements across our gene therapies.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Next Generation Vector Technology</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32406B"/>
        </w:rPr>
        <w:t>We utilize our core expertise in the development and optimization of lentiviral vectors to continuously improve the vectors used in our gene therapies. We have made and expect to continue to make enhancements to our lentiviral vectors to improve efficacy, efficiency and safety. Our goal is to employ vectors that are state of the art and that can be produced in a cost-effective and scalable manner.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90</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32406B"/>
        </w:rPr>
        <w:t xml:space="preserve">As one example from early, small-scale </w:t>
      </w:r>
      <w:r>
        <w:rPr>
          <w:rFonts w:ascii="Arial" w:cs="Arial" w:eastAsia="Arial" w:hAnsi="Arial"/>
          <w:sz w:val="16"/>
          <w:szCs w:val="16"/>
          <w:i w:val="1"/>
          <w:iCs w:val="1"/>
          <w:color w:val="32406B"/>
        </w:rPr>
        <w:t>in vitro</w:t>
      </w:r>
      <w:r>
        <w:rPr>
          <w:rFonts w:ascii="Arial" w:cs="Arial" w:eastAsia="Arial" w:hAnsi="Arial"/>
          <w:sz w:val="16"/>
          <w:szCs w:val="16"/>
          <w:color w:val="32406B"/>
        </w:rPr>
        <w:t xml:space="preserve"> studies, the figures below show the improved efficacy of our optimized proprietary four-plasmid-produced lentiviral vector, or LV2, over the three-plasmid-produced lentiviral vector, or LV1, for Fabry disease and Gaucher disease, as measured by increases in both vector copy number, or VCN, and enzyme activity. VCN refers to the average number of copies of the lentiviral-vector inserted gene that are integrated into the genome of a cell, and multiplicity of infection refers to a measure of the number of infectious viral particles added to an </w:t>
      </w:r>
      <w:r>
        <w:rPr>
          <w:rFonts w:ascii="Arial" w:cs="Arial" w:eastAsia="Arial" w:hAnsi="Arial"/>
          <w:sz w:val="16"/>
          <w:szCs w:val="16"/>
          <w:i w:val="1"/>
          <w:iCs w:val="1"/>
          <w:color w:val="32406B"/>
        </w:rPr>
        <w:t xml:space="preserve">in-vitro </w:t>
      </w:r>
      <w:r>
        <w:rPr>
          <w:rFonts w:ascii="Arial" w:cs="Arial" w:eastAsia="Arial" w:hAnsi="Arial"/>
          <w:sz w:val="16"/>
          <w:szCs w:val="16"/>
          <w:color w:val="32406B"/>
        </w:rPr>
        <w:t>cell culture in relation to the total number of cells in the culture. As shown in the figures below, increasing the number of infectious viral particles</w:t>
      </w:r>
      <w:r>
        <w:rPr>
          <w:rFonts w:ascii="Arial" w:cs="Arial" w:eastAsia="Arial" w:hAnsi="Arial"/>
          <w:sz w:val="16"/>
          <w:szCs w:val="16"/>
          <w:i w:val="1"/>
          <w:iCs w:val="1"/>
          <w:color w:val="32406B"/>
        </w:rPr>
        <w:t xml:space="preserve"> </w:t>
      </w:r>
      <w:r>
        <w:rPr>
          <w:rFonts w:ascii="Arial" w:cs="Arial" w:eastAsia="Arial" w:hAnsi="Arial"/>
          <w:sz w:val="16"/>
          <w:szCs w:val="16"/>
          <w:color w:val="32406B"/>
        </w:rPr>
        <w:t>in a cell culture in order to transduce a constant number of cells results in increases in VCN and enzyme activity levels.</w:t>
      </w: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 xml:space="preserve">Increased Enzyme Activity and VCN </w:t>
      </w:r>
      <w:r>
        <w:rPr>
          <w:rFonts w:ascii="Arial" w:cs="Arial" w:eastAsia="Arial" w:hAnsi="Arial"/>
          <w:sz w:val="18"/>
          <w:szCs w:val="18"/>
          <w:b w:val="1"/>
          <w:bCs w:val="1"/>
          <w:i w:val="1"/>
          <w:iCs w:val="1"/>
          <w:color w:val="32406B"/>
        </w:rPr>
        <w:t>in vitro</w:t>
      </w:r>
      <w:r>
        <w:rPr>
          <w:rFonts w:ascii="Arial" w:cs="Arial" w:eastAsia="Arial" w:hAnsi="Arial"/>
          <w:sz w:val="18"/>
          <w:szCs w:val="18"/>
          <w:b w:val="1"/>
          <w:bCs w:val="1"/>
          <w:color w:val="32406B"/>
        </w:rPr>
        <w:t xml:space="preserve"> with LV2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172085</wp:posOffset>
            </wp:positionV>
            <wp:extent cx="5196840" cy="1792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9684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Development of Industrialized Manufacturing Processes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32406B"/>
        </w:rPr>
        <w:t>We are establishing global manufacturing relationships that will provide us with drug product manufacturing capabilities to support all aspects of the development and eventual commercialization of our gene therapies. We have key manufacturing partnerships in place for the production of plasmids and vectors used in our gene therapies.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Automated, Closed Manufacturing System</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Our team has significant experience in cell processing and commercial-scale cellular therapy manufacturing. We have developed and are implementing a detailed plan for the more cost efficient and scalable manufacturing of our gene therapies. In contrast to a number of other gene therapy companies that have not developed their commercial scale plans from the outset, we are currently executing on our plans to move to a closed suspension bioreactor system for vector production as well as a closed, automated system for manufacturing our gene therapy product. We currently have a CMO partner for the production of our cellular drug product in Australia and we have established two CMO partners in the United States who are currently preparing for production with CGMP-readiness in process for AVR-RD-01 and AVR-RD-02. We also plan to establish a CMO partner in Europe.</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Advantages of Cryopreservation</w:t>
      </w:r>
    </w:p>
    <w:p>
      <w:pPr>
        <w:spacing w:after="0" w:line="117"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32406B"/>
        </w:rPr>
        <w:t>Our drug product is cryopreserved. In production of our gene therapy for the ongoing Phase 1 clinical trial for AVR-RD-01, greater than 75% cell viability was observed after thaw. Cryopreserved drug product allows for multiple benefits for patients and across the supply chain, including extensive safety testing of the drug product prior to patient administration, convenient patient/clinic scheduling and overall flexibility of supply chain logistics.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91</w:t>
      </w:r>
    </w:p>
    <w:p>
      <w:pPr>
        <w:sectPr>
          <w:pgSz w:w="11900" w:h="16838" w:orient="portrait"/>
          <w:cols w:equalWidth="0" w:num="1">
            <w:col w:w="11180"/>
          </w:cols>
          <w:pgMar w:left="24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Advantages of Our Approach over Existing Therapies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We believe our gene therapy solutions offer several potential advantages over existing therapies for lysosomal storage diseases, including:</w:t>
      </w:r>
    </w:p>
    <w:p>
      <w:pPr>
        <w:spacing w:after="0" w:line="142" w:lineRule="exact"/>
        <w:rPr>
          <w:sz w:val="20"/>
          <w:szCs w:val="20"/>
          <w:color w:val="auto"/>
        </w:rPr>
      </w:pPr>
    </w:p>
    <w:p>
      <w:pPr>
        <w:ind w:left="1060" w:hanging="424"/>
        <w:spacing w:after="0" w:line="293" w:lineRule="auto"/>
        <w:tabs>
          <w:tab w:leader="none" w:pos="1060" w:val="left"/>
        </w:tabs>
        <w:numPr>
          <w:ilvl w:val="0"/>
          <w:numId w:val="56"/>
        </w:numPr>
        <w:rPr>
          <w:rFonts w:ascii="Arial" w:cs="Arial" w:eastAsia="Arial" w:hAnsi="Arial"/>
          <w:sz w:val="16"/>
          <w:szCs w:val="16"/>
          <w:color w:val="32406B"/>
        </w:rPr>
      </w:pPr>
      <w:r>
        <w:rPr>
          <w:rFonts w:ascii="Arial" w:cs="Arial" w:eastAsia="Arial" w:hAnsi="Arial"/>
          <w:sz w:val="16"/>
          <w:szCs w:val="16"/>
          <w:i w:val="1"/>
          <w:iCs w:val="1"/>
          <w:color w:val="32406B"/>
        </w:rPr>
        <w:t xml:space="preserve">Curative Impact that can Halt or Reverse Disease Progression. </w:t>
      </w:r>
      <w:r>
        <w:rPr>
          <w:rFonts w:ascii="Arial" w:cs="Arial" w:eastAsia="Arial" w:hAnsi="Arial"/>
          <w:sz w:val="16"/>
          <w:szCs w:val="16"/>
          <w:color w:val="32406B"/>
        </w:rPr>
        <w:t>Existing ERTs for Fabry, Gaucher and Pompe and oral therapies for</w:t>
      </w:r>
      <w:r>
        <w:rPr>
          <w:rFonts w:ascii="Arial" w:cs="Arial" w:eastAsia="Arial" w:hAnsi="Arial"/>
          <w:sz w:val="16"/>
          <w:szCs w:val="16"/>
          <w:i w:val="1"/>
          <w:iCs w:val="1"/>
          <w:color w:val="32406B"/>
        </w:rPr>
        <w:t xml:space="preserve"> </w:t>
      </w:r>
      <w:r>
        <w:rPr>
          <w:rFonts w:ascii="Arial" w:cs="Arial" w:eastAsia="Arial" w:hAnsi="Arial"/>
          <w:sz w:val="16"/>
          <w:szCs w:val="16"/>
          <w:color w:val="32406B"/>
        </w:rPr>
        <w:t>cystinosis provide some therapeutic benefit to patients. However, because of their suboptimal pharmacokinetics, these ERTs only temporarily increase plasma enzyme levels and the therapies for cystinosis require multiple doses throughout the day. In contrast, our lentiviral-based gene therapies are designed to cause the body to constantly produce the functional enzyme or other protein. This can potentially halt pathological damage and, depending on the targeted indication and organ system, may even reverse disease progression. Our lentiviral-based gene therapies may provide potentially curative treatment to patients. This concept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130810</wp:posOffset>
            </wp:positionV>
            <wp:extent cx="4999990" cy="22726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9999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60" w:right="140" w:hanging="424"/>
        <w:spacing w:after="0" w:line="259" w:lineRule="auto"/>
        <w:tabs>
          <w:tab w:leader="none" w:pos="1060" w:val="left"/>
        </w:tabs>
        <w:numPr>
          <w:ilvl w:val="0"/>
          <w:numId w:val="57"/>
        </w:numPr>
        <w:rPr>
          <w:rFonts w:ascii="Arial" w:cs="Arial" w:eastAsia="Arial" w:hAnsi="Arial"/>
          <w:sz w:val="18"/>
          <w:szCs w:val="18"/>
          <w:color w:val="32406B"/>
        </w:rPr>
      </w:pPr>
      <w:r>
        <w:rPr>
          <w:rFonts w:ascii="Arial" w:cs="Arial" w:eastAsia="Arial" w:hAnsi="Arial"/>
          <w:sz w:val="18"/>
          <w:szCs w:val="18"/>
          <w:i w:val="1"/>
          <w:iCs w:val="1"/>
          <w:color w:val="32406B"/>
        </w:rPr>
        <w:t xml:space="preserve">Durable, Single-Dose Treatment. </w:t>
      </w:r>
      <w:r>
        <w:rPr>
          <w:rFonts w:ascii="Arial" w:cs="Arial" w:eastAsia="Arial" w:hAnsi="Arial"/>
          <w:sz w:val="18"/>
          <w:szCs w:val="18"/>
          <w:color w:val="32406B"/>
        </w:rPr>
        <w:t>Our gene therapies offer the potential for a single dose to replace life-long, bi-weekly infusions or daily</w:t>
      </w:r>
      <w:r>
        <w:rPr>
          <w:rFonts w:ascii="Arial" w:cs="Arial" w:eastAsia="Arial" w:hAnsi="Arial"/>
          <w:sz w:val="18"/>
          <w:szCs w:val="18"/>
          <w:i w:val="1"/>
          <w:iCs w:val="1"/>
          <w:color w:val="32406B"/>
        </w:rPr>
        <w:t xml:space="preserve"> </w:t>
      </w:r>
      <w:r>
        <w:rPr>
          <w:rFonts w:ascii="Arial" w:cs="Arial" w:eastAsia="Arial" w:hAnsi="Arial"/>
          <w:sz w:val="18"/>
          <w:szCs w:val="18"/>
          <w:color w:val="32406B"/>
        </w:rPr>
        <w:t>oral therapies that are often accompanied by numerous side effects and impact patients’ quality of life. Our gene therapies are designed to transform the patient’s own cells into a drug product that enables the continuous delivery of functional enzyme or other protein throughout the body after a single dose.</w:t>
      </w:r>
    </w:p>
    <w:p>
      <w:pPr>
        <w:spacing w:after="0" w:line="92" w:lineRule="exact"/>
        <w:rPr>
          <w:rFonts w:ascii="Arial" w:cs="Arial" w:eastAsia="Arial" w:hAnsi="Arial"/>
          <w:sz w:val="18"/>
          <w:szCs w:val="18"/>
          <w:color w:val="32406B"/>
        </w:rPr>
      </w:pPr>
    </w:p>
    <w:p>
      <w:pPr>
        <w:ind w:left="1060" w:right="20" w:hanging="424"/>
        <w:spacing w:after="0" w:line="312" w:lineRule="auto"/>
        <w:tabs>
          <w:tab w:leader="none" w:pos="1060" w:val="left"/>
        </w:tabs>
        <w:numPr>
          <w:ilvl w:val="0"/>
          <w:numId w:val="57"/>
        </w:numPr>
        <w:rPr>
          <w:rFonts w:ascii="Arial" w:cs="Arial" w:eastAsia="Arial" w:hAnsi="Arial"/>
          <w:sz w:val="16"/>
          <w:szCs w:val="16"/>
          <w:color w:val="32406B"/>
        </w:rPr>
      </w:pPr>
      <w:r>
        <w:rPr>
          <w:rFonts w:ascii="Arial" w:cs="Arial" w:eastAsia="Arial" w:hAnsi="Arial"/>
          <w:sz w:val="16"/>
          <w:szCs w:val="16"/>
          <w:i w:val="1"/>
          <w:iCs w:val="1"/>
          <w:color w:val="32406B"/>
        </w:rPr>
        <w:t xml:space="preserve">Reduced Treatment Cost Over a Patient’s Lifetime. </w:t>
      </w:r>
      <w:r>
        <w:rPr>
          <w:rFonts w:ascii="Arial" w:cs="Arial" w:eastAsia="Arial" w:hAnsi="Arial"/>
          <w:sz w:val="16"/>
          <w:szCs w:val="16"/>
          <w:color w:val="32406B"/>
        </w:rPr>
        <w:t>Existing ERTs and oral therapies can cost millions of dollars over a patient’s lifetime</w:t>
      </w:r>
      <w:r>
        <w:rPr>
          <w:rFonts w:ascii="Arial" w:cs="Arial" w:eastAsia="Arial" w:hAnsi="Arial"/>
          <w:sz w:val="16"/>
          <w:szCs w:val="16"/>
          <w:i w:val="1"/>
          <w:iCs w:val="1"/>
          <w:color w:val="32406B"/>
        </w:rPr>
        <w:t xml:space="preserve"> </w:t>
      </w:r>
      <w:r>
        <w:rPr>
          <w:rFonts w:ascii="Arial" w:cs="Arial" w:eastAsia="Arial" w:hAnsi="Arial"/>
          <w:sz w:val="16"/>
          <w:szCs w:val="16"/>
          <w:color w:val="32406B"/>
        </w:rPr>
        <w:t>because these therapies require frequent doses of expensive treatments to manage symptoms. Our single-dose gene therapies are designed to replace the costly chronic intravenous and oral therapies that are the current standard of care for patients with lysosomal storage diseases.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92</w:t>
      </w:r>
    </w:p>
    <w:p>
      <w:pPr>
        <w:sectPr>
          <w:pgSz w:w="11900" w:h="16838" w:orient="portrait"/>
          <w:cols w:equalWidth="0" w:num="1">
            <w:col w:w="11180"/>
          </w:cols>
          <w:pgMar w:left="24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Pipeline</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32406B"/>
        </w:rPr>
        <w:t>Our initial gene therapies are AVR-RD-01 for the treatment of Fabry disease, AVR-RD-02 for the treatment of Gaucher disease, AVR-RD-03 for the treatment of Pompe disease and AVR-RD-04 for the treatment of cystinosis. AVR-RD-01 is currently being evaluated in an investigator-sponsored Phase 1 clinical trial and a company-sponsored Phase 2 clinical trial, which we initiated on June 7, 2018. In addition, Phase 1/2 clinical trials for both AVR-RD-02 and AVR-RD-04 are being planned and we expect patients will be dosed in 2019. The status of our initial lentiviral-based gene therapy programs is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05730" cy="2701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0573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AVR-RD-01, Our Gene Therapy for Fabry Disease</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We are developing AVR-RD-01 for the treatment of Fabry disease. We manufacture AVR-RD-01 from stem cells that are first extracted from the patient, modified to add the gene that encodes for AGA, and then infused into the patient. AVR-RD-01 is currently being investigated in an investigator-sponsored Phase 1 clinical trial, in which it has been well tolerated and demonstrated increased enzyme activity to-date. On June 7, 2018, we dosed the first patient in our company-sponsored Phase 2 clinical trial.</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Disease Overview</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Fabry disease is a rare lysosomal storage disease associated with significant morbidity and early mortality. It is caused by a gene defect that causes a deficiency of AGA, which breaks down a particular type of fat in the body’s cells known as globotriaosylceramide, or Gb3. As Gb3 and other related substrates increase in patients with Fabry disease, Gb3 becomes toxic to the patient’s cells. Gb3 and other glycosphingolipids accumulate and result in damage to the kidneys, heart and brain. Accumulation of Gb3 in tissues such as the heart and the vascular system can lead to life threatening vascular blockages and thus stroke and heart attacks. In addition, high levels of Gb3 substrate accumulation in the kidney can cause kidney failure. Gb3 can also accumulate in other tissues, such as the nervous system where it leads to debilitating pain. Due to end-stage renal disease and other life-threatening complications associated with Fabry disease, the average life expectancy in affected males is approximately 58 years of age.</w:t>
      </w:r>
    </w:p>
    <w:p>
      <w:pPr>
        <w:spacing w:after="0" w:line="16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32406B"/>
        </w:rPr>
        <w:t>Most patients with Fabry disease begin experiencing chronic pain in childhood but are often not diagnosed with Fabry disease until their twenties, due to a broad variation in patient symptoms. Over 1,000 gene mutations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93</w:t>
      </w:r>
    </w:p>
    <w:p>
      <w:pPr>
        <w:sectPr>
          <w:pgSz w:w="11900" w:h="16838" w:orient="portrait"/>
          <w:cols w:equalWidth="0" w:num="1">
            <w:col w:w="11200"/>
          </w:cols>
          <w:pgMar w:left="24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308" w:lineRule="auto"/>
        <w:rPr>
          <w:sz w:val="20"/>
          <w:szCs w:val="20"/>
          <w:color w:val="auto"/>
        </w:rPr>
      </w:pPr>
      <w:r>
        <w:rPr>
          <w:rFonts w:ascii="Arial" w:cs="Arial" w:eastAsia="Arial" w:hAnsi="Arial"/>
          <w:sz w:val="17"/>
          <w:szCs w:val="17"/>
          <w:color w:val="32406B"/>
        </w:rPr>
        <w:t>associated with Fabry disease have been identified. It is estimated that Fabry disease is diagnosed in approximately one in 40,000 males and one in 118,000 females in the United States, but studies have suggested that a larger number of patients may be undiagnosed.</w:t>
      </w:r>
    </w:p>
    <w:p>
      <w:pPr>
        <w:spacing w:after="0" w:line="14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32406B"/>
        </w:rPr>
        <w:t>Fabry disease is an X-linked disorder, with the responsible gene located on the X chromosome. Because males have only one X chromosome, an abnormal copy of the gene that causes Fabry disease is sufficient to cause the disease. However, unlike other X-linked disorders, where female carriers of an abnormal gene are usually unaffected, Fabry disease also often causes significant morbidity in females who inherit one abnormal copy and one normal copy of the gene associated with the disease.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Limitations of Current Therapies</w:t>
      </w:r>
    </w:p>
    <w:p>
      <w:pPr>
        <w:spacing w:after="0" w:line="117"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32406B"/>
        </w:rPr>
        <w:t>Fabry disease is primarily treated with periodic infusions of ERT consisting of AGA enzyme over the patient’s lifetime. The most commonly prescribed ERTs for Fabry disease are Fabrazyme, marketed by Sanofi Genzyme, and Replagal, marketed by Shire. In 2017, Fabrazyme and Replagal generated worldwide net sales of over $880 million and $470 million, respectively. The annual average cost to the healthcare system per patient prescribed Fabrazyme in the United States is approximately $320,000. In addition, because ERTs are not curative and only slow, but do not halt, the progression of disease, patients deteriorate and the healthcare system incurs significant costs associated with recurring medical interventions.</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Although ERT provides therapeutic benefit and can reduce Gb3 substrate levels and extend a patient’s life expectancy, ERT requires chronic infusions throughout the patient’s life. Patients prescribed ERT generally receive an infusion every other week. However, because of their suboptimal pharmacokinetics, ERTs only temporarily increase plasma enzyme levels. As a result, patients with Fabry disease prescribed ERT continue to have disease progression, including ongoing decline in renal function, potentially including renal failure, cardiovascular disease and ongoing debilitating pain including periods of severe pain crisis. Physicians report that patients have recurrence of symptoms as the therapeutic effect of ERT wanes between bi-weekly treatments.</w:t>
      </w:r>
    </w:p>
    <w:p>
      <w:pPr>
        <w:spacing w:after="0" w:line="193"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32406B"/>
        </w:rPr>
        <w:t>Alternatives to ERT for patients with Fabry disease are limited. Galafold (migalastat), an oral therapy marketed by Amicus, was approved by the European Medicines Agency, or EMA, in May 2016, and Amicus has also submitted a new drug application, or NDA, for migalastat to the FDA. Amicus reports that only 35% to 50% of the gene mutations associated with Fabry disease are amenable to migalastat.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Solution</w:t>
      </w:r>
    </w:p>
    <w:p>
      <w:pPr>
        <w:spacing w:after="0" w:line="12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32406B"/>
        </w:rPr>
        <w:t xml:space="preserve">We are developing AVR-RD-01 to halt disease progression and potentially cure patients with Fabry disease with a single dose of the patient’s own hematopoietic stem cells modified in an </w:t>
      </w:r>
      <w:r>
        <w:rPr>
          <w:rFonts w:ascii="Arial" w:cs="Arial" w:eastAsia="Arial" w:hAnsi="Arial"/>
          <w:sz w:val="17"/>
          <w:szCs w:val="17"/>
          <w:i w:val="1"/>
          <w:iCs w:val="1"/>
          <w:color w:val="32406B"/>
        </w:rPr>
        <w:t>ex vivo</w:t>
      </w:r>
      <w:r>
        <w:rPr>
          <w:rFonts w:ascii="Arial" w:cs="Arial" w:eastAsia="Arial" w:hAnsi="Arial"/>
          <w:sz w:val="17"/>
          <w:szCs w:val="17"/>
          <w:color w:val="32406B"/>
        </w:rPr>
        <w:t xml:space="preserve"> procedure. AVR-RD-01 is a lentiviral-based gene therapy that contains a codon-optimized human gene and is designed to maximize the likelihood of sustained AGA production by hematopoietic stem cells and their progeny.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We believe that AVR-RD-01 offers a promising treatment for Fabry disease for the following reasons:</w:t>
      </w:r>
    </w:p>
    <w:p>
      <w:pPr>
        <w:spacing w:after="0" w:line="131" w:lineRule="exact"/>
        <w:rPr>
          <w:sz w:val="20"/>
          <w:szCs w:val="20"/>
          <w:color w:val="auto"/>
        </w:rPr>
      </w:pPr>
    </w:p>
    <w:p>
      <w:pPr>
        <w:ind w:left="1060" w:right="140" w:hanging="424"/>
        <w:spacing w:after="0" w:line="277" w:lineRule="auto"/>
        <w:tabs>
          <w:tab w:leader="none" w:pos="1060" w:val="left"/>
        </w:tabs>
        <w:numPr>
          <w:ilvl w:val="0"/>
          <w:numId w:val="58"/>
        </w:numPr>
        <w:rPr>
          <w:rFonts w:ascii="Arial" w:cs="Arial" w:eastAsia="Arial" w:hAnsi="Arial"/>
          <w:sz w:val="18"/>
          <w:szCs w:val="18"/>
          <w:color w:val="32406B"/>
        </w:rPr>
      </w:pPr>
      <w:r>
        <w:rPr>
          <w:rFonts w:ascii="Arial" w:cs="Arial" w:eastAsia="Arial" w:hAnsi="Arial"/>
          <w:sz w:val="18"/>
          <w:szCs w:val="18"/>
          <w:i w:val="1"/>
          <w:iCs w:val="1"/>
          <w:color w:val="32406B"/>
        </w:rPr>
        <w:t xml:space="preserve">One-Time Delivery. </w:t>
      </w:r>
      <w:r>
        <w:rPr>
          <w:rFonts w:ascii="Arial" w:cs="Arial" w:eastAsia="Arial" w:hAnsi="Arial"/>
          <w:sz w:val="18"/>
          <w:szCs w:val="18"/>
          <w:color w:val="32406B"/>
        </w:rPr>
        <w:t>Lentiviral-based gene therapy provides the potential to transform a patient’s own cells into a drug product that enables</w:t>
      </w:r>
      <w:r>
        <w:rPr>
          <w:rFonts w:ascii="Arial" w:cs="Arial" w:eastAsia="Arial" w:hAnsi="Arial"/>
          <w:sz w:val="18"/>
          <w:szCs w:val="18"/>
          <w:i w:val="1"/>
          <w:iCs w:val="1"/>
          <w:color w:val="32406B"/>
        </w:rPr>
        <w:t xml:space="preserve"> </w:t>
      </w:r>
      <w:r>
        <w:rPr>
          <w:rFonts w:ascii="Arial" w:cs="Arial" w:eastAsia="Arial" w:hAnsi="Arial"/>
          <w:sz w:val="18"/>
          <w:szCs w:val="18"/>
          <w:color w:val="32406B"/>
        </w:rPr>
        <w:t>the continuous delivery of active enzyme throughout the body after a single dose.</w:t>
      </w:r>
    </w:p>
    <w:p>
      <w:pPr>
        <w:spacing w:after="0" w:line="75" w:lineRule="exact"/>
        <w:rPr>
          <w:rFonts w:ascii="Arial" w:cs="Arial" w:eastAsia="Arial" w:hAnsi="Arial"/>
          <w:sz w:val="18"/>
          <w:szCs w:val="18"/>
          <w:color w:val="32406B"/>
        </w:rPr>
      </w:pPr>
    </w:p>
    <w:p>
      <w:pPr>
        <w:ind w:left="1060" w:right="120" w:hanging="424"/>
        <w:spacing w:after="0" w:line="264" w:lineRule="auto"/>
        <w:tabs>
          <w:tab w:leader="none" w:pos="1060" w:val="left"/>
        </w:tabs>
        <w:numPr>
          <w:ilvl w:val="0"/>
          <w:numId w:val="58"/>
        </w:numPr>
        <w:rPr>
          <w:rFonts w:ascii="Arial" w:cs="Arial" w:eastAsia="Arial" w:hAnsi="Arial"/>
          <w:sz w:val="18"/>
          <w:szCs w:val="18"/>
          <w:color w:val="32406B"/>
        </w:rPr>
      </w:pPr>
      <w:r>
        <w:rPr>
          <w:rFonts w:ascii="Arial" w:cs="Arial" w:eastAsia="Arial" w:hAnsi="Arial"/>
          <w:sz w:val="18"/>
          <w:szCs w:val="18"/>
          <w:i w:val="1"/>
          <w:iCs w:val="1"/>
          <w:color w:val="32406B"/>
        </w:rPr>
        <w:t xml:space="preserve">Proven Biology. </w:t>
      </w:r>
      <w:r>
        <w:rPr>
          <w:rFonts w:ascii="Arial" w:cs="Arial" w:eastAsia="Arial" w:hAnsi="Arial"/>
          <w:sz w:val="18"/>
          <w:szCs w:val="18"/>
          <w:color w:val="32406B"/>
        </w:rPr>
        <w:t>Years of observations of patients prescribed ERT indicate that even partial plasma AGA activity is associated with</w:t>
      </w:r>
      <w:r>
        <w:rPr>
          <w:rFonts w:ascii="Arial" w:cs="Arial" w:eastAsia="Arial" w:hAnsi="Arial"/>
          <w:sz w:val="18"/>
          <w:szCs w:val="18"/>
          <w:i w:val="1"/>
          <w:iCs w:val="1"/>
          <w:color w:val="32406B"/>
        </w:rPr>
        <w:t xml:space="preserve"> </w:t>
      </w:r>
      <w:r>
        <w:rPr>
          <w:rFonts w:ascii="Arial" w:cs="Arial" w:eastAsia="Arial" w:hAnsi="Arial"/>
          <w:sz w:val="18"/>
          <w:szCs w:val="18"/>
          <w:color w:val="32406B"/>
        </w:rPr>
        <w:t>improved outcomes. Increased AGA enzyme is able to reduce Gb3 levels in multiple cells and tissues supporting the ability of AGA in the plasma to enter lysosomes and degrade Gb3 in a process referred to as cross correction.</w:t>
      </w:r>
    </w:p>
    <w:p>
      <w:pPr>
        <w:spacing w:after="0" w:line="86" w:lineRule="exact"/>
        <w:rPr>
          <w:rFonts w:ascii="Arial" w:cs="Arial" w:eastAsia="Arial" w:hAnsi="Arial"/>
          <w:sz w:val="18"/>
          <w:szCs w:val="18"/>
          <w:color w:val="32406B"/>
        </w:rPr>
      </w:pPr>
    </w:p>
    <w:p>
      <w:pPr>
        <w:ind w:left="1060" w:right="260" w:hanging="424"/>
        <w:spacing w:after="0" w:line="277" w:lineRule="auto"/>
        <w:tabs>
          <w:tab w:leader="none" w:pos="1060" w:val="left"/>
        </w:tabs>
        <w:numPr>
          <w:ilvl w:val="0"/>
          <w:numId w:val="58"/>
        </w:numPr>
        <w:rPr>
          <w:rFonts w:ascii="Arial" w:cs="Arial" w:eastAsia="Arial" w:hAnsi="Arial"/>
          <w:sz w:val="18"/>
          <w:szCs w:val="18"/>
          <w:color w:val="32406B"/>
        </w:rPr>
      </w:pPr>
      <w:r>
        <w:rPr>
          <w:rFonts w:ascii="Arial" w:cs="Arial" w:eastAsia="Arial" w:hAnsi="Arial"/>
          <w:sz w:val="18"/>
          <w:szCs w:val="18"/>
          <w:i w:val="1"/>
          <w:iCs w:val="1"/>
          <w:color w:val="32406B"/>
        </w:rPr>
        <w:t xml:space="preserve">Wide Therapeutic Window. </w:t>
      </w:r>
      <w:r>
        <w:rPr>
          <w:rFonts w:ascii="Arial" w:cs="Arial" w:eastAsia="Arial" w:hAnsi="Arial"/>
          <w:sz w:val="18"/>
          <w:szCs w:val="18"/>
          <w:color w:val="32406B"/>
        </w:rPr>
        <w:t>We believe that even partial enzyme activity, if continuous, has the potential to provide long-term therapeutic</w:t>
      </w:r>
      <w:r>
        <w:rPr>
          <w:rFonts w:ascii="Arial" w:cs="Arial" w:eastAsia="Arial" w:hAnsi="Arial"/>
          <w:sz w:val="18"/>
          <w:szCs w:val="18"/>
          <w:i w:val="1"/>
          <w:iCs w:val="1"/>
          <w:color w:val="32406B"/>
        </w:rPr>
        <w:t xml:space="preserve"> </w:t>
      </w:r>
      <w:r>
        <w:rPr>
          <w:rFonts w:ascii="Arial" w:cs="Arial" w:eastAsia="Arial" w:hAnsi="Arial"/>
          <w:sz w:val="18"/>
          <w:szCs w:val="18"/>
          <w:color w:val="32406B"/>
        </w:rPr>
        <w:t>benefit. A wide range of levels of plasma AGA activity has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94</w:t>
      </w:r>
    </w:p>
    <w:p>
      <w:pPr>
        <w:sectPr>
          <w:pgSz w:w="11900" w:h="16838" w:orient="portrait"/>
          <w:cols w:equalWidth="0" w:num="1">
            <w:col w:w="11180"/>
          </w:cols>
          <w:pgMar w:left="24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60"/>
        <w:spacing w:after="0" w:line="277" w:lineRule="auto"/>
        <w:rPr>
          <w:sz w:val="20"/>
          <w:szCs w:val="20"/>
          <w:color w:val="auto"/>
        </w:rPr>
      </w:pPr>
      <w:r>
        <w:rPr>
          <w:rFonts w:ascii="Arial" w:cs="Arial" w:eastAsia="Arial" w:hAnsi="Arial"/>
          <w:sz w:val="18"/>
          <w:szCs w:val="18"/>
          <w:color w:val="32406B"/>
        </w:rPr>
        <w:t>been demonstrated to be both safe and effective in preclinical studies, reducing the need for precise regulation of enzyme expression levels and reinforcing that overexpression of AGA is not associated with increased safety risks.</w:t>
      </w:r>
    </w:p>
    <w:p>
      <w:pPr>
        <w:spacing w:after="0" w:line="76" w:lineRule="exact"/>
        <w:rPr>
          <w:sz w:val="20"/>
          <w:szCs w:val="20"/>
          <w:color w:val="auto"/>
        </w:rPr>
      </w:pPr>
    </w:p>
    <w:p>
      <w:pPr>
        <w:ind w:left="1060" w:right="380" w:hanging="424"/>
        <w:spacing w:after="0" w:line="277" w:lineRule="auto"/>
        <w:tabs>
          <w:tab w:leader="none" w:pos="1060" w:val="left"/>
        </w:tabs>
        <w:numPr>
          <w:ilvl w:val="0"/>
          <w:numId w:val="59"/>
        </w:numPr>
        <w:rPr>
          <w:rFonts w:ascii="Arial" w:cs="Arial" w:eastAsia="Arial" w:hAnsi="Arial"/>
          <w:sz w:val="18"/>
          <w:szCs w:val="18"/>
          <w:color w:val="32406B"/>
        </w:rPr>
      </w:pPr>
      <w:r>
        <w:rPr>
          <w:rFonts w:ascii="Arial" w:cs="Arial" w:eastAsia="Arial" w:hAnsi="Arial"/>
          <w:sz w:val="18"/>
          <w:szCs w:val="18"/>
          <w:i w:val="1"/>
          <w:iCs w:val="1"/>
          <w:color w:val="32406B"/>
        </w:rPr>
        <w:t xml:space="preserve">Mutation Independent. </w:t>
      </w:r>
      <w:r>
        <w:rPr>
          <w:rFonts w:ascii="Arial" w:cs="Arial" w:eastAsia="Arial" w:hAnsi="Arial"/>
          <w:sz w:val="18"/>
          <w:szCs w:val="18"/>
          <w:color w:val="32406B"/>
        </w:rPr>
        <w:t>AVR-RD-01 is designed to increase plasma AGA levels in a patient’s cells, regardless of which of the more than</w:t>
      </w:r>
      <w:r>
        <w:rPr>
          <w:rFonts w:ascii="Arial" w:cs="Arial" w:eastAsia="Arial" w:hAnsi="Arial"/>
          <w:sz w:val="18"/>
          <w:szCs w:val="18"/>
          <w:i w:val="1"/>
          <w:iCs w:val="1"/>
          <w:color w:val="32406B"/>
        </w:rPr>
        <w:t xml:space="preserve"> </w:t>
      </w:r>
      <w:r>
        <w:rPr>
          <w:rFonts w:ascii="Arial" w:cs="Arial" w:eastAsia="Arial" w:hAnsi="Arial"/>
          <w:sz w:val="18"/>
          <w:szCs w:val="18"/>
          <w:color w:val="32406B"/>
        </w:rPr>
        <w:t>1,000 specific mutations underlie the patient’s disease.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Ongoing Multicenter Clinical Trial</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32406B"/>
        </w:rPr>
        <w:t>In an ongoing Phase 1 clinical trial of AVR-RD-01 being conducted by the University Health Network, or UHN, at three centers in Canada, up to six patients with Fabry disease who have been treated with ERT for at least six months are expected to be enrolled. In this clinical trial, ERT for these patients is suspended one month prior to receiving AVR-RD-01 and ERT is then resumed one month after the AVR-RD-01 treatment and continued at bi-weekly intervals.</w:t>
      </w:r>
    </w:p>
    <w:p>
      <w:pPr>
        <w:spacing w:after="0" w:line="18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32406B"/>
        </w:rPr>
        <w:t>The primary goal for this clinical trial is to assess the safety and toxicity of AVR-RD-01 as measured by the frequency of clinically notable abnormal vital signs and laboratory values and the frequency of treatment-related adverse events. The safety of our out-patient conditioning regimen is also being assessed in this clinical trial.</w:t>
      </w:r>
    </w:p>
    <w:p>
      <w:pPr>
        <w:spacing w:after="0" w:line="181"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32406B"/>
        </w:rPr>
        <w:t>A secondary objective for this clinical trial is to obtain preliminary efficacy signals of AVR-RD-01 therapy as assessed by AGA enzyme activity. Plasma AGA enzyme activity derived from administration of ERT decreases rapidly after administration with no residual plasma activity remaining approximately one day after treatment. To evaluate the ability of AVR-RD-01 to increase enzyme activity, we assess the level of AGA activity in a patient immediately prior to the administration of the patient’s next dose of ERT, when limited or no plasma AGA activity would be expected.</w:t>
      </w:r>
    </w:p>
    <w:p>
      <w:pPr>
        <w:spacing w:after="0" w:line="154"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32406B"/>
        </w:rPr>
        <w:t>The first two patients in this clinical trial have been dosed and the treatment was well tolerated. In these patients, both of whom are male, the level of plasma AGA enzyme activity began to rise within days of receiving AVR-RD-01, from nearly undetectable levels before treatment to levels above the range for males with classic Fabry disease, defined as less than 1 nmol/hr/ml.</w:t>
      </w:r>
    </w:p>
    <w:p>
      <w:pPr>
        <w:spacing w:after="0" w:line="181"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32406B"/>
        </w:rPr>
        <w:t>As of twelve months after receiving AVR-RD-01, the first patient’s plasma AGA enzyme activity levels continued to be above the range for males with classic Fabry disease. AGA enzyme activity levels in the second patient remained above the range for males with classic Fabry disease as of three months after treatment. We believe these preliminary results support the potential of AVR-RD-01 to drive active enzyme production for long durations.</w:t>
      </w: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Plasma AGA Activity (nmol/hr/ml) Following Treatment with AVR-RD-01</w:t>
      </w:r>
    </w:p>
    <w:p>
      <w:pPr>
        <w:spacing w:after="0" w:line="251" w:lineRule="exact"/>
        <w:rPr>
          <w:sz w:val="20"/>
          <w:szCs w:val="20"/>
          <w:color w:val="auto"/>
        </w:rPr>
      </w:pPr>
    </w:p>
    <w:tbl>
      <w:tblPr>
        <w:tblLayout w:type="fixed"/>
        <w:tblInd w:w="230" w:type="dxa"/>
        <w:tblCellMar>
          <w:top w:w="0" w:type="dxa"/>
          <w:left w:w="0" w:type="dxa"/>
          <w:bottom w:w="0" w:type="dxa"/>
          <w:right w:w="0" w:type="dxa"/>
        </w:tblCellMar>
      </w:tblPr>
      <w:tr>
        <w:trPr>
          <w:trHeight w:val="139"/>
        </w:trPr>
        <w:tc>
          <w:tcPr>
            <w:tcW w:w="2520" w:type="dxa"/>
            <w:vAlign w:val="bottom"/>
            <w:tcBorders>
              <w:top w:val="single" w:sz="8" w:color="32406B"/>
              <w:left w:val="single" w:sz="8" w:color="32406B"/>
              <w:right w:val="single" w:sz="8" w:color="32406B"/>
            </w:tcBorders>
          </w:tcPr>
          <w:p>
            <w:pPr>
              <w:spacing w:after="0"/>
              <w:rPr>
                <w:sz w:val="12"/>
                <w:szCs w:val="12"/>
                <w:color w:val="auto"/>
              </w:rPr>
            </w:pPr>
          </w:p>
        </w:tc>
        <w:tc>
          <w:tcPr>
            <w:tcW w:w="3460" w:type="dxa"/>
            <w:vAlign w:val="bottom"/>
            <w:tcBorders>
              <w:top w:val="single" w:sz="8" w:color="32406B"/>
              <w:right w:val="single" w:sz="8" w:color="32406B"/>
            </w:tcBorders>
          </w:tcPr>
          <w:p>
            <w:pPr>
              <w:jc w:val="center"/>
              <w:ind w:left="1617"/>
              <w:spacing w:after="0" w:line="139" w:lineRule="exact"/>
              <w:rPr>
                <w:sz w:val="20"/>
                <w:szCs w:val="20"/>
                <w:color w:val="auto"/>
              </w:rPr>
            </w:pPr>
            <w:r>
              <w:rPr>
                <w:rFonts w:ascii="Arial" w:cs="Arial" w:eastAsia="Arial" w:hAnsi="Arial"/>
                <w:sz w:val="14"/>
                <w:szCs w:val="14"/>
                <w:b w:val="1"/>
                <w:bCs w:val="1"/>
                <w:color w:val="32406B"/>
                <w:w w:val="96"/>
              </w:rPr>
              <w:t>Day 0</w:t>
            </w:r>
          </w:p>
        </w:tc>
        <w:tc>
          <w:tcPr>
            <w:tcW w:w="2480" w:type="dxa"/>
            <w:vAlign w:val="bottom"/>
            <w:tcBorders>
              <w:top w:val="single" w:sz="8" w:color="32406B"/>
              <w:right w:val="single" w:sz="8" w:color="32406B"/>
            </w:tcBorders>
          </w:tcPr>
          <w:p>
            <w:pPr>
              <w:jc w:val="right"/>
              <w:ind w:right="96"/>
              <w:spacing w:after="0" w:line="139" w:lineRule="exact"/>
              <w:rPr>
                <w:sz w:val="20"/>
                <w:szCs w:val="20"/>
                <w:color w:val="auto"/>
              </w:rPr>
            </w:pPr>
            <w:r>
              <w:rPr>
                <w:rFonts w:ascii="Arial" w:cs="Arial" w:eastAsia="Arial" w:hAnsi="Arial"/>
                <w:sz w:val="14"/>
                <w:szCs w:val="14"/>
                <w:b w:val="1"/>
                <w:bCs w:val="1"/>
                <w:color w:val="32406B"/>
              </w:rPr>
              <w:t>3 Months</w:t>
            </w:r>
          </w:p>
        </w:tc>
        <w:tc>
          <w:tcPr>
            <w:tcW w:w="2580" w:type="dxa"/>
            <w:vAlign w:val="bottom"/>
            <w:tcBorders>
              <w:top w:val="single" w:sz="8" w:color="32406B"/>
              <w:right w:val="single" w:sz="8" w:color="32406B"/>
            </w:tcBorders>
          </w:tcPr>
          <w:p>
            <w:pPr>
              <w:ind w:left="1700"/>
              <w:spacing w:after="0" w:line="139" w:lineRule="exact"/>
              <w:rPr>
                <w:sz w:val="20"/>
                <w:szCs w:val="20"/>
                <w:color w:val="auto"/>
              </w:rPr>
            </w:pPr>
            <w:r>
              <w:rPr>
                <w:rFonts w:ascii="Arial" w:cs="Arial" w:eastAsia="Arial" w:hAnsi="Arial"/>
                <w:sz w:val="14"/>
                <w:szCs w:val="14"/>
                <w:b w:val="1"/>
                <w:bCs w:val="1"/>
                <w:color w:val="32406B"/>
              </w:rPr>
              <w:t>12 Months</w:t>
            </w:r>
          </w:p>
        </w:tc>
      </w:tr>
      <w:tr>
        <w:trPr>
          <w:trHeight w:val="185"/>
        </w:trPr>
        <w:tc>
          <w:tcPr>
            <w:tcW w:w="2520" w:type="dxa"/>
            <w:vAlign w:val="bottom"/>
            <w:tcBorders>
              <w:left w:val="single" w:sz="8" w:color="32406B"/>
              <w:bottom w:val="single" w:sz="8" w:color="32406B"/>
              <w:right w:val="single" w:sz="8" w:color="32406B"/>
            </w:tcBorders>
          </w:tcPr>
          <w:p>
            <w:pPr>
              <w:spacing w:after="0"/>
              <w:rPr>
                <w:sz w:val="16"/>
                <w:szCs w:val="16"/>
                <w:color w:val="auto"/>
              </w:rPr>
            </w:pPr>
          </w:p>
        </w:tc>
        <w:tc>
          <w:tcPr>
            <w:tcW w:w="3460" w:type="dxa"/>
            <w:vAlign w:val="bottom"/>
            <w:tcBorders>
              <w:bottom w:val="single" w:sz="8" w:color="32406B"/>
              <w:right w:val="single" w:sz="8" w:color="32406B"/>
            </w:tcBorders>
          </w:tcPr>
          <w:p>
            <w:pPr>
              <w:jc w:val="right"/>
              <w:ind w:right="117"/>
              <w:spacing w:after="0"/>
              <w:rPr>
                <w:sz w:val="20"/>
                <w:szCs w:val="20"/>
                <w:color w:val="auto"/>
              </w:rPr>
            </w:pPr>
            <w:r>
              <w:rPr>
                <w:rFonts w:ascii="Arial" w:cs="Arial" w:eastAsia="Arial" w:hAnsi="Arial"/>
                <w:sz w:val="14"/>
                <w:szCs w:val="14"/>
                <w:b w:val="1"/>
                <w:bCs w:val="1"/>
                <w:color w:val="32406B"/>
              </w:rPr>
              <w:t>(Infusion of AVR-RD-01)</w:t>
            </w:r>
          </w:p>
        </w:tc>
        <w:tc>
          <w:tcPr>
            <w:tcW w:w="2480" w:type="dxa"/>
            <w:vAlign w:val="bottom"/>
            <w:tcBorders>
              <w:bottom w:val="single" w:sz="8" w:color="32406B"/>
              <w:right w:val="single" w:sz="8" w:color="32406B"/>
            </w:tcBorders>
          </w:tcPr>
          <w:p>
            <w:pPr>
              <w:spacing w:after="0"/>
              <w:rPr>
                <w:sz w:val="16"/>
                <w:szCs w:val="16"/>
                <w:color w:val="auto"/>
              </w:rPr>
            </w:pPr>
          </w:p>
        </w:tc>
        <w:tc>
          <w:tcPr>
            <w:tcW w:w="2580" w:type="dxa"/>
            <w:vAlign w:val="bottom"/>
            <w:tcBorders>
              <w:bottom w:val="single" w:sz="8" w:color="32406B"/>
              <w:right w:val="single" w:sz="8" w:color="32406B"/>
            </w:tcBorders>
          </w:tcPr>
          <w:p>
            <w:pPr>
              <w:spacing w:after="0"/>
              <w:rPr>
                <w:sz w:val="16"/>
                <w:szCs w:val="16"/>
                <w:color w:val="auto"/>
              </w:rPr>
            </w:pPr>
          </w:p>
        </w:tc>
      </w:tr>
      <w:tr>
        <w:trPr>
          <w:trHeight w:val="210"/>
        </w:trPr>
        <w:tc>
          <w:tcPr>
            <w:tcW w:w="2520" w:type="dxa"/>
            <w:vAlign w:val="bottom"/>
            <w:tcBorders>
              <w:left w:val="single" w:sz="8" w:color="32406B"/>
              <w:bottom w:val="single" w:sz="8" w:color="32406B"/>
              <w:right w:val="single" w:sz="8" w:color="32406B"/>
            </w:tcBorders>
            <w:shd w:val="clear" w:color="auto" w:fill="CCEEFF"/>
          </w:tcPr>
          <w:p>
            <w:pPr>
              <w:ind w:left="140"/>
              <w:spacing w:after="0"/>
              <w:rPr>
                <w:sz w:val="20"/>
                <w:szCs w:val="20"/>
                <w:color w:val="auto"/>
              </w:rPr>
            </w:pPr>
            <w:r>
              <w:rPr>
                <w:rFonts w:ascii="Arial" w:cs="Arial" w:eastAsia="Arial" w:hAnsi="Arial"/>
                <w:sz w:val="18"/>
                <w:szCs w:val="18"/>
                <w:b w:val="1"/>
                <w:bCs w:val="1"/>
                <w:color w:val="32406B"/>
              </w:rPr>
              <w:t>Patient 1</w:t>
            </w:r>
          </w:p>
        </w:tc>
        <w:tc>
          <w:tcPr>
            <w:tcW w:w="3460" w:type="dxa"/>
            <w:vAlign w:val="bottom"/>
            <w:tcBorders>
              <w:bottom w:val="single" w:sz="8" w:color="32406B"/>
              <w:right w:val="single" w:sz="8" w:color="32406B"/>
            </w:tcBorders>
            <w:shd w:val="clear" w:color="auto" w:fill="CCEEFF"/>
          </w:tcPr>
          <w:p>
            <w:pPr>
              <w:jc w:val="center"/>
              <w:ind w:left="1597"/>
              <w:spacing w:after="0"/>
              <w:rPr>
                <w:sz w:val="20"/>
                <w:szCs w:val="20"/>
                <w:color w:val="auto"/>
              </w:rPr>
            </w:pPr>
            <w:r>
              <w:rPr>
                <w:rFonts w:ascii="Arial" w:cs="Arial" w:eastAsia="Arial" w:hAnsi="Arial"/>
                <w:sz w:val="18"/>
                <w:szCs w:val="18"/>
                <w:color w:val="32406B"/>
                <w:w w:val="87"/>
              </w:rPr>
              <w:t>0.1</w:t>
            </w:r>
          </w:p>
        </w:tc>
        <w:tc>
          <w:tcPr>
            <w:tcW w:w="2480" w:type="dxa"/>
            <w:vAlign w:val="bottom"/>
            <w:tcBorders>
              <w:bottom w:val="single" w:sz="8" w:color="32406B"/>
              <w:right w:val="single" w:sz="8" w:color="32406B"/>
            </w:tcBorders>
            <w:shd w:val="clear" w:color="auto" w:fill="CCEEFF"/>
          </w:tcPr>
          <w:p>
            <w:pPr>
              <w:jc w:val="right"/>
              <w:ind w:right="256"/>
              <w:spacing w:after="0"/>
              <w:rPr>
                <w:sz w:val="20"/>
                <w:szCs w:val="20"/>
                <w:color w:val="auto"/>
              </w:rPr>
            </w:pPr>
            <w:r>
              <w:rPr>
                <w:rFonts w:ascii="Arial" w:cs="Arial" w:eastAsia="Arial" w:hAnsi="Arial"/>
                <w:sz w:val="18"/>
                <w:szCs w:val="18"/>
                <w:color w:val="32406B"/>
              </w:rPr>
              <w:t>5.8</w:t>
            </w:r>
          </w:p>
        </w:tc>
        <w:tc>
          <w:tcPr>
            <w:tcW w:w="2580" w:type="dxa"/>
            <w:vAlign w:val="bottom"/>
            <w:tcBorders>
              <w:bottom w:val="single" w:sz="8" w:color="32406B"/>
              <w:right w:val="single" w:sz="8" w:color="32406B"/>
            </w:tcBorders>
            <w:shd w:val="clear" w:color="auto" w:fill="CCEEFF"/>
          </w:tcPr>
          <w:p>
            <w:pPr>
              <w:jc w:val="right"/>
              <w:ind w:right="296"/>
              <w:spacing w:after="0"/>
              <w:rPr>
                <w:sz w:val="20"/>
                <w:szCs w:val="20"/>
                <w:color w:val="auto"/>
              </w:rPr>
            </w:pPr>
            <w:r>
              <w:rPr>
                <w:rFonts w:ascii="Arial" w:cs="Arial" w:eastAsia="Arial" w:hAnsi="Arial"/>
                <w:sz w:val="18"/>
                <w:szCs w:val="18"/>
                <w:color w:val="32406B"/>
              </w:rPr>
              <w:t>5.8</w:t>
            </w:r>
          </w:p>
        </w:tc>
      </w:tr>
      <w:tr>
        <w:trPr>
          <w:trHeight w:val="210"/>
        </w:trPr>
        <w:tc>
          <w:tcPr>
            <w:tcW w:w="2520" w:type="dxa"/>
            <w:vAlign w:val="bottom"/>
            <w:tcBorders>
              <w:left w:val="single" w:sz="8" w:color="32406B"/>
              <w:bottom w:val="single" w:sz="8" w:color="32406B"/>
              <w:right w:val="single" w:sz="8" w:color="32406B"/>
            </w:tcBorders>
          </w:tcPr>
          <w:p>
            <w:pPr>
              <w:ind w:left="140"/>
              <w:spacing w:after="0"/>
              <w:rPr>
                <w:sz w:val="20"/>
                <w:szCs w:val="20"/>
                <w:color w:val="auto"/>
              </w:rPr>
            </w:pPr>
            <w:r>
              <w:rPr>
                <w:rFonts w:ascii="Arial" w:cs="Arial" w:eastAsia="Arial" w:hAnsi="Arial"/>
                <w:sz w:val="18"/>
                <w:szCs w:val="18"/>
                <w:b w:val="1"/>
                <w:bCs w:val="1"/>
                <w:color w:val="32406B"/>
              </w:rPr>
              <w:t>Patient 2</w:t>
            </w:r>
          </w:p>
        </w:tc>
        <w:tc>
          <w:tcPr>
            <w:tcW w:w="3460" w:type="dxa"/>
            <w:vAlign w:val="bottom"/>
            <w:tcBorders>
              <w:bottom w:val="single" w:sz="8" w:color="32406B"/>
              <w:right w:val="single" w:sz="8" w:color="32406B"/>
            </w:tcBorders>
          </w:tcPr>
          <w:p>
            <w:pPr>
              <w:jc w:val="center"/>
              <w:ind w:left="1597"/>
              <w:spacing w:after="0"/>
              <w:rPr>
                <w:sz w:val="20"/>
                <w:szCs w:val="20"/>
                <w:color w:val="auto"/>
              </w:rPr>
            </w:pPr>
            <w:r>
              <w:rPr>
                <w:rFonts w:ascii="Arial" w:cs="Arial" w:eastAsia="Arial" w:hAnsi="Arial"/>
                <w:sz w:val="18"/>
                <w:szCs w:val="18"/>
                <w:color w:val="32406B"/>
                <w:w w:val="87"/>
              </w:rPr>
              <w:t>0.2</w:t>
            </w:r>
          </w:p>
        </w:tc>
        <w:tc>
          <w:tcPr>
            <w:tcW w:w="2480" w:type="dxa"/>
            <w:vAlign w:val="bottom"/>
            <w:tcBorders>
              <w:bottom w:val="single" w:sz="8" w:color="32406B"/>
              <w:right w:val="single" w:sz="8" w:color="32406B"/>
            </w:tcBorders>
          </w:tcPr>
          <w:p>
            <w:pPr>
              <w:jc w:val="right"/>
              <w:ind w:right="256"/>
              <w:spacing w:after="0"/>
              <w:rPr>
                <w:sz w:val="20"/>
                <w:szCs w:val="20"/>
                <w:color w:val="auto"/>
              </w:rPr>
            </w:pPr>
            <w:r>
              <w:rPr>
                <w:rFonts w:ascii="Arial" w:cs="Arial" w:eastAsia="Arial" w:hAnsi="Arial"/>
                <w:sz w:val="18"/>
                <w:szCs w:val="18"/>
                <w:color w:val="32406B"/>
              </w:rPr>
              <w:t>7.6</w:t>
            </w:r>
          </w:p>
        </w:tc>
        <w:tc>
          <w:tcPr>
            <w:tcW w:w="2580" w:type="dxa"/>
            <w:vAlign w:val="bottom"/>
            <w:tcBorders>
              <w:bottom w:val="single" w:sz="8" w:color="32406B"/>
              <w:right w:val="single" w:sz="8" w:color="32406B"/>
            </w:tcBorders>
          </w:tcPr>
          <w:p>
            <w:pPr>
              <w:jc w:val="center"/>
              <w:ind w:left="1516"/>
              <w:spacing w:after="0"/>
              <w:rPr>
                <w:sz w:val="20"/>
                <w:szCs w:val="20"/>
                <w:color w:val="auto"/>
              </w:rPr>
            </w:pPr>
            <w:r>
              <w:rPr>
                <w:rFonts w:ascii="Arial" w:cs="Arial" w:eastAsia="Arial" w:hAnsi="Arial"/>
                <w:sz w:val="18"/>
                <w:szCs w:val="18"/>
                <w:color w:val="32406B"/>
                <w:w w:val="99"/>
              </w:rPr>
              <w:t>N/A</w:t>
            </w:r>
          </w:p>
        </w:tc>
      </w:tr>
      <w:tr>
        <w:trPr>
          <w:trHeight w:val="358"/>
        </w:trPr>
        <w:tc>
          <w:tcPr>
            <w:tcW w:w="2520" w:type="dxa"/>
            <w:vAlign w:val="bottom"/>
          </w:tcPr>
          <w:p>
            <w:pPr>
              <w:spacing w:after="0"/>
              <w:rPr>
                <w:sz w:val="24"/>
                <w:szCs w:val="24"/>
                <w:color w:val="auto"/>
              </w:rPr>
            </w:pPr>
          </w:p>
        </w:tc>
        <w:tc>
          <w:tcPr>
            <w:tcW w:w="3460" w:type="dxa"/>
            <w:vAlign w:val="bottom"/>
          </w:tcPr>
          <w:p>
            <w:pPr>
              <w:jc w:val="right"/>
              <w:ind w:right="317"/>
              <w:spacing w:after="0"/>
              <w:rPr>
                <w:sz w:val="20"/>
                <w:szCs w:val="20"/>
                <w:color w:val="auto"/>
              </w:rPr>
            </w:pPr>
            <w:r>
              <w:rPr>
                <w:rFonts w:ascii="Arial" w:cs="Arial" w:eastAsia="Arial" w:hAnsi="Arial"/>
                <w:sz w:val="18"/>
                <w:szCs w:val="18"/>
                <w:color w:val="32406B"/>
              </w:rPr>
              <w:t>95</w:t>
            </w:r>
          </w:p>
        </w:tc>
        <w:tc>
          <w:tcPr>
            <w:tcW w:w="248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The below graph illustrates the levels of plasma AGA activity following AVR-RD-01 treatment in the two patients over various points in time.</w:t>
      </w:r>
    </w:p>
    <w:p>
      <w:pPr>
        <w:spacing w:after="0" w:line="200" w:lineRule="exact"/>
        <w:rPr>
          <w:sz w:val="20"/>
          <w:szCs w:val="20"/>
          <w:color w:val="auto"/>
        </w:rPr>
      </w:pPr>
    </w:p>
    <w:p>
      <w:pPr>
        <w:spacing w:after="0" w:line="24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Expression of Functional Plasma 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171450</wp:posOffset>
            </wp:positionV>
            <wp:extent cx="5076825" cy="1783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07682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32406B"/>
        </w:rPr>
        <w:t>VCN refers to the average number of copies of the lentiviral-vector inserted gene that are integrated into the genome of a cell. It is typically expressed as an average VCN for a cell population.</w:t>
      </w:r>
    </w:p>
    <w:p>
      <w:pPr>
        <w:spacing w:after="0" w:line="170"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32406B"/>
        </w:rPr>
        <w:t xml:space="preserve">We believe the trends in average VCN observed for both AVR-RD-01 and </w:t>
      </w:r>
      <w:r>
        <w:rPr>
          <w:rFonts w:ascii="Arial" w:cs="Arial" w:eastAsia="Arial" w:hAnsi="Arial"/>
          <w:sz w:val="18"/>
          <w:szCs w:val="18"/>
          <w:i w:val="1"/>
          <w:iCs w:val="1"/>
          <w:color w:val="32406B"/>
        </w:rPr>
        <w:t>in vivo</w:t>
      </w:r>
      <w:r>
        <w:rPr>
          <w:rFonts w:ascii="Arial" w:cs="Arial" w:eastAsia="Arial" w:hAnsi="Arial"/>
          <w:sz w:val="18"/>
          <w:szCs w:val="18"/>
          <w:color w:val="32406B"/>
        </w:rPr>
        <w:t xml:space="preserve"> nucleated blood cells in the ongoing Phase 1 clinical trial are consistent with the trends observed in a 2017 published study on hematopoietic stem cell gene therapy for ALD in the </w:t>
      </w:r>
      <w:r>
        <w:rPr>
          <w:rFonts w:ascii="Arial" w:cs="Arial" w:eastAsia="Arial" w:hAnsi="Arial"/>
          <w:sz w:val="18"/>
          <w:szCs w:val="18"/>
          <w:i w:val="1"/>
          <w:iCs w:val="1"/>
          <w:color w:val="32406B"/>
        </w:rPr>
        <w:t>New England Journal of</w:t>
      </w:r>
      <w:r>
        <w:rPr>
          <w:rFonts w:ascii="Arial" w:cs="Arial" w:eastAsia="Arial" w:hAnsi="Arial"/>
          <w:sz w:val="18"/>
          <w:szCs w:val="18"/>
          <w:color w:val="32406B"/>
        </w:rPr>
        <w:t xml:space="preserve"> </w:t>
      </w:r>
      <w:r>
        <w:rPr>
          <w:rFonts w:ascii="Arial" w:cs="Arial" w:eastAsia="Arial" w:hAnsi="Arial"/>
          <w:sz w:val="18"/>
          <w:szCs w:val="18"/>
          <w:i w:val="1"/>
          <w:iCs w:val="1"/>
          <w:color w:val="32406B"/>
        </w:rPr>
        <w:t>Medicine</w:t>
      </w:r>
      <w:r>
        <w:rPr>
          <w:rFonts w:ascii="Arial" w:cs="Arial" w:eastAsia="Arial" w:hAnsi="Arial"/>
          <w:sz w:val="18"/>
          <w:szCs w:val="18"/>
          <w:color w:val="32406B"/>
        </w:rPr>
        <w:t>. The table below reflects average VCN data observed for the first two patients in the ongoing Phase 1 clinical trial. Importantly, these VCNs</w:t>
      </w:r>
      <w:r>
        <w:rPr>
          <w:rFonts w:ascii="Arial" w:cs="Arial" w:eastAsia="Arial" w:hAnsi="Arial"/>
          <w:sz w:val="18"/>
          <w:szCs w:val="18"/>
          <w:i w:val="1"/>
          <w:iCs w:val="1"/>
          <w:color w:val="32406B"/>
        </w:rPr>
        <w:t xml:space="preserve"> </w:t>
      </w:r>
      <w:r>
        <w:rPr>
          <w:rFonts w:ascii="Arial" w:cs="Arial" w:eastAsia="Arial" w:hAnsi="Arial"/>
          <w:sz w:val="18"/>
          <w:szCs w:val="18"/>
          <w:color w:val="32406B"/>
        </w:rPr>
        <w:t>have been sufficient to generate plasma AGA enzyme activity in these two patients that was continuously above the range for males with classic Fabry disease.</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Average VCN in Patients Dosed with AVR-RD-01 in the Ongoing Phase 1 Clinical Trial</w:t>
      </w:r>
    </w:p>
    <w:p>
      <w:pPr>
        <w:spacing w:after="0" w:line="251"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3600" w:type="dxa"/>
            <w:vAlign w:val="bottom"/>
            <w:tcBorders>
              <w:top w:val="single" w:sz="8" w:color="32406B"/>
              <w:left w:val="single" w:sz="8" w:color="32406B"/>
              <w:bottom w:val="single" w:sz="8" w:color="32406B"/>
              <w:right w:val="single" w:sz="8" w:color="32406B"/>
            </w:tcBorders>
          </w:tcPr>
          <w:p>
            <w:pPr>
              <w:spacing w:after="0"/>
              <w:rPr>
                <w:sz w:val="14"/>
                <w:szCs w:val="14"/>
                <w:color w:val="auto"/>
              </w:rPr>
            </w:pPr>
          </w:p>
        </w:tc>
        <w:tc>
          <w:tcPr>
            <w:tcW w:w="3680" w:type="dxa"/>
            <w:vAlign w:val="bottom"/>
            <w:tcBorders>
              <w:top w:val="single" w:sz="8" w:color="32406B"/>
              <w:bottom w:val="single" w:sz="8" w:color="32406B"/>
              <w:right w:val="single" w:sz="8" w:color="32406B"/>
            </w:tcBorders>
          </w:tcPr>
          <w:p>
            <w:pPr>
              <w:jc w:val="center"/>
              <w:ind w:left="3012"/>
              <w:spacing w:after="0"/>
              <w:rPr>
                <w:sz w:val="20"/>
                <w:szCs w:val="20"/>
                <w:color w:val="auto"/>
              </w:rPr>
            </w:pPr>
            <w:r>
              <w:rPr>
                <w:rFonts w:ascii="Arial" w:cs="Arial" w:eastAsia="Arial" w:hAnsi="Arial"/>
                <w:sz w:val="14"/>
                <w:szCs w:val="14"/>
                <w:b w:val="1"/>
                <w:bCs w:val="1"/>
                <w:color w:val="32406B"/>
                <w:w w:val="92"/>
              </w:rPr>
              <w:t>Patient 1</w:t>
            </w:r>
          </w:p>
        </w:tc>
        <w:tc>
          <w:tcPr>
            <w:tcW w:w="3760" w:type="dxa"/>
            <w:vAlign w:val="bottom"/>
            <w:tcBorders>
              <w:top w:val="single" w:sz="8" w:color="32406B"/>
              <w:bottom w:val="single" w:sz="8" w:color="32406B"/>
              <w:right w:val="single" w:sz="8" w:color="32406B"/>
            </w:tcBorders>
          </w:tcPr>
          <w:p>
            <w:pPr>
              <w:ind w:left="3140"/>
              <w:spacing w:after="0"/>
              <w:rPr>
                <w:sz w:val="20"/>
                <w:szCs w:val="20"/>
                <w:color w:val="auto"/>
              </w:rPr>
            </w:pPr>
            <w:r>
              <w:rPr>
                <w:rFonts w:ascii="Arial" w:cs="Arial" w:eastAsia="Arial" w:hAnsi="Arial"/>
                <w:sz w:val="14"/>
                <w:szCs w:val="14"/>
                <w:b w:val="1"/>
                <w:bCs w:val="1"/>
                <w:color w:val="32406B"/>
                <w:w w:val="99"/>
              </w:rPr>
              <w:t>Patient 2</w:t>
            </w:r>
          </w:p>
        </w:tc>
      </w:tr>
      <w:tr>
        <w:trPr>
          <w:trHeight w:val="210"/>
        </w:trPr>
        <w:tc>
          <w:tcPr>
            <w:tcW w:w="3600" w:type="dxa"/>
            <w:vAlign w:val="bottom"/>
            <w:tcBorders>
              <w:left w:val="single" w:sz="8" w:color="32406B"/>
              <w:bottom w:val="single" w:sz="8" w:color="32406B"/>
              <w:right w:val="single" w:sz="8" w:color="32406B"/>
            </w:tcBorders>
            <w:shd w:val="clear" w:color="auto" w:fill="CCEEFF"/>
          </w:tcPr>
          <w:p>
            <w:pPr>
              <w:ind w:left="140"/>
              <w:spacing w:after="0"/>
              <w:rPr>
                <w:sz w:val="20"/>
                <w:szCs w:val="20"/>
                <w:color w:val="auto"/>
              </w:rPr>
            </w:pPr>
            <w:r>
              <w:rPr>
                <w:rFonts w:ascii="Arial" w:cs="Arial" w:eastAsia="Arial" w:hAnsi="Arial"/>
                <w:sz w:val="18"/>
                <w:szCs w:val="18"/>
                <w:b w:val="1"/>
                <w:bCs w:val="1"/>
                <w:color w:val="32406B"/>
              </w:rPr>
              <w:t>Drug Product VCN (day 4)</w:t>
            </w:r>
          </w:p>
        </w:tc>
        <w:tc>
          <w:tcPr>
            <w:tcW w:w="3680" w:type="dxa"/>
            <w:vAlign w:val="bottom"/>
            <w:tcBorders>
              <w:bottom w:val="single" w:sz="8" w:color="32406B"/>
              <w:right w:val="single" w:sz="8" w:color="32406B"/>
            </w:tcBorders>
            <w:shd w:val="clear" w:color="auto" w:fill="CCEEFF"/>
          </w:tcPr>
          <w:p>
            <w:pPr>
              <w:jc w:val="center"/>
              <w:ind w:left="2992"/>
              <w:spacing w:after="0"/>
              <w:rPr>
                <w:sz w:val="20"/>
                <w:szCs w:val="20"/>
                <w:color w:val="auto"/>
              </w:rPr>
            </w:pPr>
            <w:r>
              <w:rPr>
                <w:rFonts w:ascii="Arial" w:cs="Arial" w:eastAsia="Arial" w:hAnsi="Arial"/>
                <w:sz w:val="18"/>
                <w:szCs w:val="18"/>
                <w:color w:val="32406B"/>
                <w:w w:val="91"/>
              </w:rPr>
              <w:t>0.68</w:t>
            </w:r>
          </w:p>
        </w:tc>
        <w:tc>
          <w:tcPr>
            <w:tcW w:w="3760" w:type="dxa"/>
            <w:vAlign w:val="bottom"/>
            <w:tcBorders>
              <w:bottom w:val="single" w:sz="8" w:color="32406B"/>
              <w:right w:val="single" w:sz="8" w:color="32406B"/>
            </w:tcBorders>
            <w:shd w:val="clear" w:color="auto" w:fill="CCEEFF"/>
          </w:tcPr>
          <w:p>
            <w:pPr>
              <w:jc w:val="center"/>
              <w:ind w:left="2992"/>
              <w:spacing w:after="0"/>
              <w:rPr>
                <w:sz w:val="20"/>
                <w:szCs w:val="20"/>
                <w:color w:val="auto"/>
              </w:rPr>
            </w:pPr>
            <w:r>
              <w:rPr>
                <w:rFonts w:ascii="Arial" w:cs="Arial" w:eastAsia="Arial" w:hAnsi="Arial"/>
                <w:sz w:val="18"/>
                <w:szCs w:val="18"/>
                <w:color w:val="32406B"/>
                <w:w w:val="91"/>
              </w:rPr>
              <w:t>1.43</w:t>
            </w:r>
          </w:p>
        </w:tc>
      </w:tr>
      <w:tr>
        <w:trPr>
          <w:trHeight w:val="210"/>
        </w:trPr>
        <w:tc>
          <w:tcPr>
            <w:tcW w:w="3600" w:type="dxa"/>
            <w:vAlign w:val="bottom"/>
            <w:tcBorders>
              <w:left w:val="single" w:sz="8" w:color="32406B"/>
              <w:bottom w:val="single" w:sz="8" w:color="32406B"/>
              <w:right w:val="single" w:sz="8" w:color="32406B"/>
            </w:tcBorders>
          </w:tcPr>
          <w:p>
            <w:pPr>
              <w:ind w:left="140"/>
              <w:spacing w:after="0"/>
              <w:rPr>
                <w:sz w:val="20"/>
                <w:szCs w:val="20"/>
                <w:color w:val="auto"/>
              </w:rPr>
            </w:pPr>
            <w:r>
              <w:rPr>
                <w:rFonts w:ascii="Arial" w:cs="Arial" w:eastAsia="Arial" w:hAnsi="Arial"/>
                <w:sz w:val="18"/>
                <w:szCs w:val="18"/>
                <w:b w:val="1"/>
                <w:bCs w:val="1"/>
                <w:color w:val="32406B"/>
              </w:rPr>
              <w:t>1 month VCN</w:t>
            </w:r>
          </w:p>
        </w:tc>
        <w:tc>
          <w:tcPr>
            <w:tcW w:w="3680" w:type="dxa"/>
            <w:vAlign w:val="bottom"/>
            <w:tcBorders>
              <w:bottom w:val="single" w:sz="8" w:color="32406B"/>
              <w:right w:val="single" w:sz="8" w:color="32406B"/>
            </w:tcBorders>
          </w:tcPr>
          <w:p>
            <w:pPr>
              <w:jc w:val="center"/>
              <w:ind w:left="2992"/>
              <w:spacing w:after="0"/>
              <w:rPr>
                <w:sz w:val="20"/>
                <w:szCs w:val="20"/>
                <w:color w:val="auto"/>
              </w:rPr>
            </w:pPr>
            <w:r>
              <w:rPr>
                <w:rFonts w:ascii="Arial" w:cs="Arial" w:eastAsia="Arial" w:hAnsi="Arial"/>
                <w:sz w:val="18"/>
                <w:szCs w:val="18"/>
                <w:color w:val="32406B"/>
                <w:w w:val="91"/>
              </w:rPr>
              <w:t>0.42</w:t>
            </w:r>
          </w:p>
        </w:tc>
        <w:tc>
          <w:tcPr>
            <w:tcW w:w="3760" w:type="dxa"/>
            <w:vAlign w:val="bottom"/>
            <w:tcBorders>
              <w:bottom w:val="single" w:sz="8" w:color="32406B"/>
              <w:right w:val="single" w:sz="8" w:color="32406B"/>
            </w:tcBorders>
          </w:tcPr>
          <w:p>
            <w:pPr>
              <w:jc w:val="center"/>
              <w:ind w:left="2992"/>
              <w:spacing w:after="0"/>
              <w:rPr>
                <w:sz w:val="20"/>
                <w:szCs w:val="20"/>
                <w:color w:val="auto"/>
              </w:rPr>
            </w:pPr>
            <w:r>
              <w:rPr>
                <w:rFonts w:ascii="Arial" w:cs="Arial" w:eastAsia="Arial" w:hAnsi="Arial"/>
                <w:sz w:val="18"/>
                <w:szCs w:val="18"/>
                <w:color w:val="32406B"/>
                <w:w w:val="91"/>
              </w:rPr>
              <w:t>0.79</w:t>
            </w:r>
          </w:p>
        </w:tc>
      </w:tr>
      <w:tr>
        <w:trPr>
          <w:trHeight w:val="210"/>
        </w:trPr>
        <w:tc>
          <w:tcPr>
            <w:tcW w:w="3600" w:type="dxa"/>
            <w:vAlign w:val="bottom"/>
            <w:tcBorders>
              <w:left w:val="single" w:sz="8" w:color="32406B"/>
              <w:bottom w:val="single" w:sz="8" w:color="32406B"/>
              <w:right w:val="single" w:sz="8" w:color="32406B"/>
            </w:tcBorders>
            <w:shd w:val="clear" w:color="auto" w:fill="CCEEFF"/>
          </w:tcPr>
          <w:p>
            <w:pPr>
              <w:ind w:left="140"/>
              <w:spacing w:after="0"/>
              <w:rPr>
                <w:sz w:val="20"/>
                <w:szCs w:val="20"/>
                <w:color w:val="auto"/>
              </w:rPr>
            </w:pPr>
            <w:r>
              <w:rPr>
                <w:rFonts w:ascii="Arial" w:cs="Arial" w:eastAsia="Arial" w:hAnsi="Arial"/>
                <w:sz w:val="18"/>
                <w:szCs w:val="18"/>
                <w:b w:val="1"/>
                <w:bCs w:val="1"/>
                <w:color w:val="32406B"/>
              </w:rPr>
              <w:t>3 month VCN</w:t>
            </w:r>
          </w:p>
        </w:tc>
        <w:tc>
          <w:tcPr>
            <w:tcW w:w="3680" w:type="dxa"/>
            <w:vAlign w:val="bottom"/>
            <w:tcBorders>
              <w:bottom w:val="single" w:sz="8" w:color="32406B"/>
              <w:right w:val="single" w:sz="8" w:color="32406B"/>
            </w:tcBorders>
            <w:shd w:val="clear" w:color="auto" w:fill="CCEEFF"/>
          </w:tcPr>
          <w:p>
            <w:pPr>
              <w:jc w:val="center"/>
              <w:ind w:left="2992"/>
              <w:spacing w:after="0"/>
              <w:rPr>
                <w:sz w:val="20"/>
                <w:szCs w:val="20"/>
                <w:color w:val="auto"/>
              </w:rPr>
            </w:pPr>
            <w:r>
              <w:rPr>
                <w:rFonts w:ascii="Arial" w:cs="Arial" w:eastAsia="Arial" w:hAnsi="Arial"/>
                <w:sz w:val="18"/>
                <w:szCs w:val="18"/>
                <w:color w:val="32406B"/>
                <w:w w:val="91"/>
              </w:rPr>
              <w:t>0.55</w:t>
            </w:r>
          </w:p>
        </w:tc>
        <w:tc>
          <w:tcPr>
            <w:tcW w:w="3760" w:type="dxa"/>
            <w:vAlign w:val="bottom"/>
            <w:tcBorders>
              <w:bottom w:val="single" w:sz="8" w:color="32406B"/>
              <w:right w:val="single" w:sz="8" w:color="32406B"/>
            </w:tcBorders>
            <w:shd w:val="clear" w:color="auto" w:fill="CCEEFF"/>
          </w:tcPr>
          <w:p>
            <w:pPr>
              <w:jc w:val="center"/>
              <w:ind w:left="3012"/>
              <w:spacing w:after="0"/>
              <w:rPr>
                <w:sz w:val="20"/>
                <w:szCs w:val="20"/>
                <w:color w:val="auto"/>
              </w:rPr>
            </w:pPr>
            <w:r>
              <w:rPr>
                <w:rFonts w:ascii="Arial" w:cs="Arial" w:eastAsia="Arial" w:hAnsi="Arial"/>
                <w:sz w:val="18"/>
                <w:szCs w:val="18"/>
                <w:color w:val="32406B"/>
                <w:w w:val="87"/>
              </w:rPr>
              <w:t>1.1</w:t>
            </w:r>
          </w:p>
        </w:tc>
      </w:tr>
      <w:tr>
        <w:trPr>
          <w:trHeight w:val="210"/>
        </w:trPr>
        <w:tc>
          <w:tcPr>
            <w:tcW w:w="3600" w:type="dxa"/>
            <w:vAlign w:val="bottom"/>
            <w:tcBorders>
              <w:left w:val="single" w:sz="8" w:color="32406B"/>
              <w:bottom w:val="single" w:sz="8" w:color="32406B"/>
              <w:right w:val="single" w:sz="8" w:color="32406B"/>
            </w:tcBorders>
          </w:tcPr>
          <w:p>
            <w:pPr>
              <w:ind w:left="140"/>
              <w:spacing w:after="0"/>
              <w:rPr>
                <w:sz w:val="20"/>
                <w:szCs w:val="20"/>
                <w:color w:val="auto"/>
              </w:rPr>
            </w:pPr>
            <w:r>
              <w:rPr>
                <w:rFonts w:ascii="Arial" w:cs="Arial" w:eastAsia="Arial" w:hAnsi="Arial"/>
                <w:sz w:val="18"/>
                <w:szCs w:val="18"/>
                <w:b w:val="1"/>
                <w:bCs w:val="1"/>
                <w:color w:val="32406B"/>
              </w:rPr>
              <w:t>6 month VCN</w:t>
            </w:r>
          </w:p>
        </w:tc>
        <w:tc>
          <w:tcPr>
            <w:tcW w:w="3680" w:type="dxa"/>
            <w:vAlign w:val="bottom"/>
            <w:tcBorders>
              <w:bottom w:val="single" w:sz="8" w:color="32406B"/>
              <w:right w:val="single" w:sz="8" w:color="32406B"/>
            </w:tcBorders>
          </w:tcPr>
          <w:p>
            <w:pPr>
              <w:jc w:val="center"/>
              <w:ind w:left="2992"/>
              <w:spacing w:after="0"/>
              <w:rPr>
                <w:sz w:val="20"/>
                <w:szCs w:val="20"/>
                <w:color w:val="auto"/>
              </w:rPr>
            </w:pPr>
            <w:r>
              <w:rPr>
                <w:rFonts w:ascii="Arial" w:cs="Arial" w:eastAsia="Arial" w:hAnsi="Arial"/>
                <w:sz w:val="18"/>
                <w:szCs w:val="18"/>
                <w:color w:val="32406B"/>
                <w:w w:val="91"/>
              </w:rPr>
              <w:t>0.35</w:t>
            </w:r>
          </w:p>
        </w:tc>
        <w:tc>
          <w:tcPr>
            <w:tcW w:w="3760" w:type="dxa"/>
            <w:vAlign w:val="bottom"/>
            <w:tcBorders>
              <w:bottom w:val="single" w:sz="8" w:color="32406B"/>
              <w:right w:val="single" w:sz="8" w:color="32406B"/>
            </w:tcBorders>
          </w:tcPr>
          <w:p>
            <w:pPr>
              <w:ind w:left="3360"/>
              <w:spacing w:after="0"/>
              <w:rPr>
                <w:sz w:val="20"/>
                <w:szCs w:val="20"/>
                <w:color w:val="auto"/>
              </w:rPr>
            </w:pPr>
            <w:r>
              <w:rPr>
                <w:rFonts w:ascii="Arial" w:cs="Arial" w:eastAsia="Arial" w:hAnsi="Arial"/>
                <w:sz w:val="18"/>
                <w:szCs w:val="18"/>
                <w:color w:val="32406B"/>
              </w:rPr>
              <w:t>n/a</w:t>
            </w:r>
          </w:p>
        </w:tc>
      </w:tr>
      <w:tr>
        <w:trPr>
          <w:trHeight w:val="210"/>
        </w:trPr>
        <w:tc>
          <w:tcPr>
            <w:tcW w:w="3600" w:type="dxa"/>
            <w:vAlign w:val="bottom"/>
            <w:tcBorders>
              <w:left w:val="single" w:sz="8" w:color="32406B"/>
              <w:bottom w:val="single" w:sz="8" w:color="32406B"/>
              <w:right w:val="single" w:sz="8" w:color="32406B"/>
            </w:tcBorders>
            <w:shd w:val="clear" w:color="auto" w:fill="CCEEFF"/>
          </w:tcPr>
          <w:p>
            <w:pPr>
              <w:ind w:left="140"/>
              <w:spacing w:after="0"/>
              <w:rPr>
                <w:sz w:val="20"/>
                <w:szCs w:val="20"/>
                <w:color w:val="auto"/>
              </w:rPr>
            </w:pPr>
            <w:r>
              <w:rPr>
                <w:rFonts w:ascii="Arial" w:cs="Arial" w:eastAsia="Arial" w:hAnsi="Arial"/>
                <w:sz w:val="18"/>
                <w:szCs w:val="18"/>
                <w:b w:val="1"/>
                <w:bCs w:val="1"/>
                <w:color w:val="32406B"/>
              </w:rPr>
              <w:t>9 month VCN</w:t>
            </w:r>
          </w:p>
        </w:tc>
        <w:tc>
          <w:tcPr>
            <w:tcW w:w="3680" w:type="dxa"/>
            <w:vAlign w:val="bottom"/>
            <w:tcBorders>
              <w:bottom w:val="single" w:sz="8" w:color="32406B"/>
              <w:right w:val="single" w:sz="8" w:color="32406B"/>
            </w:tcBorders>
            <w:shd w:val="clear" w:color="auto" w:fill="CCEEFF"/>
          </w:tcPr>
          <w:p>
            <w:pPr>
              <w:jc w:val="center"/>
              <w:ind w:left="2992"/>
              <w:spacing w:after="0"/>
              <w:rPr>
                <w:sz w:val="20"/>
                <w:szCs w:val="20"/>
                <w:color w:val="auto"/>
              </w:rPr>
            </w:pPr>
            <w:r>
              <w:rPr>
                <w:rFonts w:ascii="Arial" w:cs="Arial" w:eastAsia="Arial" w:hAnsi="Arial"/>
                <w:sz w:val="18"/>
                <w:szCs w:val="18"/>
                <w:color w:val="32406B"/>
                <w:w w:val="91"/>
              </w:rPr>
              <w:t>0.26</w:t>
            </w:r>
          </w:p>
        </w:tc>
        <w:tc>
          <w:tcPr>
            <w:tcW w:w="3760" w:type="dxa"/>
            <w:vAlign w:val="bottom"/>
            <w:tcBorders>
              <w:bottom w:val="single" w:sz="8" w:color="32406B"/>
              <w:right w:val="single" w:sz="8" w:color="32406B"/>
            </w:tcBorders>
            <w:shd w:val="clear" w:color="auto" w:fill="CCEEFF"/>
          </w:tcPr>
          <w:p>
            <w:pPr>
              <w:ind w:left="3360"/>
              <w:spacing w:after="0"/>
              <w:rPr>
                <w:sz w:val="20"/>
                <w:szCs w:val="20"/>
                <w:color w:val="auto"/>
              </w:rPr>
            </w:pPr>
            <w:r>
              <w:rPr>
                <w:rFonts w:ascii="Arial" w:cs="Arial" w:eastAsia="Arial" w:hAnsi="Arial"/>
                <w:sz w:val="18"/>
                <w:szCs w:val="18"/>
                <w:color w:val="32406B"/>
              </w:rPr>
              <w:t>n/a</w:t>
            </w:r>
          </w:p>
        </w:tc>
      </w:tr>
      <w:tr>
        <w:trPr>
          <w:trHeight w:val="210"/>
        </w:trPr>
        <w:tc>
          <w:tcPr>
            <w:tcW w:w="3600" w:type="dxa"/>
            <w:vAlign w:val="bottom"/>
            <w:tcBorders>
              <w:left w:val="single" w:sz="8" w:color="32406B"/>
              <w:bottom w:val="single" w:sz="8" w:color="32406B"/>
              <w:right w:val="single" w:sz="8" w:color="32406B"/>
            </w:tcBorders>
          </w:tcPr>
          <w:p>
            <w:pPr>
              <w:ind w:left="140"/>
              <w:spacing w:after="0"/>
              <w:rPr>
                <w:sz w:val="20"/>
                <w:szCs w:val="20"/>
                <w:color w:val="auto"/>
              </w:rPr>
            </w:pPr>
            <w:r>
              <w:rPr>
                <w:rFonts w:ascii="Arial" w:cs="Arial" w:eastAsia="Arial" w:hAnsi="Arial"/>
                <w:sz w:val="18"/>
                <w:szCs w:val="18"/>
                <w:b w:val="1"/>
                <w:bCs w:val="1"/>
                <w:color w:val="32406B"/>
              </w:rPr>
              <w:t>12 month VCN</w:t>
            </w:r>
          </w:p>
        </w:tc>
        <w:tc>
          <w:tcPr>
            <w:tcW w:w="3680" w:type="dxa"/>
            <w:vAlign w:val="bottom"/>
            <w:tcBorders>
              <w:bottom w:val="single" w:sz="8" w:color="32406B"/>
              <w:right w:val="single" w:sz="8" w:color="32406B"/>
            </w:tcBorders>
          </w:tcPr>
          <w:p>
            <w:pPr>
              <w:jc w:val="center"/>
              <w:ind w:left="2992"/>
              <w:spacing w:after="0"/>
              <w:rPr>
                <w:sz w:val="20"/>
                <w:szCs w:val="20"/>
                <w:color w:val="auto"/>
              </w:rPr>
            </w:pPr>
            <w:r>
              <w:rPr>
                <w:rFonts w:ascii="Arial" w:cs="Arial" w:eastAsia="Arial" w:hAnsi="Arial"/>
                <w:sz w:val="18"/>
                <w:szCs w:val="18"/>
                <w:color w:val="32406B"/>
                <w:w w:val="91"/>
              </w:rPr>
              <w:t>0.16</w:t>
            </w:r>
          </w:p>
        </w:tc>
        <w:tc>
          <w:tcPr>
            <w:tcW w:w="3760" w:type="dxa"/>
            <w:vAlign w:val="bottom"/>
            <w:tcBorders>
              <w:bottom w:val="single" w:sz="8" w:color="32406B"/>
              <w:right w:val="single" w:sz="8" w:color="32406B"/>
            </w:tcBorders>
          </w:tcPr>
          <w:p>
            <w:pPr>
              <w:ind w:left="3360"/>
              <w:spacing w:after="0"/>
              <w:rPr>
                <w:sz w:val="20"/>
                <w:szCs w:val="20"/>
                <w:color w:val="auto"/>
              </w:rPr>
            </w:pPr>
            <w:r>
              <w:rPr>
                <w:rFonts w:ascii="Arial" w:cs="Arial" w:eastAsia="Arial" w:hAnsi="Arial"/>
                <w:sz w:val="18"/>
                <w:szCs w:val="18"/>
                <w:color w:val="32406B"/>
              </w:rPr>
              <w:t>n/a</w:t>
            </w:r>
          </w:p>
        </w:tc>
      </w:tr>
      <w:tr>
        <w:trPr>
          <w:trHeight w:val="210"/>
        </w:trPr>
        <w:tc>
          <w:tcPr>
            <w:tcW w:w="3600" w:type="dxa"/>
            <w:vAlign w:val="bottom"/>
            <w:tcBorders>
              <w:left w:val="single" w:sz="8" w:color="32406B"/>
              <w:bottom w:val="single" w:sz="8" w:color="32406B"/>
              <w:right w:val="single" w:sz="8" w:color="32406B"/>
            </w:tcBorders>
            <w:shd w:val="clear" w:color="auto" w:fill="CCEEFF"/>
          </w:tcPr>
          <w:p>
            <w:pPr>
              <w:ind w:left="140"/>
              <w:spacing w:after="0"/>
              <w:rPr>
                <w:sz w:val="20"/>
                <w:szCs w:val="20"/>
                <w:color w:val="auto"/>
              </w:rPr>
            </w:pPr>
            <w:r>
              <w:rPr>
                <w:rFonts w:ascii="Arial" w:cs="Arial" w:eastAsia="Arial" w:hAnsi="Arial"/>
                <w:sz w:val="18"/>
                <w:szCs w:val="18"/>
                <w:b w:val="1"/>
                <w:bCs w:val="1"/>
                <w:color w:val="32406B"/>
              </w:rPr>
              <w:t>14 month VCN</w:t>
            </w:r>
          </w:p>
        </w:tc>
        <w:tc>
          <w:tcPr>
            <w:tcW w:w="3680" w:type="dxa"/>
            <w:vAlign w:val="bottom"/>
            <w:tcBorders>
              <w:bottom w:val="single" w:sz="8" w:color="32406B"/>
              <w:right w:val="single" w:sz="8" w:color="32406B"/>
            </w:tcBorders>
            <w:shd w:val="clear" w:color="auto" w:fill="CCEEFF"/>
          </w:tcPr>
          <w:p>
            <w:pPr>
              <w:jc w:val="center"/>
              <w:ind w:left="2992"/>
              <w:spacing w:after="0"/>
              <w:rPr>
                <w:sz w:val="20"/>
                <w:szCs w:val="20"/>
                <w:color w:val="auto"/>
              </w:rPr>
            </w:pPr>
            <w:r>
              <w:rPr>
                <w:rFonts w:ascii="Arial" w:cs="Arial" w:eastAsia="Arial" w:hAnsi="Arial"/>
                <w:sz w:val="18"/>
                <w:szCs w:val="18"/>
                <w:color w:val="32406B"/>
                <w:w w:val="91"/>
              </w:rPr>
              <w:t>0.12</w:t>
            </w:r>
          </w:p>
        </w:tc>
        <w:tc>
          <w:tcPr>
            <w:tcW w:w="3760" w:type="dxa"/>
            <w:vAlign w:val="bottom"/>
            <w:tcBorders>
              <w:bottom w:val="single" w:sz="8" w:color="32406B"/>
              <w:right w:val="single" w:sz="8" w:color="32406B"/>
            </w:tcBorders>
            <w:shd w:val="clear" w:color="auto" w:fill="CCEEFF"/>
          </w:tcPr>
          <w:p>
            <w:pPr>
              <w:ind w:left="3360"/>
              <w:spacing w:after="0"/>
              <w:rPr>
                <w:sz w:val="20"/>
                <w:szCs w:val="20"/>
                <w:color w:val="auto"/>
              </w:rPr>
            </w:pPr>
            <w:r>
              <w:rPr>
                <w:rFonts w:ascii="Arial" w:cs="Arial" w:eastAsia="Arial" w:hAnsi="Arial"/>
                <w:sz w:val="18"/>
                <w:szCs w:val="18"/>
                <w:color w:val="32406B"/>
              </w:rPr>
              <w:t>n/a</w:t>
            </w:r>
          </w:p>
        </w:tc>
      </w:tr>
    </w:tbl>
    <w:p>
      <w:pPr>
        <w:spacing w:after="0" w:line="202"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32406B"/>
        </w:rPr>
        <w:t>Preliminary results from this clinical trial also indicate the presence of lentiviral-vector inserted sequences in the blood and bone marrow of the first patient, which is a signal for successful transduction of the cells. An analysis of the bone marrow from the first patient in this clinical trial measured at 14 months following treatment with AVR-RD-01 suggests engraftment through this period. Because patients in this trial are also receiving ERT, it is not possible to assess the ability of the functional AGA produced by AVR-RD-01 to drive the reduction of substrates, including Gb3 levels, or reduce symptoms of the disease. Altogether, the results observed to date suggest that AVR-RD-01 is capable of delivering and integrating the gene coding for AGA into the human genome and subsequently enabling expression of active AGA enzyme in patients with Fabry disease.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96</w:t>
      </w:r>
    </w:p>
    <w:p>
      <w:pPr>
        <w:sectPr>
          <w:pgSz w:w="11900" w:h="16838" w:orient="portrait"/>
          <w:cols w:equalWidth="0" w:num="1">
            <w:col w:w="11240"/>
          </w:cols>
          <w:pgMar w:left="240" w:top="459" w:right="4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Safety</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Preliminary safety data from the first two enrolled patients indicate AVR-RD-01 was generally well-tolerated. As of April 26, 2018, there were 47 adverse events reported, 40 of which were assessed by the investigator as being possibly, probably or definitely related to protocol treatment or procedures (which includes apheresis, stem cell transplant procedure, blood draws, insertion of central catheters, drugs used for mobilization of stem cells and/or conditioning, and the drug product). Only one event, the development of a left thigh mass, was originally reported as a serious adverse event but has now been considered by the study investigator as not serious and has resolved in the patient. In addition, investigators observed a suppression of white blood cell counts and thrombocytopenia in both patients which is an expected outcome based on the conditioning regimen. These decreases were transient and not associated with any negative long-term impact on the patients. Because this clinical trial is ongoing, safety data are preliminary and subject to change. Subsequent to April 26, 2018, we have not been notified by the investigators in this clinical trial of any suspected unexpected serious adverse events. In addition, an independent data monitoring committee has reviewed the one-month post-treatment data of each patient treated with AVR-RD-01 and has approved continuing to enroll patients in this clinical trial.</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Phase 2 Multinational Clinical Trial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On June 7, 2018, we dosed the first patient in our open label, multinational Phase 2 clinical trial of AVR-RD-01 in 2018. Enrollment in our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Phase 2 clinical trial is ongoing, and we expect to enroll eight to 12 treatment-naïve males, 16 years and older, with classic Fabry disease. Our objectives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for this trial are to assess safety and efficacy as measured by multiple indicators, such as Gb3 levels in various tissues, kidney and cardiac function,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gastrointestinal symptoms, and pain and quality of life scores. All enrolled patients will receive a single treatment with AVR-RD-01 and will be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followed for 48 weeks to measure safety and efficacy. We received approval from both the Australian and Canadian regulatory authorities to initiate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Phase 2 clinical trial for AVR-RD-01. We also plan to submit applications to allow commencement of clinical trials in the United States to the FDA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in Japan to the Pharmaceuticals and Medical Devices Agency, or PMDA, following meetings with each of these respective regulatory authorities.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first patient in our Phase 2 clinical trial was dosed at an Austrialian site on June 7, 2018.</w:t>
      </w:r>
    </w:p>
    <w:p>
      <w:pPr>
        <w:spacing w:after="0" w:line="21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32406B"/>
        </w:rPr>
        <w:t>During a scheduled protocol visit seven days after dosing, the patient reported nausea and vomiting and was admitted to hospital for fluid hydration. Because the nausea and vomiting warranted hospital admission, the event was categorized as a serious adverse event, possibly related to the conditioning regimen; nausea and vomiting have resolved in the patient. A suppression of white blood cell count, which is an anticipated outcome of the conditioning regimen, was also observed in the patient. The treating physician has decided to monitor the patient in hospital until the patient’s white blood cell count increases. Because this clinical trial is ongoing, safety data are preliminary and subject to change.</w:t>
      </w:r>
    </w:p>
    <w:p>
      <w:pPr>
        <w:spacing w:after="0" w:line="17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32406B"/>
        </w:rPr>
        <w:t xml:space="preserve">During our Phase 2 clinical trial, we plan to transition the lentiviral vector from LV1 to our optimized proprietary LV2, which we believe will further improve the efficacy and further enhance the safety of our lentiviral-based gene therapy. Because this proposed transition only impacts the </w:t>
      </w:r>
      <w:r>
        <w:rPr>
          <w:rFonts w:ascii="Arial" w:cs="Arial" w:eastAsia="Arial" w:hAnsi="Arial"/>
          <w:sz w:val="18"/>
          <w:szCs w:val="18"/>
          <w:i w:val="1"/>
          <w:iCs w:val="1"/>
          <w:color w:val="32406B"/>
        </w:rPr>
        <w:t>ex</w:t>
      </w:r>
      <w:r>
        <w:rPr>
          <w:rFonts w:ascii="Arial" w:cs="Arial" w:eastAsia="Arial" w:hAnsi="Arial"/>
          <w:sz w:val="18"/>
          <w:szCs w:val="18"/>
          <w:color w:val="32406B"/>
        </w:rPr>
        <w:t xml:space="preserve"> </w:t>
      </w:r>
      <w:r>
        <w:rPr>
          <w:rFonts w:ascii="Arial" w:cs="Arial" w:eastAsia="Arial" w:hAnsi="Arial"/>
          <w:sz w:val="18"/>
          <w:szCs w:val="18"/>
          <w:i w:val="1"/>
          <w:iCs w:val="1"/>
          <w:color w:val="32406B"/>
        </w:rPr>
        <w:t xml:space="preserve">vivo </w:t>
      </w:r>
      <w:r>
        <w:rPr>
          <w:rFonts w:ascii="Arial" w:cs="Arial" w:eastAsia="Arial" w:hAnsi="Arial"/>
          <w:sz w:val="18"/>
          <w:szCs w:val="18"/>
          <w:color w:val="32406B"/>
        </w:rPr>
        <w:t>cell transduction process, and not the actual AGA enzyme that is produced by the transduced cells, or drug product, we believe this transition will</w:t>
      </w:r>
      <w:r>
        <w:rPr>
          <w:rFonts w:ascii="Arial" w:cs="Arial" w:eastAsia="Arial" w:hAnsi="Arial"/>
          <w:sz w:val="18"/>
          <w:szCs w:val="18"/>
          <w:i w:val="1"/>
          <w:iCs w:val="1"/>
          <w:color w:val="32406B"/>
        </w:rPr>
        <w:t xml:space="preserve"> </w:t>
      </w:r>
      <w:r>
        <w:rPr>
          <w:rFonts w:ascii="Arial" w:cs="Arial" w:eastAsia="Arial" w:hAnsi="Arial"/>
          <w:sz w:val="18"/>
          <w:szCs w:val="18"/>
          <w:color w:val="32406B"/>
        </w:rPr>
        <w:t xml:space="preserve">be supported with </w:t>
      </w:r>
      <w:r>
        <w:rPr>
          <w:rFonts w:ascii="Arial" w:cs="Arial" w:eastAsia="Arial" w:hAnsi="Arial"/>
          <w:sz w:val="18"/>
          <w:szCs w:val="18"/>
          <w:i w:val="1"/>
          <w:iCs w:val="1"/>
          <w:color w:val="32406B"/>
        </w:rPr>
        <w:t>in vitro</w:t>
      </w:r>
      <w:r>
        <w:rPr>
          <w:rFonts w:ascii="Arial" w:cs="Arial" w:eastAsia="Arial" w:hAnsi="Arial"/>
          <w:sz w:val="18"/>
          <w:szCs w:val="18"/>
          <w:color w:val="32406B"/>
        </w:rPr>
        <w:t xml:space="preserve"> comparability studies.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Preclinical Data</w:t>
      </w:r>
    </w:p>
    <w:p>
      <w:pPr>
        <w:spacing w:after="0" w:line="11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32406B"/>
        </w:rPr>
        <w:t>AVR-RD-01 has been evaluated in multiple mouse models. Key observations from these preclinical studies serve as the foundation for our lentiviral-based gene therapy approach:</w:t>
      </w:r>
    </w:p>
    <w:p>
      <w:pPr>
        <w:spacing w:after="0" w:line="76" w:lineRule="exact"/>
        <w:rPr>
          <w:sz w:val="20"/>
          <w:szCs w:val="20"/>
          <w:color w:val="auto"/>
        </w:rPr>
      </w:pPr>
    </w:p>
    <w:p>
      <w:pPr>
        <w:ind w:left="1060" w:right="240" w:hanging="424"/>
        <w:spacing w:after="0" w:line="277" w:lineRule="auto"/>
        <w:tabs>
          <w:tab w:leader="none" w:pos="1060" w:val="left"/>
        </w:tabs>
        <w:numPr>
          <w:ilvl w:val="0"/>
          <w:numId w:val="60"/>
        </w:numPr>
        <w:rPr>
          <w:rFonts w:ascii="Arial" w:cs="Arial" w:eastAsia="Arial" w:hAnsi="Arial"/>
          <w:sz w:val="18"/>
          <w:szCs w:val="18"/>
          <w:color w:val="32406B"/>
        </w:rPr>
      </w:pPr>
      <w:r>
        <w:rPr>
          <w:rFonts w:ascii="Arial" w:cs="Arial" w:eastAsia="Arial" w:hAnsi="Arial"/>
          <w:sz w:val="18"/>
          <w:szCs w:val="18"/>
          <w:color w:val="32406B"/>
        </w:rPr>
        <w:t>AGA cross correction occurs by which AGA in plasma was taken up into cells confirming that efficacy of AGA is not limited only to the cells that receive the gene therapy.</w:t>
      </w:r>
    </w:p>
    <w:p>
      <w:pPr>
        <w:spacing w:after="0" w:line="75" w:lineRule="exact"/>
        <w:rPr>
          <w:rFonts w:ascii="Arial" w:cs="Arial" w:eastAsia="Arial" w:hAnsi="Arial"/>
          <w:sz w:val="18"/>
          <w:szCs w:val="18"/>
          <w:color w:val="32406B"/>
        </w:rPr>
      </w:pPr>
    </w:p>
    <w:p>
      <w:pPr>
        <w:ind w:left="1060" w:right="100" w:hanging="424"/>
        <w:spacing w:after="0" w:line="277" w:lineRule="auto"/>
        <w:tabs>
          <w:tab w:leader="none" w:pos="1060" w:val="left"/>
        </w:tabs>
        <w:numPr>
          <w:ilvl w:val="0"/>
          <w:numId w:val="60"/>
        </w:numPr>
        <w:rPr>
          <w:rFonts w:ascii="Arial" w:cs="Arial" w:eastAsia="Arial" w:hAnsi="Arial"/>
          <w:sz w:val="18"/>
          <w:szCs w:val="18"/>
          <w:color w:val="32406B"/>
        </w:rPr>
      </w:pPr>
      <w:r>
        <w:rPr>
          <w:rFonts w:ascii="Arial" w:cs="Arial" w:eastAsia="Arial" w:hAnsi="Arial"/>
          <w:sz w:val="18"/>
          <w:szCs w:val="18"/>
          <w:color w:val="32406B"/>
        </w:rPr>
        <w:t>Lentiviral-based gene therapy targeting stem cells in mouse models of Fabry disease led to an elevated and sustained level of AGA enzyme activity in plasma.</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97</w:t>
      </w:r>
    </w:p>
    <w:p>
      <w:pPr>
        <w:sectPr>
          <w:pgSz w:w="11900" w:h="16838" w:orient="portrait"/>
          <w:cols w:equalWidth="0" w:num="1">
            <w:col w:w="11200"/>
          </w:cols>
          <w:pgMar w:left="24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Increased Enzyme Activity in Fabry Mouse Model After Receiving AVR-RD-01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172085</wp:posOffset>
            </wp:positionV>
            <wp:extent cx="2615565" cy="18694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1556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32406B"/>
        </w:rPr>
        <w:t>In a direct test of the ability of AVR-RD-01 to correct deficiencies in plasma AGA enzyme activity, a mouse model was created using a mouse strain in which the gene for AGA was inactivated. Human stem cells were extracted from patients with Fabry disease and the gene for AGA was added using a lentiviral vector to create AVR-RD-01. AVR-RD-01 was then introduced to the mice. Twelve weeks following administration, the levels of Gb3 in both the spleen and liver were reduced to a statistically significant extent compared to mice that received unmodified cells from patients with Fabry disease. The FDA utilizes reported statistical measures when evaluating the results of a clinical trial, including statistical significance as measured by p-value as an evidentiary standard of efficacy, to evaluate the reported evidence of a product candidate’s safety and efficacy. If not otherwise specified, we used a conventional 5% or lower p-value (p &lt; 0.05) to define statistical significance for the data presented in this prospectus. Levels in other tissues such as the heart and kidney also showed downward trends in Gb3. This study demonstrated that:</w:t>
      </w:r>
    </w:p>
    <w:p>
      <w:pPr>
        <w:spacing w:after="0" w:line="84" w:lineRule="exact"/>
        <w:rPr>
          <w:sz w:val="20"/>
          <w:szCs w:val="20"/>
          <w:color w:val="auto"/>
        </w:rPr>
      </w:pPr>
    </w:p>
    <w:p>
      <w:pPr>
        <w:ind w:left="1060" w:hanging="424"/>
        <w:spacing w:after="0"/>
        <w:tabs>
          <w:tab w:leader="none" w:pos="106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Our lentiviral vector could efficiently transform human stem cells into a gene therapy.</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AVR-RD-01 could engraft and replicate to produce progeny cells containing the AGA gene.</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The AGA gene was expressed and functionally active post-treatment.</w:t>
      </w:r>
    </w:p>
    <w:p>
      <w:pPr>
        <w:spacing w:after="0" w:line="130" w:lineRule="exact"/>
        <w:rPr>
          <w:rFonts w:ascii="Arial" w:cs="Arial" w:eastAsia="Arial" w:hAnsi="Arial"/>
          <w:sz w:val="18"/>
          <w:szCs w:val="18"/>
          <w:color w:val="32406B"/>
        </w:rPr>
      </w:pPr>
    </w:p>
    <w:p>
      <w:pPr>
        <w:ind w:left="1060" w:right="220" w:hanging="424"/>
        <w:spacing w:after="0" w:line="277" w:lineRule="auto"/>
        <w:tabs>
          <w:tab w:leader="none" w:pos="106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Cross correction of AGA produced by cells containing the functional AGA gene caused reductions in Gb3 in various tissues in the mouse model.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98</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Significant Reduction in Gb3 Levels in Multiple Tissues in a NOD/SCID/Fabry Mouse Model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After Receiving AVR-RD-01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160020</wp:posOffset>
            </wp:positionV>
            <wp:extent cx="2718435" cy="21012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1843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32406B"/>
        </w:rPr>
        <w:t>In addition, in a peer reviewed publication, overexpression of functional AGA with levels as high as 3,000 times the normal range in the mouse model over an 18 month period was not linked to toxicity or adverse effects as determined by long-term animal studies, implying a wide therapeutic window.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AVR-RD-02, Our Gene Therapy for Gaucher Disease</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We are developing AVR-RD-02 for the treatment of Type 1 Gaucher disease. We will manufacture AVR-RD-02 from hematopoietic stem cells that are first extracted from the patient, modified to add the gene that encodes for glucocerebrosidase, or GCase, and then infused into the patient. We plan to initiate a Phase 1/2 clinical trial for AVR-RD-02 in patients with Type 1 Gaucher disease and expect to dose the first patient in this clinical trial in 2019 following our filing of a Clinical Trial Application, or CTA, in Canada.</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Disease Overview</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32406B"/>
        </w:rPr>
        <w:t>Gaucher disease is a rare, autosomal recessive, lysosomal storage disease caused by a hereditary deficiency of functional GCase, an enzyme responsible for degrading glucocerebroside, a cell membrane building block, into glucose and lipids within lysosomes of cells. In patients with Gaucher disease, the recycling of glucocerebroside from the breakdown of old red and white blood cells is inhibited, leading to its accumulation in macrophages. These abnormal macrophages, known as Gaucher cells, accumulate in multiple organs, particularly the liver, spleen and bone marrow.</w:t>
      </w:r>
    </w:p>
    <w:p>
      <w:pPr>
        <w:spacing w:after="0" w:line="154"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Gaucher disease is one of the most common lysosomal storage diseases. It is diagnosed in approximately one in 44,000 births worldwide and is more prevalent in certain ethnic groups, such as people of Ashkenazi Jewish heritage. Approximately 90% of patients suffering from Gaucher disease in western countries have Type 1 Gaucher disease, which manifests as multiple morbidities including enlargement of the spleen and liver, low red blood cells, or anemia, low platelet count, or thrombocytopenia, and bone abnormalities including bone pain, fractures and arthritis. Bruising, risk of bleeding and fatigue are common due to the thrombocytopenia and anemia. Type 1 Gaucher disease does not have manifestations of central nervous system symptoms.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Limitations of Current Therapies</w:t>
      </w:r>
    </w:p>
    <w:p>
      <w:pPr>
        <w:spacing w:after="0" w:line="11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32406B"/>
        </w:rPr>
        <w:t>Type 1 Gaucher disease is currently treated with bi-weekly infusions of ERT consisting of recombinant GCase over a patient’s lifetime. The most commonly prescribed ERTs for Gaucher disease are Cerezyme, marketed by Sanofi Genzyme, and VPRIV, marketed by Shire.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99</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32406B"/>
        </w:rPr>
        <w:t>Although long-term ERT for Gaucher disease results in some therapeutic benefit, ERTs leave patients with significant unmet needs. Twenty-five percent of patients with Gaucher disease continue to experience physical limitations following two years of ERT, and a clinically significant percentage of patients continue to experience bone pain, thrombocytopenia and enlargement of spleen following ten years of ERT. In a published study of ERT therapy for Gaucher disease, six target goals were evaluated, including parameters for hemoglobin and platelet levels, spleen and liver volumes, and general bone pain and severe disabling bone pain known as bone crisis. Following at least four years of ERT in this study, approximately 60% of patients failed to achieve at least one of these target goals. In addition, up to 15% of patients with Gaucher disease develop antibodies that limit the efficacy of the ERT.</w:t>
      </w:r>
    </w:p>
    <w:p>
      <w:pPr>
        <w:spacing w:after="0" w:line="18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32406B"/>
        </w:rPr>
        <w:t>In addition to ERTs, the FDA has approved several oral therapies for the treatment of Gaucher disease, including Zavesca (miglustat) marketed by Actelion and Cerdelga (eliglustat) marketed by Sanofi Genzyme. We believe these oral therapies also provide suboptimal treatment. Zavesca is approved as a second line therapy and is associated with significant toxicities, including diarrhea, weight loss and tremors. Cerdelga is not approved for use in children, has highly variable metabolism due to patient-to-patient genetic variations and is highly susceptible to interactions with other drugs.</w:t>
      </w:r>
    </w:p>
    <w:p>
      <w:pPr>
        <w:spacing w:after="0" w:line="154"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32406B"/>
        </w:rPr>
        <w:t>Both ERTs and oral therapies for Gaucher impose significant costs on the healthcare system. In the United States, the annual average cost to the healthcare system per patient prescribed Cerezyme or VPRIV is between approximately $325,000 and $400,000. The annual average cost to the healthcare system per patient prescribed Cerdelga is approximately $250,000. In 2017, Genzyme’s Cerezyme and Cerdelga together generated worldwide net sales of over $1.0 billion and Shire’s VPRIV generated worldwide net sales of approximately $350 million.</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Solution</w:t>
      </w:r>
    </w:p>
    <w:p>
      <w:pPr>
        <w:spacing w:after="0" w:line="12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32406B"/>
        </w:rPr>
        <w:t xml:space="preserve">We are developing AVR-RD-02 to potentially cure patients with Gaucher disease with a single dose of the patient’s own hematopoietic stem cells modified in an </w:t>
      </w:r>
      <w:r>
        <w:rPr>
          <w:rFonts w:ascii="Arial" w:cs="Arial" w:eastAsia="Arial" w:hAnsi="Arial"/>
          <w:sz w:val="17"/>
          <w:szCs w:val="17"/>
          <w:i w:val="1"/>
          <w:iCs w:val="1"/>
          <w:color w:val="32406B"/>
        </w:rPr>
        <w:t>ex vivo</w:t>
      </w:r>
      <w:r>
        <w:rPr>
          <w:rFonts w:ascii="Arial" w:cs="Arial" w:eastAsia="Arial" w:hAnsi="Arial"/>
          <w:sz w:val="17"/>
          <w:szCs w:val="17"/>
          <w:color w:val="32406B"/>
        </w:rPr>
        <w:t xml:space="preserve"> procedure. AVR-RD-02 is a lentiviral-based gene therapy that contains a codon-optimized human gene and is designed to maximize the likelihood of sustained GCase production in hematopoietic stem cells and their progeny.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Upcoming Clinical Trial</w:t>
      </w:r>
    </w:p>
    <w:p>
      <w:pPr>
        <w:spacing w:after="0" w:line="117" w:lineRule="exact"/>
        <w:rPr>
          <w:sz w:val="20"/>
          <w:szCs w:val="20"/>
          <w:color w:val="auto"/>
        </w:rPr>
      </w:pPr>
    </w:p>
    <w:p>
      <w:pPr>
        <w:ind w:left="200" w:right="180" w:firstLine="441"/>
        <w:spacing w:after="0" w:line="272" w:lineRule="auto"/>
        <w:rPr>
          <w:sz w:val="20"/>
          <w:szCs w:val="20"/>
          <w:color w:val="auto"/>
        </w:rPr>
      </w:pPr>
      <w:r>
        <w:rPr>
          <w:rFonts w:ascii="Arial" w:cs="Arial" w:eastAsia="Arial" w:hAnsi="Arial"/>
          <w:sz w:val="17"/>
          <w:szCs w:val="17"/>
          <w:color w:val="32406B"/>
        </w:rPr>
        <w:t>We plan to initiate a Phase 1/2 clinical trial of AVR-RD-02 in patients with Type 1 Gaucher disease and to begin dosing patients in this clinical trial in 2019. We plan to file a CTA in Canada for this trial in the second half of 2018. Our initial clinical trial will be an adaptive trial that will include both treatment-naïve patients and patients that are currently stable on ERT. We intend to enroll 8 to 16 patients, between the ages of 16 and 35, with Type 1 Gaucher disease. Patients currently prescribed ERT will cease treatment throughout the clinical trial. All enrolled patients will receive a single treatment with AVR-RD-02 and will be followed for 52 weeks to measure safety and efficacy. Our efficacy endpoints for this clinical trial will include measures of clinical efficacy, such as liver and spleen volumes, hemoglobin, platelet counts, bone pain and bone density measures along with other blood markers used in Gaucher disease.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Preclinical Data</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32406B"/>
        </w:rPr>
        <w:t xml:space="preserve">AVR-RD-02 is based on extensive preclinical work from our collaborators at Lund University and leverages findings published in 2015 in </w:t>
      </w:r>
      <w:r>
        <w:rPr>
          <w:rFonts w:ascii="Arial" w:cs="Arial" w:eastAsia="Arial" w:hAnsi="Arial"/>
          <w:sz w:val="18"/>
          <w:szCs w:val="18"/>
          <w:i w:val="1"/>
          <w:iCs w:val="1"/>
          <w:color w:val="32406B"/>
        </w:rPr>
        <w:t xml:space="preserve">Molecular Therapy </w:t>
      </w:r>
      <w:r>
        <w:rPr>
          <w:rFonts w:ascii="Arial" w:cs="Arial" w:eastAsia="Arial" w:hAnsi="Arial"/>
          <w:sz w:val="18"/>
          <w:szCs w:val="18"/>
          <w:color w:val="32406B"/>
        </w:rPr>
        <w:t>which concluded that, in a Gaucher disease mouse model, a lentiviral-based gene therapy containing the gene for GCase could</w:t>
      </w:r>
      <w:r>
        <w:rPr>
          <w:rFonts w:ascii="Arial" w:cs="Arial" w:eastAsia="Arial" w:hAnsi="Arial"/>
          <w:sz w:val="18"/>
          <w:szCs w:val="18"/>
          <w:i w:val="1"/>
          <w:iCs w:val="1"/>
          <w:color w:val="32406B"/>
        </w:rPr>
        <w:t xml:space="preserve"> </w:t>
      </w:r>
      <w:r>
        <w:rPr>
          <w:rFonts w:ascii="Arial" w:cs="Arial" w:eastAsia="Arial" w:hAnsi="Arial"/>
          <w:sz w:val="18"/>
          <w:szCs w:val="18"/>
          <w:color w:val="32406B"/>
        </w:rPr>
        <w:t>prevent the development and reverse clinically relevant signs of the disease.</w:t>
      </w:r>
    </w:p>
    <w:p>
      <w:pPr>
        <w:spacing w:after="0" w:line="18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32406B"/>
        </w:rPr>
        <w:t>In preclinical studies, a mouse model of Gaucher disease exhibited increased glucocerebroside levels in the clinically-relevant tissues, the bone marrow, spleen and liver, and mimicked many of the same symptoms seen in patients such as an enlarged spleen. These preclinical studies assessed glucocerebroside levels, Gaucher cell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100</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32406B"/>
        </w:rPr>
        <w:t>infiltration, and spleen volume in the mouse model over 20 weeks following treatment with AVR-RD-02. When mice with established disease were treated with AVR-RD-02, glucocerebroside levels decreased and symptoms such as an enlarged spleen were reversed within 20 weeks. Over this period, increased enzyme levels were observed in the bone marrow, spleen and liver in the mouse model. In addition, the mice that were treated with AVR-RD-02 prior to manifesting symptoms did not develop symptoms of the disease. These data support the potential efficacy of AVR-RD-02 to prevent, as well as reverse, symptoms in patients with Gaucher disease.</w:t>
      </w:r>
    </w:p>
    <w:p>
      <w:pPr>
        <w:spacing w:after="0" w:line="40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AVR-RD-02 Leads to a Significant Reduction in Glucocerebroside Levels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Across Multiple Clinically-relevant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160020</wp:posOffset>
            </wp:positionV>
            <wp:extent cx="3730625" cy="23755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73062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color w:val="32406B"/>
        </w:rPr>
        <w:t xml:space="preserve">Ex Vivo </w:t>
      </w:r>
      <w:r>
        <w:rPr>
          <w:rFonts w:ascii="Arial" w:cs="Arial" w:eastAsia="Arial" w:hAnsi="Arial"/>
          <w:sz w:val="18"/>
          <w:szCs w:val="18"/>
          <w:b w:val="1"/>
          <w:bCs w:val="1"/>
          <w:color w:val="32406B"/>
        </w:rPr>
        <w:t>Lentiviral-based Gene Therapy Leads to a Significant Reduction in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Spleen Volume in a Mouse Model of Gaucher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160020</wp:posOffset>
            </wp:positionV>
            <wp:extent cx="3730625" cy="21094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73062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101</w:t>
      </w:r>
    </w:p>
    <w:p>
      <w:pPr>
        <w:sectPr>
          <w:pgSz w:w="11900" w:h="16838" w:orient="portrait"/>
          <w:cols w:equalWidth="0" w:num="1">
            <w:col w:w="11160"/>
          </w:cols>
          <w:pgMar w:left="240" w:top="459"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AVR-RD-03, Our Gene Therapy for Pompe Disease</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We are developing AVR-RD-03 for the treatment of Pompe disease. We will manufacture AVR-RD-03 from hematopoietic stem cells that are first extracted from the patient, modified to add the gene that encodes for acid alpha glucosidase A, or GAA, attached to a peptide sequence known as a glycosylation-independent lysosomal targeting, or GILT, tag and then infused into the patient. AVR-RD-03 will incorporate a GILT tag because the GILT tag has been found to increase the uptake of GAA into cells, especially in muscle cells by a multiple of 25, which is a particularly important target tissue for patients with Pompe disease.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Disease Overview</w:t>
      </w:r>
    </w:p>
    <w:p>
      <w:pPr>
        <w:spacing w:after="0" w:line="11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32406B"/>
        </w:rPr>
        <w:t>Pompe disease is a rare, autosomal recessive lysosomal storage disease caused by a mutation in the gene that encodes for GAA that results in the buildup of glycogen, a complex sugar, in the body’s cells. The accumulation of glycogen in certain organs and tissues, especially muscles, impairs normal tissue and organ function. Patients with Pompe disease experience serious muscle related problems, including progressive muscle weakness, especially in the legs and trunk, and the muscles that control breathing. As the disorder progresses, breathing problems can lead to respiratory failure.</w:t>
      </w:r>
    </w:p>
    <w:p>
      <w:pPr>
        <w:spacing w:after="0" w:line="154"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32406B"/>
        </w:rPr>
        <w:t>The overall diagnosed incidence of Pompe disease is estimated to be approximately one in 58,000 people although frequency and disease progression varies with age of onset, ethnicity and geography. Overall diagnosed incidence of Pompe disease is projected to increase to one in 22,000 people as it is increasingly included in newborn screening panels.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The severity of Pompe disease symptoms and rate of progression is highly variable and correlated with age of symptom onset and the degree of enzyme deficiency. Infantile or early onset disease, the most severe form of Pompe disease, accounts for approximately 25% of all affected patients. Those with early-onset disease are usually diagnosed in the first few months of life. Left untreated, these patients can die due to heart failure, respiratory distress or malnutrition resulting from feeding difficulties within the first year of life. Patients with late-onset disease typically have higher enzyme levels and usually have symptoms such as reduced mobility and respiratory problems. Late-onset patients experience progressive difficulty walking and respiratory decline. While life expectancy can vary, Pompe disease is a life-limiting disease that can result in death due to complications from respiratory failure.</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Limitations of Current Therapies</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32406B"/>
        </w:rPr>
        <w:t>Pompe disease is currently treated with ERT delivered by bi-weekly intravenous infusion. The only approved therapy for Pompe disease is Lumizyme (known as Myozyme outside of the United States), marketed by Sanofi Genzyme, which generated worldwide net sales of over $950 million in 2017. The annual average cost to the healthcare system per patient prescribed Lumizyme in the United States is approximately $500,000.</w:t>
      </w:r>
    </w:p>
    <w:p>
      <w:pPr>
        <w:spacing w:after="0" w:line="14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Though patients treated with ERT for Pompe disease have improved survival and respiratory function, ERT is not curative, and patients in long-term observational studies continue to have increased risk of heart failure and have residual muscle weakness including difficulties swallowing with risk of aspiration. One challenge with ERT treatment for Pompe disease is that a standard dose requires approximately twenty-fold more enzyme compared to standard doses for Fabry or Gaucher diseases. Large doses of Lumizyme that are delivered systemically in order to achieve potentially therapeutic levels in the target tissues result in approximately 90% of patients developing antibodies against the therapy. These antibody responses may impact both the efficacy and safety of Lumizyme. The FDA approval of Lumizyme carries a black box warning related to the risk of severe allergic and immune mediated reactions, including life-threatening anaphylaxis.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Solution</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32406B"/>
        </w:rPr>
        <w:t>We are in early preclinical development of AVR-RD-03 to potentially cure patients with late-onset Pompe disease. We are developing AVR-RD-03 to be a gene therapy product containing a codon-optimized human gene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102</w:t>
      </w:r>
    </w:p>
    <w:p>
      <w:pPr>
        <w:sectPr>
          <w:pgSz w:w="11900" w:h="16838" w:orient="portrait"/>
          <w:cols w:equalWidth="0" w:num="1">
            <w:col w:w="11180"/>
          </w:cols>
          <w:pgMar w:left="24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32406B"/>
        </w:rPr>
        <w:t>for GAA attached to a GILT tag designed to increase uptake of GAA in muscle cells. AVR-RD-03 will target patients with late onset Pompe disease, which represent the majority of patients with this disease.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Preclinical Data</w:t>
      </w:r>
    </w:p>
    <w:p>
      <w:pPr>
        <w:spacing w:after="0" w:line="11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32406B"/>
        </w:rPr>
        <w:t>Published preclinical results from a mouse model of Pompe disease support the potential of lentiviral-based gene expression of GAA to prevent some of the symptoms of GAA deficiency. These results also demonstrated the need to further increase the uptake of GAA into muscle cells to treat patients, which is a known challenge for ERTs and leads to the use of large quantities of enzyme to attempt to deliver effective treatment levels.</w:t>
      </w:r>
    </w:p>
    <w:p>
      <w:pPr>
        <w:spacing w:after="0" w:line="14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32406B"/>
        </w:rPr>
        <w:t>In these published preclinical results from a mouse model of Pompe disease, treatment utilizing a lentiviral vector encoding GAA led to increased levels of active enzyme across multiple organs and tissues, including clinically relevant tissues such as heart and diaphragm. This enzyme activity was correlated with reductions in glycogen storage in these tissues. While reduction in left ventricular mass and normalization of heart rate were observed in the mouse models seven to eight months following treatment with this lentiviral-based gene expression of GAA, only lesser improvements in other muscles, such as skeletal muscle strength, were observed.</w:t>
      </w:r>
    </w:p>
    <w:p>
      <w:pPr>
        <w:spacing w:after="0" w:line="188" w:lineRule="exact"/>
        <w:rPr>
          <w:sz w:val="20"/>
          <w:szCs w:val="20"/>
          <w:color w:val="auto"/>
        </w:rPr>
      </w:pPr>
    </w:p>
    <w:p>
      <w:pPr>
        <w:jc w:val="both"/>
        <w:ind w:left="200" w:right="220" w:firstLine="441"/>
        <w:spacing w:after="0" w:line="259" w:lineRule="auto"/>
        <w:rPr>
          <w:sz w:val="20"/>
          <w:szCs w:val="20"/>
          <w:color w:val="auto"/>
        </w:rPr>
      </w:pPr>
      <w:r>
        <w:rPr>
          <w:rFonts w:ascii="Arial" w:cs="Arial" w:eastAsia="Arial" w:hAnsi="Arial"/>
          <w:sz w:val="18"/>
          <w:szCs w:val="18"/>
          <w:color w:val="32406B"/>
        </w:rPr>
        <w:t>We believe we can use a GILT tag to address the known challenges of skeletal muscle uptake in patients with Pompe disease. Attachment of a GILT tag to a particular protein can increase the effective uptake of the protein into target tissues. We are designing AVR-RD-03 to use a GILT tag to facilitate GAA uptake into cells and thereby reduce the therapeutically required amount of GAA produced by a patient’s cells following gene therapy treatment.</w:t>
      </w:r>
    </w:p>
    <w:p>
      <w:pPr>
        <w:spacing w:after="0" w:line="187"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32406B"/>
        </w:rPr>
        <w:t>In mouse models of Pompe, administration of recombinant GAA with the GILT tag demonstrated significant reduction in glycogen in cardiac and skeletal muscles as compared to the administration of recombinant GAA alone. We licensed GILT tag technology from BioMarin and are incorporating a GILT tag into our lentiviral vector with the goal of the patient producing GILT-tagged GAA following treatment with AVR-RD-03.</w:t>
      </w: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GILT-tag Version of Recombinant Human (rh)GAA Impact on Levels of Stored Glycogen Compared to</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non GILT-tagged Recombinant Human (rh)GAA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160020</wp:posOffset>
            </wp:positionV>
            <wp:extent cx="4853940" cy="22980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85394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AVR-RD-04, Our Gene Therapy for Cystinosis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32406B"/>
        </w:rPr>
        <w:t>We are developing AVR-RD-04 for the treatment of patients with cystinosis. We will manufacture AVR-RD-04 from hematopoietic stem cells that are first extracted from the patient, modified to add the gene that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103</w:t>
      </w:r>
    </w:p>
    <w:p>
      <w:pPr>
        <w:sectPr>
          <w:pgSz w:w="11900" w:h="16838" w:orient="portrait"/>
          <w:cols w:equalWidth="0" w:num="1">
            <w:col w:w="11180"/>
          </w:cols>
          <w:pgMar w:left="24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32406B"/>
        </w:rPr>
        <w:t>encodes for cystinosin, and then infused into the patient. In a planned academic sponsored Phase 1/2 clinical trial, we expect the first patient will be dosed in 2019.</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Disease Overview</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Cystinosis is a rare, genetic, autosomal recessive, lysosomal storage disease caused by the accumulation of the amino acid cystine that is produced in the lysosomes of cells as the result of protein degradation. Cystine is normally transported through the lysosomal membrane to the cytosol where it is reutilized after its transformation to cysteine. In cystinosis, cystine accumulates inside the lysosomes because of a defect in the gene that encodes cystinosin, a protein that transports cystine across the lysosomal membrane. Cystine is poorly soluble and forms crystals as its concentration increases. These crystals build up and cause complications in many organs and tissues. The kidneys and eyes are especially vulnerable to damage, and the muscles, thyroid, pancreas and testes may also be affected.</w:t>
      </w:r>
    </w:p>
    <w:p>
      <w:pPr>
        <w:spacing w:after="0" w:line="19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32406B"/>
        </w:rPr>
        <w:t>The most severe form of cystinosis begins in infancy, causing poor growth and a particular type of kidney damage in which certain molecules, such as glucose, amino acids, phosphate, and bicarbonate, that should be reabsorbed into the bloodstream are instead eliminated in the urine. These renal problems ultimately lead to impaired growth and may result in soft, bowed bones, especially in the legs. By the time the patient is approximately two years old, cystine crystals may be present in the cornea, and the buildup of these crystals in the eye causes pain and an increased sensitivity to light. Untreated children with cystinosis may experience complete kidney failure by the age of ten. Other signs and symptoms that may occur in untreated patients, especially after adolescence, include muscle deterioration, blindness, inability to swallow, diabetes, thyroid and nervous system problems. More than 90% of untreated patients require a kidney transplant before the age of 20. It is estimated that cystinosis disease is diagnosed in approximately one in 170,000 people.</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Limitations of Current Therapies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32406B"/>
        </w:rPr>
        <w:t>Cystinosis is currently treated with two oral formulations of cysteamine that enter the lysosome and stimulate the breakdown of cystine into products that do not require the cystinosin protein to be transported. Oral treatment can delay the development of kidney failure by six to ten years if it is started at a very early age, however it cannot prevent kidney failure or the development of other complications, such as the formation of cystine crystals in the cornea. The approved oral therapies for cystinosis are Procysbi (delayed release cysteamine bitartrate), marketed by Horizon Orphan and Cystagon (cysteamine bitartrate) marketed by Mylan. The annual average cost to the healthcare system per patient prescribed Procysbi in the United States is between approximately $625,000 and $750,000.</w:t>
      </w:r>
    </w:p>
    <w:p>
      <w:pPr>
        <w:spacing w:after="0" w:line="178"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32406B"/>
        </w:rPr>
        <w:t>Procysbi and Cystagon must be taken orally every 12 or six hours, respectively, leading to significant pill burden and compliance challenges. Because cysteamine works by directly binding to cystine, rather than through a typical small molecule that inhibits an enzyme or receptor, a substantial quantity is required. For adults, this can mean taking at least 12 capsules twice a day, every day. Oral therapy with cysteamine is associated with a high degree of noncompliance due to the frequency with which it must be dosed and the accompanying nausea, as well as the acrid sulfur smell that it produces in the breath and body. It has been estimated that only one third of patients are able to adhere to the strict dosing schedule. Studies have shown that adherence diminishes over time in adolescents and adults despite disease impact. Further, oral cysteamine treatment has no effect on ocular cystine crystals deposits, thus requiring patients to be treated with topical cysteamine eye drops which must be applied each hour the patient is awake.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Solution</w:t>
      </w:r>
    </w:p>
    <w:p>
      <w:pPr>
        <w:spacing w:after="0" w:line="121"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32406B"/>
        </w:rPr>
        <w:t xml:space="preserve">We are developing AVR-RD-04 to potentially cure patients with cystinosis with a single dose of the patient’s own hematopoietic stem cells modified in an </w:t>
      </w:r>
      <w:r>
        <w:rPr>
          <w:rFonts w:ascii="Arial" w:cs="Arial" w:eastAsia="Arial" w:hAnsi="Arial"/>
          <w:sz w:val="18"/>
          <w:szCs w:val="18"/>
          <w:i w:val="1"/>
          <w:iCs w:val="1"/>
          <w:color w:val="32406B"/>
        </w:rPr>
        <w:t>ex vivo</w:t>
      </w:r>
      <w:r>
        <w:rPr>
          <w:rFonts w:ascii="Arial" w:cs="Arial" w:eastAsia="Arial" w:hAnsi="Arial"/>
          <w:sz w:val="18"/>
          <w:szCs w:val="18"/>
          <w:color w:val="32406B"/>
        </w:rPr>
        <w:t xml:space="preserve"> procedure. AVR-RD-04 is a lentiviral-based gene therapy containing a human gene for cystinosin designed to maximize the likelihood of sustained cystinosin production in hematopoietic stem cells and their progeny.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104</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Upcoming Clinical Trial</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In a planned Phase 1/2 clinical trial of AVR-RD-04 that will be conducted by our collaborators at the University of California, San Diego, six patients with cystinosis who are currently being treated with cysteamine will be enrolled. Cystine levels in tissues such as white blood cells and skin will be followed in these patients as well as cystine crystal counts in the eye. Clinical parameters such as kidney function, muscle strength, bone density, and endocrine function will also be followed with the intent of identifying appropriate parameters to inform future clinical development. We expect that patients enrolled in this trial will undergo a more extensive conditioning regimen instead of the milder conditioning regimen we use for our other target indications. Our collaborators plan to submit an investigational new drug application, or IND, in the U.S. prior to commencing this planned clinical trial.</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Preclinical Data</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32406B"/>
        </w:rPr>
        <w:t>In order to mimic the human disease, the mouse model for cystinosis has the gene for cystinosin disrupted, resulting in the inability of the cystinosin protein to transport cystine out of the lysosomes. This ultimately results in the accumulation of cystine in all tissues similar to that seen in patients with cystinosis. The ability of mouse stem cells modified with a lentiviral vector containing the gene for human cystinosin to treat cystinosis was then tested in the affected mice.</w:t>
      </w:r>
    </w:p>
    <w:p>
      <w:pPr>
        <w:spacing w:after="0" w:line="187" w:lineRule="exact"/>
        <w:rPr>
          <w:sz w:val="20"/>
          <w:szCs w:val="20"/>
          <w:color w:val="auto"/>
        </w:rPr>
      </w:pPr>
    </w:p>
    <w:p>
      <w:pPr>
        <w:jc w:val="both"/>
        <w:ind w:left="200" w:right="260" w:firstLine="441"/>
        <w:spacing w:after="0" w:line="286" w:lineRule="auto"/>
        <w:rPr>
          <w:sz w:val="20"/>
          <w:szCs w:val="20"/>
          <w:color w:val="auto"/>
        </w:rPr>
      </w:pPr>
      <w:r>
        <w:rPr>
          <w:rFonts w:ascii="Arial" w:cs="Arial" w:eastAsia="Arial" w:hAnsi="Arial"/>
          <w:sz w:val="17"/>
          <w:szCs w:val="17"/>
          <w:color w:val="32406B"/>
        </w:rPr>
        <w:t>Introduction of AVR-RD-04 into the diseased mice was observed to significantly lower cystine levels in tissues such as the liver, spleen and, in male mice, the kidney. These lower levels persisted until the end of the experiment at eight months. AVR-RD-04 treatment was also associated with potentially improved kidney function in male mice, thus addressing an essential clinical need in patients with cystinosis.</w:t>
      </w:r>
    </w:p>
    <w:p>
      <w:pPr>
        <w:spacing w:after="0" w:line="378"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32406B"/>
        </w:rPr>
        <w:t>AVR-RD-04 Leads to Lower Cystine Levels in Multiple Tissues in a Mouse Model of Cystinosis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172085</wp:posOffset>
            </wp:positionV>
            <wp:extent cx="3164205" cy="19297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6420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In a separate experiment in this cystinosis mouse model, lentiviral-marked hematopoietic stem cell transplant using normal mouse stem cells led to the reduction of cystine crystals in the cornea, a clinically significant tissue in patients with cystinsosis. In this cystinosis mouse model, affected mice develop eye disease similar to humans, including crystal deposits in the cornea, central corneal opacification, loss of corneal cellular architecture and eventually a scarred, shrunken eye with no function. Published results from this study demonstrate that abundant hematopoetic stem cell-derived macrophages migrated into the cornea and provided functional cystinosin-bearing lysosomes to the corneal cells. The images below reflect the elimination of cystine crystals in the cornea of the mice following engraftment of the modified allogeneic stem cells. As the level of allogeneic stem cell engraftment increased, greater elimination of the cystine crystals was observed. This indicates that stem cells can migrate to the cornea and cross-correct corneal cells. This result demonstrates that it is possible to correct for the defective cystinosin gene in the eye indirectly through expression of the gene in hematopoietic cells.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105</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Transplantation of Allogeneic Hematopoietic Stem Cells Results in Reduction of</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Cystine Crystals in Corneas of Cystinosis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160020</wp:posOffset>
            </wp:positionV>
            <wp:extent cx="4965700" cy="16554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65700"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Manufacturing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Industrializing Our Gene Therapies Through Our Outsourced Manufacture and Supply Network</w:t>
      </w:r>
    </w:p>
    <w:p>
      <w:pPr>
        <w:spacing w:after="0" w:line="117"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32406B"/>
        </w:rPr>
        <w:t>Our team has leveraged their broad expertise in the manufacturing of gene and cellular therapies to build a global network of CMO partners for the development and manufacture of drug products and outsourced suppliers for the supply of vectors and plasmids. We believe that our third-party CMO partners and suppliers have capacity to accommodate current and future clinical trials and we are continuing to build a global network that will have capacity to generate sufficient quantities to meet our expected commercial needs.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To optimize production of our gene therapies, we are moving our cell processing to an automated, closed system using all disposable supplies. We believe this industrialized manufacturing process will enable a repeatable approach through which we can design and manufacture commercially viable lentiviral gene therapies to potentially treat a large variety of genetic disorders. We expect that our automation of the manufacturing processes will further increase our CMO partners’ manufacturing capacity.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Producing a Patient’s Gene Therapy</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32406B"/>
        </w:rPr>
        <w:t>We start the process to produce a patient’s gene therapy with the mobilization of a patient’s stem cells from the bone marrow to the blood stream and isolate them using a standard procedure used in stem cell transplants. We then treat these cells with a lentiviral vector to insert a functional copy of the gene that is defective in the target disease in a 48-hour process. We preserve patients’ modified cells at a very low temperature, using cryopreservation to maintain the cellular material in optimal condition until it is thawed prior to being infused into the patient. The cryopreservation allows us to conduct a number of tests to validate the modified cells prior to introducing them into the patient.</w:t>
      </w:r>
    </w:p>
    <w:p>
      <w:pPr>
        <w:spacing w:after="0" w:line="173"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32406B"/>
        </w:rPr>
        <w:t>Prior to infusion of the gene therapy-modified cells into the patient, the patients undergo a conditioning regimen to remove some of the patient’s unmodified cells from the bone marrow to create sufficient space for the modified hematopoietic stem cells to engraft and produce their progeny. The conditioning regimen used in our approach for AVR-RD-01, AVR-RD-02 and AVR-RD-03 is planned to be completed in an outpatient setting.</w:t>
      </w:r>
    </w:p>
    <w:p>
      <w:pPr>
        <w:spacing w:after="0" w:line="14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32406B"/>
        </w:rPr>
        <w:t>After the conditioning regimen is complete, the genetically-modified stem cells are infused into the patient by intravenous administration in an outpatient setting. After infusion, these cells engraft into the bone marrow, replicate and differentiate into various types of blood cells that will distribute throughout the body. These widely distributed cells lead to sustained expression of the desired therapeutic enzyme or other protein. The sustained expression of the functional enzyme or protein is a direct substitute for the protein currently delivered by ERTs, which require periodic infusions.</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106</w:t>
      </w:r>
    </w:p>
    <w:p>
      <w:pPr>
        <w:sectPr>
          <w:pgSz w:w="11900" w:h="16838" w:orient="portrait"/>
          <w:cols w:equalWidth="0" w:num="1">
            <w:col w:w="11180"/>
          </w:cols>
          <w:pgMar w:left="24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Intellectual Property and Other Barriers to Entry</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32406B"/>
        </w:rPr>
        <w:t>The proprietary nature of, or protection for, our gene therapy technology, our product candidates, our production methods and supply chain are an important part of our strategy to develop and commercialize novel therapies. To maximize the commercial opportunity for our gene therapies, if approved, we and our partners have been building and continue to build barriers to entry by our competitors, including:</w:t>
      </w:r>
    </w:p>
    <w:p>
      <w:pPr>
        <w:spacing w:after="0" w:line="71" w:lineRule="exact"/>
        <w:rPr>
          <w:sz w:val="20"/>
          <w:szCs w:val="20"/>
          <w:color w:val="auto"/>
        </w:rPr>
      </w:pPr>
    </w:p>
    <w:p>
      <w:pPr>
        <w:ind w:left="1060" w:hanging="424"/>
        <w:spacing w:after="0"/>
        <w:tabs>
          <w:tab w:leader="none" w:pos="1060" w:val="left"/>
        </w:tabs>
        <w:numPr>
          <w:ilvl w:val="0"/>
          <w:numId w:val="62"/>
        </w:numPr>
        <w:rPr>
          <w:rFonts w:ascii="Arial" w:cs="Arial" w:eastAsia="Arial" w:hAnsi="Arial"/>
          <w:sz w:val="18"/>
          <w:szCs w:val="18"/>
          <w:color w:val="32406B"/>
        </w:rPr>
      </w:pPr>
      <w:r>
        <w:rPr>
          <w:rFonts w:ascii="Arial" w:cs="Arial" w:eastAsia="Arial" w:hAnsi="Arial"/>
          <w:sz w:val="18"/>
          <w:szCs w:val="18"/>
          <w:color w:val="32406B"/>
        </w:rPr>
        <w:t>We in-license and develop know-how, including data, relating to certain of our product candidates.</w:t>
      </w:r>
    </w:p>
    <w:p>
      <w:pPr>
        <w:spacing w:after="0" w:line="130" w:lineRule="exact"/>
        <w:rPr>
          <w:rFonts w:ascii="Arial" w:cs="Arial" w:eastAsia="Arial" w:hAnsi="Arial"/>
          <w:sz w:val="18"/>
          <w:szCs w:val="18"/>
          <w:color w:val="32406B"/>
        </w:rPr>
      </w:pPr>
    </w:p>
    <w:p>
      <w:pPr>
        <w:ind w:left="1060" w:right="400" w:hanging="424"/>
        <w:spacing w:after="0" w:line="277" w:lineRule="auto"/>
        <w:tabs>
          <w:tab w:leader="none" w:pos="1060" w:val="left"/>
        </w:tabs>
        <w:numPr>
          <w:ilvl w:val="0"/>
          <w:numId w:val="62"/>
        </w:numPr>
        <w:rPr>
          <w:rFonts w:ascii="Arial" w:cs="Arial" w:eastAsia="Arial" w:hAnsi="Arial"/>
          <w:sz w:val="18"/>
          <w:szCs w:val="18"/>
          <w:color w:val="32406B"/>
        </w:rPr>
      </w:pPr>
      <w:r>
        <w:rPr>
          <w:rFonts w:ascii="Arial" w:cs="Arial" w:eastAsia="Arial" w:hAnsi="Arial"/>
          <w:sz w:val="18"/>
          <w:szCs w:val="18"/>
          <w:color w:val="32406B"/>
        </w:rPr>
        <w:t>We rely on trade secret protection to protect aspects of our business that are not amenable to, or that we do not consider appropriate for, patent protection.</w:t>
      </w:r>
    </w:p>
    <w:p>
      <w:pPr>
        <w:spacing w:after="0" w:line="75" w:lineRule="exact"/>
        <w:rPr>
          <w:rFonts w:ascii="Arial" w:cs="Arial" w:eastAsia="Arial" w:hAnsi="Arial"/>
          <w:sz w:val="18"/>
          <w:szCs w:val="18"/>
          <w:color w:val="32406B"/>
        </w:rPr>
      </w:pPr>
    </w:p>
    <w:p>
      <w:pPr>
        <w:jc w:val="both"/>
        <w:ind w:left="1060" w:right="200" w:hanging="424"/>
        <w:spacing w:after="0" w:line="312" w:lineRule="auto"/>
        <w:tabs>
          <w:tab w:leader="none" w:pos="1060" w:val="left"/>
        </w:tabs>
        <w:numPr>
          <w:ilvl w:val="0"/>
          <w:numId w:val="62"/>
        </w:numPr>
        <w:rPr>
          <w:rFonts w:ascii="Arial" w:cs="Arial" w:eastAsia="Arial" w:hAnsi="Arial"/>
          <w:sz w:val="16"/>
          <w:szCs w:val="16"/>
          <w:color w:val="32406B"/>
        </w:rPr>
      </w:pPr>
      <w:r>
        <w:rPr>
          <w:rFonts w:ascii="Arial" w:cs="Arial" w:eastAsia="Arial" w:hAnsi="Arial"/>
          <w:sz w:val="16"/>
          <w:szCs w:val="16"/>
          <w:color w:val="32406B"/>
        </w:rPr>
        <w:t>Our management team has significant experience in cell processing and commercial-scale cellular therapy manufacturing. Leveraging this experience, we are building our global network of suppliers and CMO partners which combines their expertise in vector manufacturing, a closed, automated manufacturing system, production of current good manufacturing practices, or CGMP, materials and cryopreservation.</w:t>
      </w:r>
    </w:p>
    <w:p>
      <w:pPr>
        <w:spacing w:after="0" w:line="52" w:lineRule="exact"/>
        <w:rPr>
          <w:rFonts w:ascii="Arial" w:cs="Arial" w:eastAsia="Arial" w:hAnsi="Arial"/>
          <w:sz w:val="16"/>
          <w:szCs w:val="16"/>
          <w:color w:val="32406B"/>
        </w:rPr>
      </w:pPr>
    </w:p>
    <w:p>
      <w:pPr>
        <w:ind w:left="1060" w:hanging="424"/>
        <w:spacing w:after="0" w:line="286" w:lineRule="auto"/>
        <w:tabs>
          <w:tab w:leader="none" w:pos="1060" w:val="left"/>
        </w:tabs>
        <w:numPr>
          <w:ilvl w:val="0"/>
          <w:numId w:val="62"/>
        </w:numPr>
        <w:rPr>
          <w:rFonts w:ascii="Arial" w:cs="Arial" w:eastAsia="Arial" w:hAnsi="Arial"/>
          <w:sz w:val="17"/>
          <w:szCs w:val="17"/>
          <w:color w:val="32406B"/>
        </w:rPr>
      </w:pPr>
      <w:r>
        <w:rPr>
          <w:rFonts w:ascii="Arial" w:cs="Arial" w:eastAsia="Arial" w:hAnsi="Arial"/>
          <w:sz w:val="17"/>
          <w:szCs w:val="17"/>
          <w:color w:val="32406B"/>
        </w:rPr>
        <w:t>Our gene therapies are designed to potentially provide a curative benefit. If our gene therapies are approved before any other potentially curative treatments, we believe the benefits of our approach and the resulting first mover advantage may provide meaningful disincentive for companies seeking to develop potentially curative therapies that may compete with our own. See “—Competition.”</w:t>
      </w:r>
    </w:p>
    <w:p>
      <w:pPr>
        <w:spacing w:after="0" w:line="70" w:lineRule="exact"/>
        <w:rPr>
          <w:rFonts w:ascii="Arial" w:cs="Arial" w:eastAsia="Arial" w:hAnsi="Arial"/>
          <w:sz w:val="17"/>
          <w:szCs w:val="17"/>
          <w:color w:val="32406B"/>
        </w:rPr>
      </w:pPr>
    </w:p>
    <w:p>
      <w:pPr>
        <w:ind w:left="1060" w:right="180" w:hanging="424"/>
        <w:spacing w:after="0" w:line="259" w:lineRule="auto"/>
        <w:tabs>
          <w:tab w:leader="none" w:pos="1060" w:val="left"/>
        </w:tabs>
        <w:numPr>
          <w:ilvl w:val="0"/>
          <w:numId w:val="62"/>
        </w:numPr>
        <w:rPr>
          <w:rFonts w:ascii="Arial" w:cs="Arial" w:eastAsia="Arial" w:hAnsi="Arial"/>
          <w:sz w:val="18"/>
          <w:szCs w:val="18"/>
          <w:color w:val="32406B"/>
        </w:rPr>
      </w:pPr>
      <w:r>
        <w:rPr>
          <w:rFonts w:ascii="Arial" w:cs="Arial" w:eastAsia="Arial" w:hAnsi="Arial"/>
          <w:sz w:val="18"/>
          <w:szCs w:val="18"/>
          <w:color w:val="32406B"/>
        </w:rPr>
        <w:t>We are developing therapies to treat rare diseases and expect to pursue orphan drug designation in the United States and similar protection outside of the United States. These and other regulatory exclusivities, if granted or applicable, can prevent competitors, during the exclusivity period, from obtaining regulatory approval of the same drug or biological product for the same indication. See “—Government Regulation.”</w:t>
      </w:r>
    </w:p>
    <w:p>
      <w:pPr>
        <w:spacing w:after="0" w:line="92" w:lineRule="exact"/>
        <w:rPr>
          <w:rFonts w:ascii="Arial" w:cs="Arial" w:eastAsia="Arial" w:hAnsi="Arial"/>
          <w:sz w:val="18"/>
          <w:szCs w:val="18"/>
          <w:color w:val="32406B"/>
        </w:rPr>
      </w:pPr>
    </w:p>
    <w:p>
      <w:pPr>
        <w:ind w:left="1060" w:hanging="424"/>
        <w:spacing w:after="0"/>
        <w:tabs>
          <w:tab w:leader="none" w:pos="1060" w:val="left"/>
        </w:tabs>
        <w:numPr>
          <w:ilvl w:val="0"/>
          <w:numId w:val="62"/>
        </w:numPr>
        <w:rPr>
          <w:rFonts w:ascii="Arial" w:cs="Arial" w:eastAsia="Arial" w:hAnsi="Arial"/>
          <w:sz w:val="17"/>
          <w:szCs w:val="17"/>
          <w:color w:val="32406B"/>
        </w:rPr>
      </w:pPr>
      <w:r>
        <w:rPr>
          <w:rFonts w:ascii="Arial" w:cs="Arial" w:eastAsia="Arial" w:hAnsi="Arial"/>
          <w:sz w:val="17"/>
          <w:szCs w:val="17"/>
          <w:color w:val="32406B"/>
        </w:rPr>
        <w:t>We currently in-license, and we expect to file our own, patents and patent applications relating to certain of our product candidates.</w:t>
      </w:r>
    </w:p>
    <w:p>
      <w:pPr>
        <w:spacing w:after="0" w:line="23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32406B"/>
        </w:rPr>
        <w:t>We have in-licensed patents and patent applications from BioMarin Pharmaceutical Inc., and GenStem Therapeutics, Inc., directed to compositions and methods related to the manufacture and use of certain of our gene therapies. In addition, we have in-licensed certain intellectual property rights and know-how from the University Health Network and affiliates of Lund University. For example, we have in-licensed know-how and data related to AVR-RD-01, including certain information about the vector and its use, from University Health Network, and we have in-licensed know-how and data related to AVR-RD-02, including certain information about the vector and its use, from certain professors affiliated with Lund University. Each of our licenses are limited to particular fields, such as Fabry disease, Gaucher disease, Pompe disease, or cystinosis, and are subject to certain retained rights. We do not control the prosecution and maintenance of all of our in-licensed patents and patent applications, and our rights to enforce the patents are limited in certain ways. For additional detail regarding the risks associated with our license agreements see “Risk Factors—Risks Related to Intellectual Property.”</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As of March 31, 2018, our in-licensed patent portfolio relating to certain of our gene therapies included the following:</w:t>
      </w:r>
    </w:p>
    <w:p>
      <w:pPr>
        <w:spacing w:after="0" w:line="131" w:lineRule="exact"/>
        <w:rPr>
          <w:sz w:val="20"/>
          <w:szCs w:val="20"/>
          <w:color w:val="auto"/>
        </w:rPr>
      </w:pPr>
    </w:p>
    <w:p>
      <w:pPr>
        <w:ind w:left="1060" w:right="20" w:hanging="424"/>
        <w:spacing w:after="0" w:line="279" w:lineRule="auto"/>
        <w:tabs>
          <w:tab w:leader="none" w:pos="1060" w:val="left"/>
        </w:tabs>
        <w:numPr>
          <w:ilvl w:val="0"/>
          <w:numId w:val="63"/>
        </w:numPr>
        <w:rPr>
          <w:rFonts w:ascii="Arial" w:cs="Arial" w:eastAsia="Arial" w:hAnsi="Arial"/>
          <w:sz w:val="17"/>
          <w:szCs w:val="17"/>
          <w:color w:val="32406B"/>
        </w:rPr>
      </w:pPr>
      <w:r>
        <w:rPr>
          <w:rFonts w:ascii="Arial" w:cs="Arial" w:eastAsia="Arial" w:hAnsi="Arial"/>
          <w:sz w:val="17"/>
          <w:szCs w:val="17"/>
          <w:i w:val="1"/>
          <w:iCs w:val="1"/>
          <w:color w:val="32406B"/>
        </w:rPr>
        <w:t>AVR-RD-03</w:t>
      </w:r>
      <w:r>
        <w:rPr>
          <w:rFonts w:ascii="Arial" w:cs="Arial" w:eastAsia="Arial" w:hAnsi="Arial"/>
          <w:sz w:val="17"/>
          <w:szCs w:val="17"/>
          <w:color w:val="32406B"/>
        </w:rPr>
        <w:t>: two United States (U.S.) patents, projected to expire in 2022 and 2023, and one U.S. patent application, which if granted,</w:t>
      </w:r>
      <w:r>
        <w:rPr>
          <w:rFonts w:ascii="Arial" w:cs="Arial" w:eastAsia="Arial" w:hAnsi="Arial"/>
          <w:sz w:val="17"/>
          <w:szCs w:val="17"/>
          <w:i w:val="1"/>
          <w:iCs w:val="1"/>
          <w:color w:val="32406B"/>
        </w:rPr>
        <w:t xml:space="preserve"> </w:t>
      </w:r>
      <w:r>
        <w:rPr>
          <w:rFonts w:ascii="Arial" w:cs="Arial" w:eastAsia="Arial" w:hAnsi="Arial"/>
          <w:sz w:val="17"/>
          <w:szCs w:val="17"/>
          <w:color w:val="32406B"/>
        </w:rPr>
        <w:t>would be projected to expire in 2029, as well as corresponding patents and patent applications in certain foreign jurisdictions, as they pertain to compositions and methods for promoting lysosomal uptake of acid alpha-glucosidase and the treatment of Pompe disease. These patents and patent applications are licensed to us by BioMarin and relate to the GILT tag; and</w:t>
      </w:r>
    </w:p>
    <w:p>
      <w:pPr>
        <w:spacing w:after="0" w:line="76" w:lineRule="exact"/>
        <w:rPr>
          <w:rFonts w:ascii="Arial" w:cs="Arial" w:eastAsia="Arial" w:hAnsi="Arial"/>
          <w:sz w:val="17"/>
          <w:szCs w:val="17"/>
          <w:color w:val="32406B"/>
        </w:rPr>
      </w:pPr>
    </w:p>
    <w:p>
      <w:pPr>
        <w:ind w:left="1060" w:right="120" w:hanging="424"/>
        <w:spacing w:after="0" w:line="277" w:lineRule="auto"/>
        <w:tabs>
          <w:tab w:leader="none" w:pos="1060" w:val="left"/>
        </w:tabs>
        <w:numPr>
          <w:ilvl w:val="0"/>
          <w:numId w:val="63"/>
        </w:numPr>
        <w:rPr>
          <w:rFonts w:ascii="Arial" w:cs="Arial" w:eastAsia="Arial" w:hAnsi="Arial"/>
          <w:sz w:val="18"/>
          <w:szCs w:val="18"/>
          <w:color w:val="32406B"/>
        </w:rPr>
      </w:pPr>
      <w:r>
        <w:rPr>
          <w:rFonts w:ascii="Arial" w:cs="Arial" w:eastAsia="Arial" w:hAnsi="Arial"/>
          <w:sz w:val="18"/>
          <w:szCs w:val="18"/>
          <w:i w:val="1"/>
          <w:iCs w:val="1"/>
          <w:color w:val="32406B"/>
        </w:rPr>
        <w:t>AVR-RD-04</w:t>
      </w:r>
      <w:r>
        <w:rPr>
          <w:rFonts w:ascii="Arial" w:cs="Arial" w:eastAsia="Arial" w:hAnsi="Arial"/>
          <w:sz w:val="18"/>
          <w:szCs w:val="18"/>
          <w:color w:val="32406B"/>
        </w:rPr>
        <w:t>: one international patent (PCT) application, which, if pursued and granted in the United States, would be projected to expire in</w:t>
      </w:r>
      <w:r>
        <w:rPr>
          <w:rFonts w:ascii="Arial" w:cs="Arial" w:eastAsia="Arial" w:hAnsi="Arial"/>
          <w:sz w:val="18"/>
          <w:szCs w:val="18"/>
          <w:i w:val="1"/>
          <w:iCs w:val="1"/>
          <w:color w:val="32406B"/>
        </w:rPr>
        <w:t xml:space="preserve"> </w:t>
      </w:r>
      <w:r>
        <w:rPr>
          <w:rFonts w:ascii="Arial" w:cs="Arial" w:eastAsia="Arial" w:hAnsi="Arial"/>
          <w:sz w:val="18"/>
          <w:szCs w:val="18"/>
          <w:color w:val="32406B"/>
        </w:rPr>
        <w:t>2038, containing claims directed to hematopoietic stem cells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107</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40"/>
        <w:spacing w:after="0" w:line="277" w:lineRule="auto"/>
        <w:rPr>
          <w:sz w:val="20"/>
          <w:szCs w:val="20"/>
          <w:color w:val="auto"/>
        </w:rPr>
      </w:pPr>
      <w:r>
        <w:rPr>
          <w:rFonts w:ascii="Arial" w:cs="Arial" w:eastAsia="Arial" w:hAnsi="Arial"/>
          <w:sz w:val="18"/>
          <w:szCs w:val="18"/>
          <w:color w:val="32406B"/>
        </w:rPr>
        <w:t>expressing cystinosin and methods of using the same for the treatment of cystinosis. This patent application is licensed to us by GenStem Therapeutics, and GenStem obtained its rights from the University of California, San Diego.</w:t>
      </w:r>
    </w:p>
    <w:p>
      <w:pPr>
        <w:spacing w:after="0" w:line="17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32406B"/>
        </w:rPr>
        <w:t>The term of any given patent depends upon the legal term of patents in the countries in which they are obtained. In most countries in which we file, the patent term is 20 years from the date of filing the application, subject to the timely payment of maintenance fees, among other considerations. In the United States, a patent’s term may be lengthened by patent term adjustment, which compensates a patentee for administrative delays by the USPTO in granting a patent, or may be shortened if a patent is terminally disclaimed over an earlier-filed commonly owned patent. In addition, in certain instances, a patent term can be extended to recapture a portion of the term effectively lost as a result of FDA regulatory review period. However, the restoration period cannot be longer than five years and the total patent term including the restoration period must not exceed 14 years following FDA approval. In certain foreign jurisdictions similar extensions as compensation for regulatory delays are also available. The actual protection afforded by a patent varies on a claim by claim and country by country basis for each applicable product and depends upon many factors, including the type of patent, the scope of its coverage, the availability of regulatory related extensions, the availability of legal remedies in a particular country and the validity and enforceability of the patent. Currently, we do not own or license patents or patent applications related to our AVR-RD-01 or AVR-RD-02 product candidates. We rely, in some circumstances, on trade secrets and unpatented know-how that is either owned by or licensed to us to protect our technology. We seek to protect our proprietary technology and processes, in part, by entering into confidentiality agreements with our employees, consultants, scientific advisors and contractors.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License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Exclusive License Agreement with University Health Network</w:t>
      </w:r>
    </w:p>
    <w:p>
      <w:pPr>
        <w:spacing w:after="0" w:line="11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32406B"/>
        </w:rPr>
        <w:t>In November 2016, we entered into a license agreement with University Health Network, or UHN, pursuant to which UHN granted us an exclusive worldwide license under certain intellectual property rights and a non-exclusive worldwide license under certain know-how, including certain rights to data, in each case subject to certain retained rights, to develop, commercialize and sell products for use in the treatment of Fabry disease. Intellectual property licensed to us under this agreement relates to our Fabry program. In addition, for three years following the execution of the agreement, UHN granted us an exclusive option to obtain an exclusive license under certain improvements to the licensed intellectual property rights as well as an exclusive option to negotiate a license under certain other improvements. Under the terms of the agreement, we are required to meet certain performance milestones within specified timeframes. UHN may terminate the agreement if we fail to meet these performance milestones despite using commercially reasonable efforts and we are unable to reach agreement with UHN on revised timeframes.</w:t>
      </w:r>
    </w:p>
    <w:p>
      <w:pPr>
        <w:spacing w:after="0" w:line="166"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32406B"/>
        </w:rPr>
        <w:t>As consideration for the licenses, we paid to UHN a one-time upfront fee in the amount of C$75,000 and are obligated to pay an additional annual fee until the first sale of a licensed product in certain markets. We are also required to make payments to UHN in connection with the achievement of certain development and regulatory milestones, in an aggregate amount of C$2.45 million, as well as royalties on a country-by-country basis of a low to mid-single digit percentages on annual sales of licensed products and a lower single digit royalty in certain circumstances. Additionally, we will pay a low double digit percentage of all sublicensing revenue. Our royalty obligation expires on a licensed product-by-licensed product and country-by-country basis upon the latest to occur of the expiration or termination of the last valid claim under the licensed patent rights in such country (if and when any such patent rights come into existence under the license agreement in the future), the tenth anniversary of the first commercial sale of such licensed product in such country and the expiration of any applicable regulatory exclusivity in such country.</w:t>
      </w:r>
    </w:p>
    <w:p>
      <w:pPr>
        <w:spacing w:after="0" w:line="166"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32406B"/>
        </w:rPr>
        <w:t>In addition, under this agreement we made a philanthropic commitment to donate funds to organizations for the benefit of the Canadian Fabry community in an amount equal to a low double digit percentage of our royalty payments and regulatory milestone payments, up to a maximum amount of C$500,000 in any calendar year.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108</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32406B"/>
        </w:rPr>
        <w:t>Unless terminated earlier, this exclusive license agreement with UHN will expire upon the expiration of our royalty obligation for all licensed products. Either we or UHN may terminate the license agreement if the other party commits a material breach and fails to cure such breach within a certain period of time. UHN may terminate this agreement if we enter into bankruptcy or insolvency. We may terminate this agreement for any reason upon notice to UHN.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License Agreement with Lund University Rights Holders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32406B"/>
        </w:rPr>
        <w:t>In January 2017, we entered into an exclusive license agreement with Dr. Stefan Karlsson and Maria Dahl, affiliates of Lund University, pursuant to which Drs. Karlsson and Dahl, and certain other relevant rights holders that may have an interest in intellectual property generated under a research project we are funding with Lund University, granted to us an exclusive worldwide license, subject to certain retained rights, under certain intellectual property rights to develop, commercialize and sell products in any and all uses relevant to Gaucher disease. Intellectual property licensed to us under this agreement relates to our Gaucher program.</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32406B"/>
        </w:rPr>
        <w:t>As consideration for the license, we are required to make payments in connection with the achievement of certain milestones up to an aggregate of $550,000.</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32406B"/>
        </w:rPr>
        <w:t>Our license agreement with the rights holders expires on the latest of (i) the twentieth anniversary of the end of a certain research project we are funding pursuant to an agreement with Lund University, (ii) the expiration of the term of any patent filed on the licensed rights that covers a licensed product, (iii) the expiration of any applicable marketing exclusivity right and (iv) such time that neither we nor any of our sublicensees or partners or contractors are commercializing a licensed product. Either we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License Agreement with BioMarin Pharmaceutical Inc.</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32406B"/>
        </w:rPr>
        <w:t>In August 2017, we entered into a license agreement with BioMarin Pharmaceutical Inc., or BioMarin, pursuant to which BioMarin granted us an exclusive worldwide license under certain intellectual property rights related to GILT tags owned or controlled by BioMarin to develop, commercialize and sell Retroviridae-based gene therapy products for use in the treatment of Pompe disease. Under the terms of the agreement, we must use commercially reasonable efforts to develop and commercialize one or more licensed products in the United States and certain European countries. In addition, we are required to initiate an IND-enabling pharmacology/toxicology study of a licensed product within a specified period of time.</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As consideration for the license, we paid an initial license fee in the amount of $500,000 and issued 233,765 shares of our Series B preferred stock to BioMarin at the time of our Series B financing. We are also obligated to make payments to BioMarin upon achievement of certain milestones up to an aggregate of $13 million and pay to BioMarin a low single digit royalty percentage on net sales of licensed products covered by patent rights in a relevant country. Our royalty obligation expires on a licensed product-by-licensed product and country-by-country basis upon the latest to occur of the expiration or termination of the last valid claim under the licensed patent rights in such country, which is currently projected to occur in 2029, the tenth anniversary of the first commercial sale of such licensed product in such country and the expiration of any applicable regulatory exclusivity in such country.</w:t>
      </w:r>
    </w:p>
    <w:p>
      <w:pPr>
        <w:spacing w:after="0" w:line="189"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32406B"/>
        </w:rPr>
        <w:t>Unless terminated earlier, our license agreement with BioMarin will expire upon the expiration of our royalty obligation for all licensed products throughout the world. Either we or BioMarin may terminate the license agreement if the other party commits a material breach and fails to cure such breach within a certain period of time. BioMarin may also terminate the agreement in the event of any challenge or opposition to the licensed patent rights or related actions brought by us or our affiliates or sublicensees, or if we, our affiliates or sublicensees knowingly assist a third party in challenging or otherwise opposing the licensed patent rights, except as required under a court order or subpoena. In addition, BioMarin may terminate the agreement upon our bankruptcy or insolvency. We may terminate the agreement for any reason upon notice to BioMarin.</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109</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License Agreement with GenStem Therapeutics Inc.</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32406B"/>
        </w:rPr>
        <w:t>In October 2017, we entered into a license agreement with GenStem Therapeutics, Inc., or GenStem, pursuant to which GenStem granted us an exclusive worldwide license, subject to certain retained rights, under certain intellectual property rights owned or controlled by GenStem related to our cystinosis program, including certain rights licensed to GenStem from the University of California, San Diego, to develop, commercialize and sell products for use in the treatment of cystinosis. Under the terms of the agreement, we must use commercially reasonable efforts to develop and commercialize one or more licensed products in the United States and in at least one country from other specified markets. We also agreed to comply with certain access requirements consistent with the California Institute for Regenerative Medicine regulations and to manufacture certain licensed products substantially in the United States.</w:t>
      </w:r>
    </w:p>
    <w:p>
      <w:pPr>
        <w:spacing w:after="0" w:line="189"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32406B"/>
        </w:rPr>
        <w:t>As consideration for the license, we paid an initial license fee in the amount of $1 million and are required to make payments upon completion of certain development milestones up to an aggregate of $16 million. Additionally, we will pay to GenStem a tiered mid to high-single digit royalty percentage on annual net sales of licensed products as well as a low double-digit percentage of sublicense income received from certain third party sublicensees. Our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 is currently projected to occur in 2038, whichever is later.</w:t>
      </w:r>
    </w:p>
    <w:p>
      <w:pPr>
        <w:spacing w:after="0" w:line="17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32406B"/>
        </w:rPr>
        <w:t>Unless terminated earlier, our license agreement with GenStem will terminate upon the expiration of our royalty obligation for all licensed products throughout the world. Either we or GenStem may terminate the license agreement if the other party commits a material breach and fails to cure such breach within a certain period of time. In addition, we may terminate the agreement for any reason upon notice to GenStem.</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Competition</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32406B"/>
        </w:rPr>
        <w:t>Our industry is highly competitive and subject to rapid and significant technological change. Our potential competitors include larger pharmaceutical, specialty pharmaceutical and biotechnology companies, as well as academic institutions, government agencies and private and public research institutions. Key competitive factors affecting the commercial success of our gene therapies are likely to be efficacy, safety and tolerability profile, reliability, convenience, price and reimbursement.</w:t>
      </w:r>
    </w:p>
    <w:p>
      <w:pPr>
        <w:spacing w:after="0" w:line="18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32406B"/>
        </w:rPr>
        <w:t>The market for treatment of lysosomal storage diseases is especially large and competitive. The gene therapies we are currently developing, if approved, will face competition.</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Mergers and acquisitions in the pharmaceutical and biotechnology industries may result in even more resources being concentrated among a small number of our competitors. Accordingly, our competitors may be more successful than we may be in obtaining FDA approval for drugs and achieving widespread market acceptance. Our competitors’ products may be more effective, or more effectively marketed and sold, than any product we may commercialize and may render our gene therapies obsolete or non-competitive before we can recover the expenses of developing and commercializing any of our gene therapies. Our competitors may also obtain FDA or other regulatory approval for their products more rapidly than we may obtain approval for ours. We anticipate that we will face intense and increasing competition as new drugs enter the market and advanced technologies become available. Finally, the development of new treatment methods for the diseases we are targeting could render our gene therapies non-competitive or obsolete. See “Risk Factors—Risks related to the discovery and development of our product candidates—We face significant competition and our competitors may achieve regulatory approval before us or develop therapies that are more advanced or effective than ours, which may adversely affect our ability to successfully market or commercialize any of our product candidates,” and elsewhere in this prospectus for more information regarding competitors and competitive products.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110</w:t>
      </w:r>
    </w:p>
    <w:p>
      <w:pPr>
        <w:sectPr>
          <w:pgSz w:w="11900" w:h="16838" w:orient="portrait"/>
          <w:cols w:equalWidth="0" w:num="1">
            <w:col w:w="11180"/>
          </w:cols>
          <w:pgMar w:left="24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Government Regulation</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32406B"/>
        </w:rPr>
        <w:t>In the United States, biological products, including gene therapy products, are subject to regulation under the Federal Food, Drug, and Cosmetic Act, or FD&amp;C Act, and the Public Health Service Act, or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Each clinical study protocol for a gene therapy product must be reviewed by the FDA and, in some instances, the National Institute of Health, or NIH, through its Recombinant DNA Advisory Committee, or RAC. FDA approval must be obtained before the marketing of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79"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32406B"/>
        </w:rPr>
        <w:t>Within the FDA, the Center for Biologics Evaluation and Research, or CBER regulates gene therapy products. The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potency testing, and chemistry, manufacturing and control information in INDs for gene therapies.</w:t>
      </w:r>
    </w:p>
    <w:p>
      <w:pPr>
        <w:spacing w:after="0" w:line="178"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32406B"/>
        </w:rPr>
        <w:t>Ethical,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U.S. Biological Products Development Process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process required by the FDA before a biological product may be marketed in the United States generally involves the following:</w:t>
      </w:r>
    </w:p>
    <w:p>
      <w:pPr>
        <w:spacing w:after="0" w:line="131" w:lineRule="exact"/>
        <w:rPr>
          <w:sz w:val="20"/>
          <w:szCs w:val="20"/>
          <w:color w:val="auto"/>
        </w:rPr>
      </w:pPr>
    </w:p>
    <w:p>
      <w:pPr>
        <w:ind w:left="1060" w:right="140" w:hanging="424"/>
        <w:spacing w:after="0" w:line="277" w:lineRule="auto"/>
        <w:tabs>
          <w:tab w:leader="none" w:pos="106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completion of nonclinical laboratory tests and animal studies according to good laboratory practices, or GLPs, and applicable requirements for the humane use of laboratory animals or other applicable regulations;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submission to the FDA of an application for an IND, which must become effective before human clinical studies may begin;</w:t>
      </w:r>
    </w:p>
    <w:p>
      <w:pPr>
        <w:spacing w:after="0" w:line="130" w:lineRule="exact"/>
        <w:rPr>
          <w:rFonts w:ascii="Arial" w:cs="Arial" w:eastAsia="Arial" w:hAnsi="Arial"/>
          <w:sz w:val="18"/>
          <w:szCs w:val="18"/>
          <w:color w:val="32406B"/>
        </w:rPr>
      </w:pPr>
    </w:p>
    <w:p>
      <w:pPr>
        <w:ind w:left="1060" w:right="420" w:hanging="424"/>
        <w:spacing w:after="0" w:line="277" w:lineRule="auto"/>
        <w:tabs>
          <w:tab w:leader="none" w:pos="106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approval by an independent institutional review board, or IRB, or ethics committee at each clinical study site before each study may be initiated;</w:t>
      </w:r>
    </w:p>
    <w:p>
      <w:pPr>
        <w:spacing w:after="0" w:line="75" w:lineRule="exact"/>
        <w:rPr>
          <w:rFonts w:ascii="Arial" w:cs="Arial" w:eastAsia="Arial" w:hAnsi="Arial"/>
          <w:sz w:val="18"/>
          <w:szCs w:val="18"/>
          <w:color w:val="32406B"/>
        </w:rPr>
      </w:pPr>
    </w:p>
    <w:p>
      <w:pPr>
        <w:ind w:left="1060" w:right="240" w:hanging="424"/>
        <w:spacing w:after="0" w:line="264" w:lineRule="auto"/>
        <w:tabs>
          <w:tab w:leader="none" w:pos="106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performance of adequate and well-controlled human clinical studies according to the FDA’s regulations commonly referred to as good clinical practices, or GCPs, and any additional requirements for the protection of human research subjects and their health information, to establish the safety and efficacy of the proposed biological product for its intended use;</w:t>
      </w:r>
    </w:p>
    <w:p>
      <w:pPr>
        <w:spacing w:after="0" w:line="86" w:lineRule="exact"/>
        <w:rPr>
          <w:rFonts w:ascii="Arial" w:cs="Arial" w:eastAsia="Arial" w:hAnsi="Arial"/>
          <w:sz w:val="18"/>
          <w:szCs w:val="18"/>
          <w:color w:val="32406B"/>
        </w:rPr>
      </w:pPr>
    </w:p>
    <w:p>
      <w:pPr>
        <w:ind w:left="1060" w:right="340" w:hanging="424"/>
        <w:spacing w:after="0" w:line="277" w:lineRule="auto"/>
        <w:tabs>
          <w:tab w:leader="none" w:pos="106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submission to the FDA of a Biologics License Application, or BLA, for marketing approval that includes substantive evidence of safety, purity, and potency from results of nonclinical testing and clinical studies;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111</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20" w:hanging="424"/>
        <w:spacing w:after="0" w:line="259" w:lineRule="auto"/>
        <w:tabs>
          <w:tab w:leader="none" w:pos="106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satisfactory completion of an FDA inspection of the manufacturing facility or facilities where the biological product is produced to assess compliance with current good manufacturing practices, or CGMPs, to assure that the facilities, methods and controls are adequate to preserve the biological product’s identity, strength, quality and purity and, if applicable, the FDA’s current good tissue practices, or GTPs, for the use of human cellular and tissue products;</w:t>
      </w:r>
    </w:p>
    <w:p>
      <w:pPr>
        <w:spacing w:after="0" w:line="92" w:lineRule="exact"/>
        <w:rPr>
          <w:rFonts w:ascii="Arial" w:cs="Arial" w:eastAsia="Arial" w:hAnsi="Arial"/>
          <w:sz w:val="18"/>
          <w:szCs w:val="18"/>
          <w:color w:val="32406B"/>
        </w:rPr>
      </w:pPr>
    </w:p>
    <w:p>
      <w:pPr>
        <w:ind w:left="1060" w:hanging="424"/>
        <w:spacing w:after="0"/>
        <w:tabs>
          <w:tab w:leader="none" w:pos="106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potential FDA audit of the nonclinical and clinical study sites that generated the data in support of the BLA;</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payment of user fees for FDA review of the BLA (unless a fee waiver applies);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FDA review and approval, or licensure, of the BLA.</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32406B"/>
        </w:rPr>
        <w:t>Before testing any biological product candidate, including a gene therapy product,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87" w:lineRule="exact"/>
        <w:rPr>
          <w:sz w:val="20"/>
          <w:szCs w:val="20"/>
          <w:color w:val="auto"/>
        </w:rPr>
      </w:pPr>
    </w:p>
    <w:p>
      <w:pPr>
        <w:jc w:val="both"/>
        <w:ind w:left="200" w:right="460" w:firstLine="441"/>
        <w:spacing w:after="0" w:line="288" w:lineRule="auto"/>
        <w:rPr>
          <w:sz w:val="20"/>
          <w:szCs w:val="20"/>
          <w:color w:val="auto"/>
        </w:rPr>
      </w:pPr>
      <w:r>
        <w:rPr>
          <w:rFonts w:ascii="Arial" w:cs="Arial" w:eastAsia="Arial" w:hAnsi="Arial"/>
          <w:sz w:val="16"/>
          <w:szCs w:val="16"/>
          <w:color w:val="32406B"/>
        </w:rPr>
        <w:t>Where a gene therapy study is conducted at, or sponsored by, institutions receiving NIH funding for recombinant DNA research, prior to the submission of an IND to the FDA, a protocol and related documentation is submitted to and the study is registered with the NIH Office of Science Policy, or OSP, pursuant to the NIH Guidelines for Research Involving Recombinant or Synthetic Nucleic Acid Molecules, or NIH Guidelines.</w:t>
      </w:r>
    </w:p>
    <w:p>
      <w:pPr>
        <w:ind w:left="200"/>
        <w:spacing w:after="0" w:line="271" w:lineRule="auto"/>
        <w:rPr>
          <w:sz w:val="20"/>
          <w:szCs w:val="20"/>
          <w:color w:val="auto"/>
        </w:rPr>
      </w:pPr>
      <w:r>
        <w:rPr>
          <w:rFonts w:ascii="Arial" w:cs="Arial" w:eastAsia="Arial" w:hAnsi="Arial"/>
          <w:sz w:val="17"/>
          <w:szCs w:val="17"/>
          <w:color w:val="32406B"/>
        </w:rPr>
        <w:t>Compliance with the NIH Guidelines is mandatory for investigators at institutions receiving NIH funds for research involving recombinant DNA; however, many companies and other institutions not otherwise subject to the NIH Guidelines voluntarily follow them. The NIH is responsible for convening the RAC, a federal advisory committee that discusses protocols that raise novel or particularly important scientific, safety or ethical considerations, at one of its quarterly public meetings. The OSP will notify the FDA of the RAC’s decision regarding the necessity for full public review of a gene therapy protocol. RAC proceedings and reports are posted to the OSP web site and may be accessed by the public.</w:t>
      </w:r>
    </w:p>
    <w:p>
      <w:pPr>
        <w:spacing w:after="0" w:line="179"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32406B"/>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 IND is a request for authorization from the FDA to ship an unapproved, investigational product in interstate commerce and to administer it to humans, and must become effective before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 The FDA also may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7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112</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0" w:lineRule="auto"/>
        <w:rPr>
          <w:sz w:val="20"/>
          <w:szCs w:val="20"/>
          <w:color w:val="auto"/>
        </w:rPr>
      </w:pPr>
      <w:r>
        <w:rPr>
          <w:rFonts w:ascii="Arial" w:cs="Arial" w:eastAsia="Arial" w:hAnsi="Arial"/>
          <w:sz w:val="16"/>
          <w:szCs w:val="16"/>
          <w:color w:val="32406B"/>
        </w:rPr>
        <w:t>the IND. Clinical studies must be conducted and monitored in accordance with the FDA’s regulations comprising the GCP requirements, including the requirement that all research subjects provide informed consent. Further, each clinical study must be reviewed and approved by an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research involving recombinant DNA that is subject to NIH guidelines also must be reviewed by an institutional biosafety committee, or IBC, a local institutional committee that reviews and oversees basic and clinical research conducted at that institution. The IBC assesses the safety of the research and identifies any potential risk to public health or the environment.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Clinical studies typically are conducted in three sequential phases that may overlap or be combined:</w:t>
      </w:r>
    </w:p>
    <w:p>
      <w:pPr>
        <w:spacing w:after="0" w:line="131" w:lineRule="exact"/>
        <w:rPr>
          <w:sz w:val="20"/>
          <w:szCs w:val="20"/>
          <w:color w:val="auto"/>
        </w:rPr>
      </w:pPr>
    </w:p>
    <w:p>
      <w:pPr>
        <w:ind w:left="1060" w:right="60" w:hanging="424"/>
        <w:spacing w:after="0" w:line="264" w:lineRule="auto"/>
        <w:tabs>
          <w:tab w:leader="none" w:pos="1060" w:val="left"/>
        </w:tabs>
        <w:numPr>
          <w:ilvl w:val="0"/>
          <w:numId w:val="66"/>
        </w:numPr>
        <w:rPr>
          <w:rFonts w:ascii="Arial" w:cs="Arial" w:eastAsia="Arial" w:hAnsi="Arial"/>
          <w:sz w:val="18"/>
          <w:szCs w:val="18"/>
          <w:color w:val="32406B"/>
        </w:rPr>
      </w:pPr>
      <w:r>
        <w:rPr>
          <w:rFonts w:ascii="Arial" w:cs="Arial" w:eastAsia="Arial" w:hAnsi="Arial"/>
          <w:sz w:val="18"/>
          <w:szCs w:val="18"/>
          <w:i w:val="1"/>
          <w:iCs w:val="1"/>
          <w:color w:val="32406B"/>
        </w:rPr>
        <w:t>Phase 1</w:t>
      </w:r>
      <w:r>
        <w:rPr>
          <w:rFonts w:ascii="Arial" w:cs="Arial" w:eastAsia="Arial" w:hAnsi="Arial"/>
          <w:sz w:val="18"/>
          <w:szCs w:val="18"/>
          <w:color w:val="32406B"/>
        </w:rPr>
        <w:t>. The biological product is initially introduced into healthy human subjects and tested for safety. In the case of some products for</w:t>
      </w:r>
      <w:r>
        <w:rPr>
          <w:rFonts w:ascii="Arial" w:cs="Arial" w:eastAsia="Arial" w:hAnsi="Arial"/>
          <w:sz w:val="18"/>
          <w:szCs w:val="18"/>
          <w:i w:val="1"/>
          <w:iCs w:val="1"/>
          <w:color w:val="32406B"/>
        </w:rPr>
        <w:t xml:space="preserve"> </w:t>
      </w:r>
      <w:r>
        <w:rPr>
          <w:rFonts w:ascii="Arial" w:cs="Arial" w:eastAsia="Arial" w:hAnsi="Arial"/>
          <w:sz w:val="18"/>
          <w:szCs w:val="18"/>
          <w:color w:val="32406B"/>
        </w:rPr>
        <w:t>severe or life-threatening diseases, especially when the product may be too inherently toxic to ethically administer to healthy volunteers, the initial human testing is often conducted in patients.</w:t>
      </w:r>
    </w:p>
    <w:p>
      <w:pPr>
        <w:spacing w:after="0" w:line="86" w:lineRule="exact"/>
        <w:rPr>
          <w:rFonts w:ascii="Arial" w:cs="Arial" w:eastAsia="Arial" w:hAnsi="Arial"/>
          <w:sz w:val="18"/>
          <w:szCs w:val="18"/>
          <w:color w:val="32406B"/>
        </w:rPr>
      </w:pPr>
    </w:p>
    <w:p>
      <w:pPr>
        <w:ind w:left="1060" w:right="520" w:hanging="424"/>
        <w:spacing w:after="0" w:line="264" w:lineRule="auto"/>
        <w:tabs>
          <w:tab w:leader="none" w:pos="1060" w:val="left"/>
        </w:tabs>
        <w:numPr>
          <w:ilvl w:val="0"/>
          <w:numId w:val="66"/>
        </w:numPr>
        <w:rPr>
          <w:rFonts w:ascii="Arial" w:cs="Arial" w:eastAsia="Arial" w:hAnsi="Arial"/>
          <w:sz w:val="18"/>
          <w:szCs w:val="18"/>
          <w:color w:val="32406B"/>
        </w:rPr>
      </w:pPr>
      <w:r>
        <w:rPr>
          <w:rFonts w:ascii="Arial" w:cs="Arial" w:eastAsia="Arial" w:hAnsi="Arial"/>
          <w:sz w:val="18"/>
          <w:szCs w:val="18"/>
          <w:i w:val="1"/>
          <w:iCs w:val="1"/>
          <w:color w:val="32406B"/>
        </w:rPr>
        <w:t>Phase 2</w:t>
      </w:r>
      <w:r>
        <w:rPr>
          <w:rFonts w:ascii="Arial" w:cs="Arial" w:eastAsia="Arial" w:hAnsi="Arial"/>
          <w:sz w:val="18"/>
          <w:szCs w:val="18"/>
          <w:color w:val="32406B"/>
        </w:rPr>
        <w:t>. The biological product is evaluated in a limited patient population to identify possible adverse effects and safety risks, to</w:t>
      </w:r>
      <w:r>
        <w:rPr>
          <w:rFonts w:ascii="Arial" w:cs="Arial" w:eastAsia="Arial" w:hAnsi="Arial"/>
          <w:sz w:val="18"/>
          <w:szCs w:val="18"/>
          <w:i w:val="1"/>
          <w:iCs w:val="1"/>
          <w:color w:val="32406B"/>
        </w:rPr>
        <w:t xml:space="preserve"> </w:t>
      </w:r>
      <w:r>
        <w:rPr>
          <w:rFonts w:ascii="Arial" w:cs="Arial" w:eastAsia="Arial" w:hAnsi="Arial"/>
          <w:sz w:val="18"/>
          <w:szCs w:val="18"/>
          <w:color w:val="32406B"/>
        </w:rPr>
        <w:t>preliminarily evaluate the efficacy of the product for specific targeted diseases and to determine dosage tolerance, optimal dosage and dosing schedule.</w:t>
      </w:r>
    </w:p>
    <w:p>
      <w:pPr>
        <w:spacing w:after="0" w:line="86" w:lineRule="exact"/>
        <w:rPr>
          <w:rFonts w:ascii="Arial" w:cs="Arial" w:eastAsia="Arial" w:hAnsi="Arial"/>
          <w:sz w:val="18"/>
          <w:szCs w:val="18"/>
          <w:color w:val="32406B"/>
        </w:rPr>
      </w:pPr>
    </w:p>
    <w:p>
      <w:pPr>
        <w:ind w:left="1060" w:right="160" w:hanging="424"/>
        <w:spacing w:after="0" w:line="264" w:lineRule="auto"/>
        <w:tabs>
          <w:tab w:leader="none" w:pos="1060" w:val="left"/>
        </w:tabs>
        <w:numPr>
          <w:ilvl w:val="0"/>
          <w:numId w:val="66"/>
        </w:numPr>
        <w:rPr>
          <w:rFonts w:ascii="Arial" w:cs="Arial" w:eastAsia="Arial" w:hAnsi="Arial"/>
          <w:sz w:val="18"/>
          <w:szCs w:val="18"/>
          <w:color w:val="32406B"/>
        </w:rPr>
      </w:pPr>
      <w:r>
        <w:rPr>
          <w:rFonts w:ascii="Arial" w:cs="Arial" w:eastAsia="Arial" w:hAnsi="Arial"/>
          <w:sz w:val="18"/>
          <w:szCs w:val="18"/>
          <w:i w:val="1"/>
          <w:iCs w:val="1"/>
          <w:color w:val="32406B"/>
        </w:rPr>
        <w:t>Phase 3</w:t>
      </w:r>
      <w:r>
        <w:rPr>
          <w:rFonts w:ascii="Arial" w:cs="Arial" w:eastAsia="Arial" w:hAnsi="Arial"/>
          <w:sz w:val="18"/>
          <w:szCs w:val="18"/>
          <w:color w:val="32406B"/>
        </w:rPr>
        <w:t>. Clinical studies are undertaken to further evaluate dosage, clinical efficacy, potency, and safety in an expanded patient population</w:t>
      </w:r>
      <w:r>
        <w:rPr>
          <w:rFonts w:ascii="Arial" w:cs="Arial" w:eastAsia="Arial" w:hAnsi="Arial"/>
          <w:sz w:val="18"/>
          <w:szCs w:val="18"/>
          <w:i w:val="1"/>
          <w:iCs w:val="1"/>
          <w:color w:val="32406B"/>
        </w:rPr>
        <w:t xml:space="preserve"> </w:t>
      </w:r>
      <w:r>
        <w:rPr>
          <w:rFonts w:ascii="Arial" w:cs="Arial" w:eastAsia="Arial" w:hAnsi="Arial"/>
          <w:sz w:val="18"/>
          <w:szCs w:val="18"/>
          <w:color w:val="32406B"/>
        </w:rPr>
        <w:t>at geographically dispersed clinical study sites. These clinical studies are intended to establish the overall risk/benefit ratio of the product and provide an adequate basis for approval and product labeling.</w:t>
      </w:r>
    </w:p>
    <w:p>
      <w:pPr>
        <w:spacing w:after="0" w:line="181" w:lineRule="exact"/>
        <w:rPr>
          <w:sz w:val="20"/>
          <w:szCs w:val="20"/>
          <w:color w:val="auto"/>
        </w:rPr>
      </w:pPr>
    </w:p>
    <w:p>
      <w:pPr>
        <w:ind w:left="200" w:right="440"/>
        <w:spacing w:after="0" w:line="257" w:lineRule="auto"/>
        <w:rPr>
          <w:sz w:val="20"/>
          <w:szCs w:val="20"/>
          <w:color w:val="auto"/>
        </w:rPr>
      </w:pPr>
      <w:r>
        <w:rPr>
          <w:rFonts w:ascii="Arial" w:cs="Arial" w:eastAsia="Arial" w:hAnsi="Arial"/>
          <w:sz w:val="18"/>
          <w:szCs w:val="18"/>
          <w:color w:val="32406B"/>
        </w:rPr>
        <w:t>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study subjects.</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 xml:space="preserve">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 studies, tests in laboratory animals or </w:t>
      </w:r>
      <w:r>
        <w:rPr>
          <w:rFonts w:ascii="Arial" w:cs="Arial" w:eastAsia="Arial" w:hAnsi="Arial"/>
          <w:sz w:val="17"/>
          <w:szCs w:val="17"/>
          <w:i w:val="1"/>
          <w:iCs w:val="1"/>
          <w:color w:val="32406B"/>
        </w:rPr>
        <w:t>in vitro</w:t>
      </w:r>
      <w:r>
        <w:rPr>
          <w:rFonts w:ascii="Arial" w:cs="Arial" w:eastAsia="Arial" w:hAnsi="Arial"/>
          <w:sz w:val="17"/>
          <w:szCs w:val="17"/>
          <w:color w:val="32406B"/>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studies may not be completed successfully within any specified period, if at all. The FDA or the sponsor, acting on its own or based on a recommendation from the sponsor’s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w:t>
      </w:r>
    </w:p>
    <w:p>
      <w:pPr>
        <w:spacing w:after="0" w:line="180"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32406B"/>
        </w:rPr>
        <w:t>Human gene therapy products are a new category of therapeutics. Because this is a relatively new and expanding area of novel therapeutic interventions, there can be no assurance as to the length of the study period,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113</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32406B"/>
        </w:rPr>
        <w:t>the number of patients the FDA will require to be enrolled in the studies in order to establish the safety, efficacy, purity and potency of human gene therapy products, or that the data generated in these studies will be acceptable to the FDA to support marketing approval. The NIH has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18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32406B"/>
        </w:rPr>
        <w:t>Concurrent with clinical studies,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U.S. Review and Approval Processes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8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32406B"/>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In most cases, the submission of a BLA is subject to a substantial application user fee, although the fee may be waived under certain circumstances.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73"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32406B"/>
        </w:rPr>
        <w:t>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114</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32406B"/>
        </w:rPr>
        <w:t>to assure the safe use of the biological product. If the FDA concludes a REMS is needed, the sponsor of the BLA must submit a proposed REMS; the FDA will not approve the BLA without a REMS, if required.</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the GTPs. These are FDA regulations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w:t>
      </w:r>
    </w:p>
    <w:p>
      <w:pPr>
        <w:spacing w:after="0" w:line="18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32406B"/>
        </w:rPr>
        <w:t>Under the Pediatric Research Equity Act, or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32406B"/>
        </w:rPr>
        <w:t>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8"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32406B"/>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studies, sometimes referred to as Phase 4 clinical studies, designed to further assess a biological product’s safety and effectiveness, and testing and surveillance programs to monitor the safety of approved products that have been commercialized.</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Orphan Drug Designation</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32406B"/>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115</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32406B"/>
        </w:rPr>
        <w:t>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81"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32406B"/>
        </w:rPr>
        <w:t>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Expedited Development and Review Programs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These programs do not change the standards for approval but may expedite the development or approval process. To be eligible for fast track designation, new drugs and biological products must be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for a product that has received Fast Track designation on a rolling basis before the complete application is submitted.</w:t>
      </w:r>
    </w:p>
    <w:p>
      <w:pPr>
        <w:spacing w:after="0" w:line="182" w:lineRule="exact"/>
        <w:rPr>
          <w:sz w:val="20"/>
          <w:szCs w:val="20"/>
          <w:color w:val="auto"/>
        </w:rPr>
      </w:pPr>
    </w:p>
    <w:p>
      <w:pPr>
        <w:ind w:left="200" w:right="380" w:firstLine="441"/>
        <w:spacing w:after="0" w:line="302" w:lineRule="auto"/>
        <w:rPr>
          <w:sz w:val="20"/>
          <w:szCs w:val="20"/>
          <w:color w:val="auto"/>
        </w:rPr>
      </w:pPr>
      <w:r>
        <w:rPr>
          <w:rFonts w:ascii="Arial" w:cs="Arial" w:eastAsia="Arial" w:hAnsi="Arial"/>
          <w:sz w:val="16"/>
          <w:szCs w:val="16"/>
          <w:color w:val="32406B"/>
        </w:rPr>
        <w:t>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w:t>
      </w:r>
    </w:p>
    <w:p>
      <w:pPr>
        <w:spacing w:after="0" w:line="154"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32406B"/>
        </w:rPr>
        <w:t>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Under priority review, the FDA’s goal is to review an application in six months, compared to ten months for a standard review.</w:t>
      </w:r>
    </w:p>
    <w:p>
      <w:pPr>
        <w:spacing w:after="0" w:line="15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32406B"/>
        </w:rPr>
        <w:t>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116</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32406B"/>
        </w:rPr>
        <w:t>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Regenerative Medicine Advanced Therapies Designation</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32406B"/>
        </w:rPr>
        <w:t>As part of the 21st Century Cures Act, enacted in December 2016, Congress amended the FD&amp;C Act to facilitate an efficient development program for, and expedite review of regenerative medicine advanced therapies, which include cell and gene therapies, therapeutic tissue engineering products, human cell and tissue products, and combination products using any such therapies or products. Regenerative medicine advanced therapies do not include those human cells, tissues, and cellular and tissue based products regulated solely under section 361 of the Public Health Service Act and 21 CFR Part 1271.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FDA designate a drug as a RMAT concurrently with or at any time after submission of an IND. FDA has 60 calendar days to determine whether the drug meets the criteria, including whether there is preliminary clinical evidence indicating that the drug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studies, patient registries, or other sources of real world evidence, such as electronic health records; the collection of larger confirmatory data sets; or post-approval monitoring of all patients treated with such therapy prior to its approval. Like FDA’s other expedited development programs, RMAT designation does not change the standards for approval but may expedite the development or approval process.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Post-Approval Requirements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32406B"/>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117</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32406B"/>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us.</w:t>
      </w:r>
    </w:p>
    <w:p>
      <w:pPr>
        <w:spacing w:after="0" w:line="169"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32406B"/>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U.S. Patent Term Restoration and Marketing Exclusivity</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 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studies and other factors involved in the filing of the relevant BLA.</w:t>
      </w:r>
    </w:p>
    <w:p>
      <w:pPr>
        <w:spacing w:after="0" w:line="18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A biological product can obtain pediatric market exclusivity in the United States.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32406B"/>
        </w:rPr>
        <w:t>The Patient Protection and Affordable Care Act, or Affordable Care Act or ACA or PPACA, signed into law on March 23, 2010, includes a subtitle called the Biologics Price Competition and Innovation Act of 2009 which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118</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0" w:lineRule="auto"/>
        <w:rPr>
          <w:sz w:val="20"/>
          <w:szCs w:val="20"/>
          <w:color w:val="auto"/>
        </w:rPr>
      </w:pPr>
      <w:r>
        <w:rPr>
          <w:rFonts w:ascii="Arial" w:cs="Arial" w:eastAsia="Arial" w:hAnsi="Arial"/>
          <w:sz w:val="17"/>
          <w:szCs w:val="17"/>
          <w:color w:val="32406B"/>
        </w:rPr>
        <w:t>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8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32406B"/>
        </w:rPr>
        <w:t>A reference biological product is granted four and twelve year exclusivity periods from the time of first licensure of the product.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Additional Regulation</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32406B"/>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U.S. Foreign Corrupt Practices Act</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32406B"/>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119</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Government Regulation outside of the United States</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32406B"/>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8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32406B"/>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Application, or CTA, must be submitted for each clinical trial to each country’s national health authority and an independent ethics committee, much like the FDA and an IRB, respectively. Once the CTA is approved in accordance with a country’s requirements, the corresponding clinical study may proceed.</w:t>
      </w:r>
    </w:p>
    <w:p>
      <w:pPr>
        <w:spacing w:after="0" w:line="193"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32406B"/>
        </w:rPr>
        <w:t>The requirements and process governing the conduct of clinical studies, product licensing, pricing and reimbursement vary from country to country. In all cases, the clinical studies must be conducted in accordance with GCP and the applicable regulatory requirements and the ethical principles that have their origin in the Declaration of Helsinki.</w:t>
      </w:r>
    </w:p>
    <w:p>
      <w:pPr>
        <w:spacing w:after="0" w:line="18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32406B"/>
        </w:rPr>
        <w:t>To obtain regulatory approval of an investigational product under European Union regulatory systems, we must submit a marketing authorization application. The application used to file the BLA in the United States is similar to that required in the European Union, with the exception of, among other things, region-specific document requirements. The European Union also provides opportunities for market exclusivity. For example, in the European Union, upon receiving marketing authorization, innovative medicinal products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an innovative medicinal product,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8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32406B"/>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120</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32406B"/>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87" w:lineRule="exact"/>
        <w:rPr>
          <w:sz w:val="20"/>
          <w:szCs w:val="20"/>
          <w:color w:val="auto"/>
        </w:rPr>
      </w:pPr>
    </w:p>
    <w:p>
      <w:pPr>
        <w:ind w:left="1060" w:hanging="424"/>
        <w:spacing w:after="0"/>
        <w:tabs>
          <w:tab w:leader="none" w:pos="1060" w:val="left"/>
        </w:tabs>
        <w:numPr>
          <w:ilvl w:val="0"/>
          <w:numId w:val="67"/>
        </w:numPr>
        <w:rPr>
          <w:rFonts w:ascii="Arial" w:cs="Arial" w:eastAsia="Arial" w:hAnsi="Arial"/>
          <w:sz w:val="18"/>
          <w:szCs w:val="18"/>
          <w:color w:val="32406B"/>
        </w:rPr>
      </w:pPr>
      <w:r>
        <w:rPr>
          <w:rFonts w:ascii="Arial" w:cs="Arial" w:eastAsia="Arial" w:hAnsi="Arial"/>
          <w:sz w:val="18"/>
          <w:szCs w:val="18"/>
          <w:color w:val="32406B"/>
        </w:rPr>
        <w:t>The second applicant can establish that its product, although similar, is safer, more effective or otherwise clinically superior;</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67"/>
        </w:numPr>
        <w:rPr>
          <w:rFonts w:ascii="Arial" w:cs="Arial" w:eastAsia="Arial" w:hAnsi="Arial"/>
          <w:sz w:val="18"/>
          <w:szCs w:val="18"/>
          <w:color w:val="32406B"/>
        </w:rPr>
      </w:pPr>
      <w:r>
        <w:rPr>
          <w:rFonts w:ascii="Arial" w:cs="Arial" w:eastAsia="Arial" w:hAnsi="Arial"/>
          <w:sz w:val="18"/>
          <w:szCs w:val="18"/>
          <w:color w:val="32406B"/>
        </w:rPr>
        <w:t>The applicant consents to a second orphan medicinal product application; or</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67"/>
        </w:numPr>
        <w:rPr>
          <w:rFonts w:ascii="Arial" w:cs="Arial" w:eastAsia="Arial" w:hAnsi="Arial"/>
          <w:sz w:val="18"/>
          <w:szCs w:val="18"/>
          <w:color w:val="32406B"/>
        </w:rPr>
      </w:pPr>
      <w:r>
        <w:rPr>
          <w:rFonts w:ascii="Arial" w:cs="Arial" w:eastAsia="Arial" w:hAnsi="Arial"/>
          <w:sz w:val="18"/>
          <w:szCs w:val="18"/>
          <w:color w:val="32406B"/>
        </w:rPr>
        <w:t>The applicant cannot supply enough orphan medicinal product.</w:t>
      </w:r>
    </w:p>
    <w:p>
      <w:pPr>
        <w:spacing w:after="0" w:line="225"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32406B"/>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must be conducted in accordance with GCP and the applicable regulatory requirements and the ethical principles that have their origin in the Declaration of Helsinki.</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32406B"/>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Other Healthcare Laws and Compliance Requirements</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32406B"/>
        </w:rPr>
        <w:t>In addition to FDA restrictions on the marketing of pharmaceutical products, we may be subject to various federal and state laws targeting fraud and abuse in the healthcare industry. These laws may impact, among other things, our business or financial arrangements and relationships through which we market, sell and distribute the gene therapies for which we obtain approval. In addition, we may be subject to patient privacy regulation by both the federal government and the states in which we conduct our business. The laws that may affect our ability to operate include:</w:t>
      </w:r>
    </w:p>
    <w:p>
      <w:pPr>
        <w:spacing w:after="0" w:line="60" w:lineRule="exact"/>
        <w:rPr>
          <w:sz w:val="20"/>
          <w:szCs w:val="20"/>
          <w:color w:val="auto"/>
        </w:rPr>
      </w:pPr>
    </w:p>
    <w:p>
      <w:pPr>
        <w:ind w:left="1060" w:right="20" w:hanging="424"/>
        <w:spacing w:after="0" w:line="291" w:lineRule="auto"/>
        <w:tabs>
          <w:tab w:leader="none" w:pos="1060" w:val="left"/>
        </w:tabs>
        <w:numPr>
          <w:ilvl w:val="0"/>
          <w:numId w:val="68"/>
        </w:numPr>
        <w:rPr>
          <w:rFonts w:ascii="Arial" w:cs="Arial" w:eastAsia="Arial" w:hAnsi="Arial"/>
          <w:sz w:val="16"/>
          <w:szCs w:val="16"/>
          <w:color w:val="32406B"/>
        </w:rPr>
      </w:pPr>
      <w:r>
        <w:rPr>
          <w:rFonts w:ascii="Arial" w:cs="Arial" w:eastAsia="Arial" w:hAnsi="Arial"/>
          <w:sz w:val="16"/>
          <w:szCs w:val="16"/>
          <w:color w:val="32406B"/>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or federal civil money penalties statute;</w:t>
      </w:r>
    </w:p>
    <w:p>
      <w:pPr>
        <w:spacing w:after="0" w:line="72" w:lineRule="exact"/>
        <w:rPr>
          <w:rFonts w:ascii="Arial" w:cs="Arial" w:eastAsia="Arial" w:hAnsi="Arial"/>
          <w:sz w:val="16"/>
          <w:szCs w:val="16"/>
          <w:color w:val="32406B"/>
        </w:rPr>
      </w:pPr>
    </w:p>
    <w:p>
      <w:pPr>
        <w:ind w:left="1060" w:right="160" w:hanging="424"/>
        <w:spacing w:after="0" w:line="255" w:lineRule="auto"/>
        <w:tabs>
          <w:tab w:leader="none" w:pos="1060" w:val="left"/>
        </w:tabs>
        <w:numPr>
          <w:ilvl w:val="0"/>
          <w:numId w:val="68"/>
        </w:numPr>
        <w:rPr>
          <w:rFonts w:ascii="Arial" w:cs="Arial" w:eastAsia="Arial" w:hAnsi="Arial"/>
          <w:sz w:val="18"/>
          <w:szCs w:val="18"/>
          <w:color w:val="32406B"/>
        </w:rPr>
      </w:pPr>
      <w:r>
        <w:rPr>
          <w:rFonts w:ascii="Arial" w:cs="Arial" w:eastAsia="Arial" w:hAnsi="Arial"/>
          <w:sz w:val="18"/>
          <w:szCs w:val="18"/>
          <w:color w:val="32406B"/>
        </w:rPr>
        <w:t>federal civil and criminal false claims laws and civil monetary penalties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w:t>
      </w:r>
    </w:p>
    <w:p>
      <w:pPr>
        <w:spacing w:after="0" w:line="98" w:lineRule="exact"/>
        <w:rPr>
          <w:rFonts w:ascii="Arial" w:cs="Arial" w:eastAsia="Arial" w:hAnsi="Arial"/>
          <w:sz w:val="18"/>
          <w:szCs w:val="18"/>
          <w:color w:val="32406B"/>
        </w:rPr>
      </w:pPr>
    </w:p>
    <w:p>
      <w:pPr>
        <w:ind w:left="1060" w:right="160" w:hanging="424"/>
        <w:spacing w:after="0" w:line="259" w:lineRule="auto"/>
        <w:tabs>
          <w:tab w:leader="none" w:pos="1060" w:val="left"/>
        </w:tabs>
        <w:numPr>
          <w:ilvl w:val="0"/>
          <w:numId w:val="68"/>
        </w:numPr>
        <w:rPr>
          <w:rFonts w:ascii="Arial" w:cs="Arial" w:eastAsia="Arial" w:hAnsi="Arial"/>
          <w:sz w:val="18"/>
          <w:szCs w:val="18"/>
          <w:color w:val="32406B"/>
        </w:rPr>
      </w:pPr>
      <w:r>
        <w:rPr>
          <w:rFonts w:ascii="Arial" w:cs="Arial" w:eastAsia="Arial" w:hAnsi="Arial"/>
          <w:sz w:val="18"/>
          <w:szCs w:val="18"/>
          <w:color w:val="32406B"/>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121</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 w:hanging="424"/>
        <w:spacing w:after="0" w:line="291" w:lineRule="auto"/>
        <w:tabs>
          <w:tab w:leader="none" w:pos="1060" w:val="left"/>
        </w:tabs>
        <w:numPr>
          <w:ilvl w:val="0"/>
          <w:numId w:val="69"/>
        </w:numPr>
        <w:rPr>
          <w:rFonts w:ascii="Arial" w:cs="Arial" w:eastAsia="Arial" w:hAnsi="Arial"/>
          <w:sz w:val="16"/>
          <w:szCs w:val="16"/>
          <w:color w:val="32406B"/>
        </w:rPr>
      </w:pPr>
      <w:r>
        <w:rPr>
          <w:rFonts w:ascii="Arial" w:cs="Arial" w:eastAsia="Arial" w:hAnsi="Arial"/>
          <w:sz w:val="16"/>
          <w:szCs w:val="16"/>
          <w:color w:val="32406B"/>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payer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rFonts w:ascii="Arial" w:cs="Arial" w:eastAsia="Arial" w:hAnsi="Arial"/>
          <w:sz w:val="16"/>
          <w:szCs w:val="16"/>
          <w:color w:val="32406B"/>
        </w:rPr>
      </w:pPr>
    </w:p>
    <w:p>
      <w:pPr>
        <w:ind w:left="1060" w:right="140" w:hanging="424"/>
        <w:spacing w:after="0" w:line="302" w:lineRule="auto"/>
        <w:tabs>
          <w:tab w:leader="none" w:pos="1060" w:val="left"/>
        </w:tabs>
        <w:numPr>
          <w:ilvl w:val="0"/>
          <w:numId w:val="69"/>
        </w:numPr>
        <w:rPr>
          <w:rFonts w:ascii="Arial" w:cs="Arial" w:eastAsia="Arial" w:hAnsi="Arial"/>
          <w:sz w:val="16"/>
          <w:szCs w:val="16"/>
          <w:color w:val="32406B"/>
        </w:rPr>
      </w:pPr>
      <w:r>
        <w:rPr>
          <w:rFonts w:ascii="Arial" w:cs="Arial" w:eastAsia="Arial" w:hAnsi="Arial"/>
          <w:sz w:val="16"/>
          <w:szCs w:val="16"/>
          <w:color w:val="32406B"/>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32406B"/>
        </w:rPr>
      </w:pPr>
    </w:p>
    <w:p>
      <w:pPr>
        <w:ind w:left="1060" w:right="160" w:hanging="424"/>
        <w:spacing w:after="0" w:line="255" w:lineRule="auto"/>
        <w:tabs>
          <w:tab w:leader="none" w:pos="1060" w:val="left"/>
        </w:tabs>
        <w:numPr>
          <w:ilvl w:val="0"/>
          <w:numId w:val="69"/>
        </w:numPr>
        <w:rPr>
          <w:rFonts w:ascii="Arial" w:cs="Arial" w:eastAsia="Arial" w:hAnsi="Arial"/>
          <w:sz w:val="18"/>
          <w:szCs w:val="18"/>
          <w:color w:val="32406B"/>
        </w:rPr>
      </w:pPr>
      <w:r>
        <w:rPr>
          <w:rFonts w:ascii="Arial" w:cs="Arial" w:eastAsia="Arial" w:hAnsi="Arial"/>
          <w:sz w:val="18"/>
          <w:szCs w:val="18"/>
          <w:color w:val="32406B"/>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98" w:lineRule="exact"/>
        <w:rPr>
          <w:rFonts w:ascii="Arial" w:cs="Arial" w:eastAsia="Arial" w:hAnsi="Arial"/>
          <w:sz w:val="18"/>
          <w:szCs w:val="18"/>
          <w:color w:val="32406B"/>
        </w:rPr>
      </w:pPr>
    </w:p>
    <w:p>
      <w:pPr>
        <w:ind w:left="1060" w:right="100" w:hanging="424"/>
        <w:spacing w:after="0" w:line="277" w:lineRule="auto"/>
        <w:tabs>
          <w:tab w:leader="none" w:pos="1060" w:val="left"/>
        </w:tabs>
        <w:numPr>
          <w:ilvl w:val="0"/>
          <w:numId w:val="69"/>
        </w:numPr>
        <w:rPr>
          <w:rFonts w:ascii="Arial" w:cs="Arial" w:eastAsia="Arial" w:hAnsi="Arial"/>
          <w:sz w:val="18"/>
          <w:szCs w:val="18"/>
          <w:color w:val="32406B"/>
        </w:rPr>
      </w:pPr>
      <w:r>
        <w:rPr>
          <w:rFonts w:ascii="Arial" w:cs="Arial" w:eastAsia="Arial" w:hAnsi="Arial"/>
          <w:sz w:val="18"/>
          <w:szCs w:val="18"/>
          <w:color w:val="32406B"/>
        </w:rPr>
        <w:t>federal government price reporting laws, which require us to calculate and report complex pricing metrics in an accurate and timely manner to government programs; and</w:t>
      </w:r>
    </w:p>
    <w:p>
      <w:pPr>
        <w:spacing w:after="0" w:line="75" w:lineRule="exact"/>
        <w:rPr>
          <w:rFonts w:ascii="Arial" w:cs="Arial" w:eastAsia="Arial" w:hAnsi="Arial"/>
          <w:sz w:val="18"/>
          <w:szCs w:val="18"/>
          <w:color w:val="32406B"/>
        </w:rPr>
      </w:pPr>
    </w:p>
    <w:p>
      <w:pPr>
        <w:ind w:left="1060" w:right="160" w:hanging="424"/>
        <w:spacing w:after="0" w:line="277" w:lineRule="auto"/>
        <w:tabs>
          <w:tab w:leader="none" w:pos="1060" w:val="left"/>
        </w:tabs>
        <w:numPr>
          <w:ilvl w:val="0"/>
          <w:numId w:val="69"/>
        </w:numPr>
        <w:rPr>
          <w:rFonts w:ascii="Arial" w:cs="Arial" w:eastAsia="Arial" w:hAnsi="Arial"/>
          <w:sz w:val="18"/>
          <w:szCs w:val="18"/>
          <w:color w:val="32406B"/>
        </w:rPr>
      </w:pPr>
      <w:r>
        <w:rPr>
          <w:rFonts w:ascii="Arial" w:cs="Arial" w:eastAsia="Arial" w:hAnsi="Arial"/>
          <w:sz w:val="18"/>
          <w:szCs w:val="18"/>
          <w:color w:val="32406B"/>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32406B"/>
        </w:rPr>
        <w:t>Additionally, we are subject to state and foreign equivalents of each of the healthcare laws described above, among others, some of which may be broader in scope and may apply regardless of the payer. Many U.S. states 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32406B"/>
        </w:rPr>
        <w:t>Because of the breadth of these laws and the narrowness of the statutory exceptions and safe harbors available, it is possible that some of our business activities could be subject to challenge under one or more of such laws.</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32406B"/>
        </w:rPr>
        <w:t>Violations of fraud and abuse laws may be punishable by criminal and/or civil sanctions, including penalties, fines, imprisonment and/or exclusion or suspension from federal and state healthcare programs such as Medicare and Medicaid and debarment from contracting with the U.S. government. In addition, private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122</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32406B"/>
        </w:rPr>
        <w:t>individuals have the ability to bring actions on behalf of the U.S. government under the federal False Claims Act as well as under the false claims laws of several states.</w:t>
      </w:r>
    </w:p>
    <w:p>
      <w:pPr>
        <w:spacing w:after="0" w:line="170"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32406B"/>
        </w:rPr>
        <w:t>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It is possible that governmental authorities will conclude that our business practices, including our arrangements with physicians and other healthcare providers, some of whom receive stock options as compensation for services provided, may not comply with current or future statutes, regulations, agency guidance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gene therapies outside the United States will also likely subject us to foreign equivalents of the healthcare laws mentioned above, among other foreign laws.</w:t>
      </w:r>
    </w:p>
    <w:p>
      <w:pPr>
        <w:spacing w:after="0" w:line="17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32406B"/>
        </w:rPr>
        <w:t>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 which may also adversely affect our business.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Healthcare Reform</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A primary trend in the U.S. healthcare industry and elsewhere is cost containment. Government authorities and other third-party payers have attempted to control costs by limiting coverage and the amount of reimbursement for particular medical products. For example, in March 2010, the Affordable Care Act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imposed a new federal excise tax on the sale of certain medical devices; created a new Patient Centered Outcomes Research Institute to oversee, identify priorities in and conduct comparative clinical effectiveness research, along with funding for such research; and established the Center for Medicare Innovation at the CMS to test innovative payment and service delivery models to lower Medicare and Medicaid spending.</w:t>
      </w:r>
    </w:p>
    <w:p>
      <w:pPr>
        <w:spacing w:after="0" w:line="18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32406B"/>
        </w:rPr>
        <w:t>Since its enactment, there have been a number of significant changes to the Affordable Care Act. On October 13, 2017, President Trump signed an Executive Order terminating the cost-sharing subsidies that reimburse insurers under the Affordable Care Act.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Affordable Care Act for plans sold through such marketplaces.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123</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32406B"/>
        </w:rPr>
        <w:t>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7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32406B"/>
        </w:rPr>
        <w:t>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 the annual fee imposed on certain health insurance providers based on market share, and the medical device exercise tax on non-exempt medical devices. Further, the Bipartisan Budget Act of 2018, or the BBA, among other things, amends the ACA, effective January 1, 2019, to reduce the coverage gap in most Medicare drug plans, commonly referred to as the “donut hole.” Congress will likely consider other legislation to replace or modify elements of the Affordable Care Act. We continue to evaluate the effect that the Affordable Care Act and its possible repeal, replacement or further modification could have on our business. It is uncertain the extent to which any such changes may impact our business or financial condition.</w:t>
      </w:r>
    </w:p>
    <w:p>
      <w:pPr>
        <w:spacing w:after="0" w:line="16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32406B"/>
        </w:rPr>
        <w:t>In addition, the Budget Control Act of 2011 and the Bipartisan Budget Act of 2015 led to aggregate reductions of Medicare payments to providers of up to 2% per fiscal year that will remain in effect through 2027 unless additional Congressional action is taken. Further,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32406B"/>
        </w:rPr>
        <w:t>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Coverage and Reimbursement</w:t>
      </w:r>
    </w:p>
    <w:p>
      <w:pPr>
        <w:spacing w:after="0" w:line="121"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32406B"/>
        </w:rPr>
        <w:t>Significant uncertainty exists as to the coverage and reimbursement status of any gene therapies for which we obtain regulatory approval. In the United States and markets in other countries, sales of any gene therapies for which we receive regulatory approval for commercial sale will depend, in part, on the availability of coverage and reimbursement from third-party payers. Third-party payers include government authorities, managed care providers, private health insurers and other organizations. The process for determining whether a payer will provide coverage for a product may be separate from the process for setting the reimbursement rate that the payer will pay for the product. Third-party payers may limit coverage to specific products on an approved list, or formulary, which might not include all of the FDA-approved products for a particular indication. A decision by a</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124</w:t>
      </w:r>
    </w:p>
    <w:p>
      <w:pPr>
        <w:sectPr>
          <w:pgSz w:w="11900" w:h="16838" w:orient="portrait"/>
          <w:cols w:equalWidth="0" w:num="1">
            <w:col w:w="11200"/>
          </w:cols>
          <w:pgMar w:left="24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32406B"/>
        </w:rPr>
        <w:t>third-party payer not to cover our gene therapies could reduce physician utilization of our products once approved and have a material adverse effect on our sales, results of operations and financial condition. Moreover, a payer’s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8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32406B"/>
        </w:rPr>
        <w:t>In addition, coverage and reimbursement for products can differ significantly from payer to payer. One third-party payer’s decision to cover a particular medical product or service does not ensure that other payers will also provide coverage for the medical product or service, or will provide coverage at an adequate reimbursement rate.</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32406B"/>
        </w:rPr>
        <w:t>As a result, the coverage determination process will require us to provide scientific and clinical support for the use of our products to each payer separately and will be a time-consuming process.</w:t>
      </w:r>
    </w:p>
    <w:p>
      <w:pPr>
        <w:spacing w:after="0" w:line="17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32406B"/>
        </w:rPr>
        <w:t>Third-party payers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clinical trials in order to demonstrate the medical necessity and cost-effectiveness of such product, in addition to the costs required to obtain regulatory approvals. If third-party payers do not consider a product to be cost-effective compared to other available therapies, they may not cover the product as a benefit under their plans or, if they do, the level of payment may not be sufficient to allow a company to sell its products at a profit.</w:t>
      </w:r>
    </w:p>
    <w:p>
      <w:pPr>
        <w:spacing w:after="0" w:line="15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Facilities</w:t>
      </w:r>
    </w:p>
    <w:p>
      <w:pPr>
        <w:spacing w:after="0" w:line="121"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32406B"/>
        </w:rPr>
        <w:t>Our corporate headquarters are located in Cambridge, Massachusetts. Our current leased facility encompasses approximately 4,580 square feet of office and laboratory space initially, with the ability to expand up to 11,218 square feet during 2018. The lease for this facility expires in January 2023.</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Employees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32406B"/>
        </w:rPr>
        <w:t>As of June 1, 2018, we had 34 full-time employees, 16 of whom have Ph.D. or M.D. degrees. Of these full-time employees, 24 employees are engaged in research and development activities and ten employees are engaged in finance, legal, human resources, facilities and general management. We have no collective bargaining agreements with our employees and we have not experienced any work stoppages. We consider our relations with our employees to be good.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Legal Proceedings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From time to time, we are subject to various legal proceedings and claims that arise in the ordinary course of our business activities. Although the results of litigation and claims cannot be predicted with certainty, as of the date of this prospectus,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125</w:t>
      </w:r>
    </w:p>
    <w:p>
      <w:pPr>
        <w:sectPr>
          <w:pgSz w:w="11900" w:h="16838" w:orient="portrait"/>
          <w:cols w:equalWidth="0" w:num="1">
            <w:col w:w="11180"/>
          </w:cols>
          <w:pgMar w:left="24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MANAGEMENT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sets forth the name, age and position of each of our executive officers and directors as of June 15,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620" w:type="dxa"/>
            <w:vAlign w:val="bottom"/>
            <w:gridSpan w:val="3"/>
          </w:tcPr>
          <w:p>
            <w:pPr>
              <w:spacing w:after="0"/>
              <w:rPr>
                <w:sz w:val="20"/>
                <w:szCs w:val="20"/>
                <w:color w:val="auto"/>
              </w:rPr>
            </w:pPr>
            <w:r>
              <w:rPr>
                <w:rFonts w:ascii="Arial" w:cs="Arial" w:eastAsia="Arial" w:hAnsi="Arial"/>
                <w:sz w:val="14"/>
                <w:szCs w:val="14"/>
                <w:b w:val="1"/>
                <w:bCs w:val="1"/>
                <w:color w:val="32406B"/>
              </w:rPr>
              <w:t>NAME</w:t>
            </w:r>
          </w:p>
        </w:tc>
        <w:tc>
          <w:tcPr>
            <w:tcW w:w="920" w:type="dxa"/>
            <w:vAlign w:val="bottom"/>
            <w:gridSpan w:val="2"/>
          </w:tcPr>
          <w:p>
            <w:pPr>
              <w:jc w:val="center"/>
              <w:ind w:left="492"/>
              <w:spacing w:after="0"/>
              <w:rPr>
                <w:sz w:val="20"/>
                <w:szCs w:val="20"/>
                <w:color w:val="auto"/>
              </w:rPr>
            </w:pPr>
            <w:r>
              <w:rPr>
                <w:rFonts w:ascii="Arial" w:cs="Arial" w:eastAsia="Arial" w:hAnsi="Arial"/>
                <w:sz w:val="14"/>
                <w:szCs w:val="14"/>
                <w:b w:val="1"/>
                <w:bCs w:val="1"/>
                <w:color w:val="32406B"/>
                <w:w w:val="98"/>
              </w:rPr>
              <w:t>AGE</w:t>
            </w:r>
          </w:p>
        </w:tc>
        <w:tc>
          <w:tcPr>
            <w:tcW w:w="6500" w:type="dxa"/>
            <w:vAlign w:val="bottom"/>
            <w:gridSpan w:val="3"/>
          </w:tcPr>
          <w:p>
            <w:pPr>
              <w:ind w:left="380"/>
              <w:spacing w:after="0"/>
              <w:rPr>
                <w:sz w:val="20"/>
                <w:szCs w:val="20"/>
                <w:color w:val="auto"/>
              </w:rPr>
            </w:pPr>
            <w:r>
              <w:rPr>
                <w:rFonts w:ascii="Arial" w:cs="Arial" w:eastAsia="Arial" w:hAnsi="Arial"/>
                <w:sz w:val="14"/>
                <w:szCs w:val="14"/>
                <w:b w:val="1"/>
                <w:bCs w:val="1"/>
                <w:color w:val="32406B"/>
              </w:rPr>
              <w:t>POSITION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32406B"/>
              </w:rPr>
              <w:t>Executive Officers</w:t>
            </w: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620" w:type="dxa"/>
            <w:vAlign w:val="bottom"/>
            <w:gridSpan w:val="3"/>
          </w:tcPr>
          <w:p>
            <w:pPr>
              <w:spacing w:after="0"/>
              <w:rPr>
                <w:sz w:val="20"/>
                <w:szCs w:val="20"/>
                <w:color w:val="auto"/>
              </w:rPr>
            </w:pPr>
            <w:r>
              <w:rPr>
                <w:rFonts w:ascii="Arial" w:cs="Arial" w:eastAsia="Arial" w:hAnsi="Arial"/>
                <w:sz w:val="18"/>
                <w:szCs w:val="18"/>
                <w:color w:val="32406B"/>
              </w:rPr>
              <w:t>Geoff MacKay</w:t>
            </w:r>
          </w:p>
        </w:tc>
        <w:tc>
          <w:tcPr>
            <w:tcW w:w="920" w:type="dxa"/>
            <w:vAlign w:val="bottom"/>
            <w:gridSpan w:val="2"/>
          </w:tcPr>
          <w:p>
            <w:pPr>
              <w:jc w:val="center"/>
              <w:ind w:left="492"/>
              <w:spacing w:after="0"/>
              <w:rPr>
                <w:sz w:val="20"/>
                <w:szCs w:val="20"/>
                <w:color w:val="auto"/>
              </w:rPr>
            </w:pPr>
            <w:r>
              <w:rPr>
                <w:rFonts w:ascii="Arial" w:cs="Arial" w:eastAsia="Arial" w:hAnsi="Arial"/>
                <w:sz w:val="18"/>
                <w:szCs w:val="18"/>
                <w:color w:val="32406B"/>
                <w:w w:val="89"/>
              </w:rPr>
              <w:t>51</w:t>
            </w:r>
          </w:p>
        </w:tc>
        <w:tc>
          <w:tcPr>
            <w:tcW w:w="6500" w:type="dxa"/>
            <w:vAlign w:val="bottom"/>
            <w:gridSpan w:val="3"/>
          </w:tcPr>
          <w:p>
            <w:pPr>
              <w:ind w:left="380"/>
              <w:spacing w:after="0"/>
              <w:rPr>
                <w:sz w:val="20"/>
                <w:szCs w:val="20"/>
                <w:color w:val="auto"/>
              </w:rPr>
            </w:pPr>
            <w:r>
              <w:rPr>
                <w:rFonts w:ascii="Arial" w:cs="Arial" w:eastAsia="Arial" w:hAnsi="Arial"/>
                <w:sz w:val="18"/>
                <w:szCs w:val="18"/>
                <w:color w:val="32406B"/>
              </w:rPr>
              <w:t>President, Chief Executive Officer and 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Katina Dorton</w:t>
            </w:r>
          </w:p>
        </w:tc>
        <w:tc>
          <w:tcPr>
            <w:tcW w:w="9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32406B"/>
                <w:w w:val="89"/>
              </w:rPr>
              <w:t>60</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32406B"/>
              </w:rPr>
              <w:t>Chief Financial Officer</w:t>
            </w:r>
          </w:p>
        </w:tc>
        <w:tc>
          <w:tcPr>
            <w:tcW w:w="0" w:type="dxa"/>
            <w:vAlign w:val="bottom"/>
          </w:tcPr>
          <w:p>
            <w:pPr>
              <w:spacing w:after="0"/>
              <w:rPr>
                <w:sz w:val="1"/>
                <w:szCs w:val="1"/>
                <w:color w:val="auto"/>
              </w:rPr>
            </w:pPr>
          </w:p>
        </w:tc>
      </w:tr>
      <w:tr>
        <w:trPr>
          <w:trHeight w:val="284"/>
        </w:trPr>
        <w:tc>
          <w:tcPr>
            <w:tcW w:w="3620" w:type="dxa"/>
            <w:vAlign w:val="bottom"/>
            <w:gridSpan w:val="3"/>
          </w:tcPr>
          <w:p>
            <w:pPr>
              <w:spacing w:after="0"/>
              <w:rPr>
                <w:sz w:val="20"/>
                <w:szCs w:val="20"/>
                <w:color w:val="auto"/>
              </w:rPr>
            </w:pPr>
            <w:r>
              <w:rPr>
                <w:rFonts w:ascii="Arial" w:cs="Arial" w:eastAsia="Arial" w:hAnsi="Arial"/>
                <w:sz w:val="18"/>
                <w:szCs w:val="18"/>
                <w:color w:val="32406B"/>
              </w:rPr>
              <w:t>Nerissa Kreher, M.D.</w:t>
            </w:r>
          </w:p>
        </w:tc>
        <w:tc>
          <w:tcPr>
            <w:tcW w:w="920" w:type="dxa"/>
            <w:vAlign w:val="bottom"/>
            <w:gridSpan w:val="2"/>
          </w:tcPr>
          <w:p>
            <w:pPr>
              <w:jc w:val="center"/>
              <w:ind w:left="492"/>
              <w:spacing w:after="0"/>
              <w:rPr>
                <w:sz w:val="20"/>
                <w:szCs w:val="20"/>
                <w:color w:val="auto"/>
              </w:rPr>
            </w:pPr>
            <w:r>
              <w:rPr>
                <w:rFonts w:ascii="Arial" w:cs="Arial" w:eastAsia="Arial" w:hAnsi="Arial"/>
                <w:sz w:val="18"/>
                <w:szCs w:val="18"/>
                <w:color w:val="32406B"/>
                <w:w w:val="89"/>
              </w:rPr>
              <w:t>45</w:t>
            </w:r>
          </w:p>
        </w:tc>
        <w:tc>
          <w:tcPr>
            <w:tcW w:w="6500" w:type="dxa"/>
            <w:vAlign w:val="bottom"/>
            <w:gridSpan w:val="3"/>
          </w:tcPr>
          <w:p>
            <w:pPr>
              <w:ind w:left="380"/>
              <w:spacing w:after="0"/>
              <w:rPr>
                <w:sz w:val="20"/>
                <w:szCs w:val="20"/>
                <w:color w:val="auto"/>
              </w:rPr>
            </w:pPr>
            <w:r>
              <w:rPr>
                <w:rFonts w:ascii="Arial" w:cs="Arial" w:eastAsia="Arial" w:hAnsi="Arial"/>
                <w:sz w:val="18"/>
                <w:szCs w:val="18"/>
                <w:color w:val="32406B"/>
              </w:rPr>
              <w:t>Chief Medical Officer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Non-Employee Directors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620" w:type="dxa"/>
            <w:vAlign w:val="bottom"/>
            <w:gridSpan w:val="3"/>
          </w:tcPr>
          <w:p>
            <w:pPr>
              <w:spacing w:after="0"/>
              <w:rPr>
                <w:sz w:val="20"/>
                <w:szCs w:val="20"/>
                <w:color w:val="auto"/>
              </w:rPr>
            </w:pPr>
            <w:r>
              <w:rPr>
                <w:rFonts w:ascii="Arial" w:cs="Arial" w:eastAsia="Arial" w:hAnsi="Arial"/>
                <w:sz w:val="18"/>
                <w:szCs w:val="18"/>
                <w:color w:val="32406B"/>
              </w:rPr>
              <w:t>Bruce Booth, D.Phil.</w:t>
            </w:r>
            <w:r>
              <w:rPr>
                <w:rFonts w:ascii="Arial" w:cs="Arial" w:eastAsia="Arial" w:hAnsi="Arial"/>
                <w:sz w:val="15"/>
                <w:szCs w:val="15"/>
                <w:color w:val="32406B"/>
              </w:rPr>
              <w:t>(2)</w:t>
            </w:r>
          </w:p>
        </w:tc>
        <w:tc>
          <w:tcPr>
            <w:tcW w:w="920" w:type="dxa"/>
            <w:vAlign w:val="bottom"/>
            <w:gridSpan w:val="2"/>
          </w:tcPr>
          <w:p>
            <w:pPr>
              <w:jc w:val="center"/>
              <w:ind w:left="492"/>
              <w:spacing w:after="0"/>
              <w:rPr>
                <w:sz w:val="20"/>
                <w:szCs w:val="20"/>
                <w:color w:val="auto"/>
              </w:rPr>
            </w:pPr>
            <w:r>
              <w:rPr>
                <w:rFonts w:ascii="Arial" w:cs="Arial" w:eastAsia="Arial" w:hAnsi="Arial"/>
                <w:sz w:val="18"/>
                <w:szCs w:val="18"/>
                <w:color w:val="32406B"/>
                <w:w w:val="89"/>
              </w:rPr>
              <w:t>43</w:t>
            </w:r>
          </w:p>
        </w:tc>
        <w:tc>
          <w:tcPr>
            <w:tcW w:w="6500" w:type="dxa"/>
            <w:vAlign w:val="bottom"/>
            <w:gridSpan w:val="3"/>
          </w:tcPr>
          <w:p>
            <w:pPr>
              <w:ind w:left="380"/>
              <w:spacing w:after="0"/>
              <w:rPr>
                <w:sz w:val="20"/>
                <w:szCs w:val="20"/>
                <w:color w:val="auto"/>
              </w:rPr>
            </w:pPr>
            <w:r>
              <w:rPr>
                <w:rFonts w:ascii="Arial" w:cs="Arial" w:eastAsia="Arial" w:hAnsi="Arial"/>
                <w:sz w:val="18"/>
                <w:szCs w:val="18"/>
                <w:color w:val="32406B"/>
              </w:rPr>
              <w:t>Chairman of the Board of Directors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Ian Clark</w:t>
            </w:r>
            <w:r>
              <w:rPr>
                <w:rFonts w:ascii="Arial" w:cs="Arial" w:eastAsia="Arial" w:hAnsi="Arial"/>
                <w:sz w:val="15"/>
                <w:szCs w:val="15"/>
                <w:color w:val="32406B"/>
              </w:rPr>
              <w:t>(2)</w:t>
            </w:r>
          </w:p>
        </w:tc>
        <w:tc>
          <w:tcPr>
            <w:tcW w:w="9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32406B"/>
                <w:w w:val="89"/>
              </w:rPr>
              <w:t>57</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32406B"/>
              </w:rPr>
              <w:t>Director</w:t>
            </w:r>
          </w:p>
        </w:tc>
        <w:tc>
          <w:tcPr>
            <w:tcW w:w="0" w:type="dxa"/>
            <w:vAlign w:val="bottom"/>
          </w:tcPr>
          <w:p>
            <w:pPr>
              <w:spacing w:after="0"/>
              <w:rPr>
                <w:sz w:val="1"/>
                <w:szCs w:val="1"/>
                <w:color w:val="auto"/>
              </w:rPr>
            </w:pPr>
          </w:p>
        </w:tc>
      </w:tr>
      <w:tr>
        <w:trPr>
          <w:trHeight w:val="284"/>
        </w:trPr>
        <w:tc>
          <w:tcPr>
            <w:tcW w:w="3620" w:type="dxa"/>
            <w:vAlign w:val="bottom"/>
            <w:gridSpan w:val="3"/>
          </w:tcPr>
          <w:p>
            <w:pPr>
              <w:spacing w:after="0"/>
              <w:rPr>
                <w:sz w:val="20"/>
                <w:szCs w:val="20"/>
                <w:color w:val="auto"/>
              </w:rPr>
            </w:pPr>
            <w:r>
              <w:rPr>
                <w:rFonts w:ascii="Arial" w:cs="Arial" w:eastAsia="Arial" w:hAnsi="Arial"/>
                <w:sz w:val="18"/>
                <w:szCs w:val="18"/>
                <w:color w:val="32406B"/>
              </w:rPr>
              <w:t>Phillip Donenberg</w:t>
            </w:r>
            <w:r>
              <w:rPr>
                <w:rFonts w:ascii="Arial" w:cs="Arial" w:eastAsia="Arial" w:hAnsi="Arial"/>
                <w:sz w:val="15"/>
                <w:szCs w:val="15"/>
                <w:color w:val="32406B"/>
              </w:rPr>
              <w:t>(1)</w:t>
            </w:r>
          </w:p>
        </w:tc>
        <w:tc>
          <w:tcPr>
            <w:tcW w:w="920" w:type="dxa"/>
            <w:vAlign w:val="bottom"/>
            <w:gridSpan w:val="2"/>
          </w:tcPr>
          <w:p>
            <w:pPr>
              <w:jc w:val="center"/>
              <w:ind w:left="492"/>
              <w:spacing w:after="0"/>
              <w:rPr>
                <w:sz w:val="20"/>
                <w:szCs w:val="20"/>
                <w:color w:val="auto"/>
              </w:rPr>
            </w:pPr>
            <w:r>
              <w:rPr>
                <w:rFonts w:ascii="Arial" w:cs="Arial" w:eastAsia="Arial" w:hAnsi="Arial"/>
                <w:sz w:val="18"/>
                <w:szCs w:val="18"/>
                <w:color w:val="32406B"/>
                <w:w w:val="89"/>
              </w:rPr>
              <w:t>57</w:t>
            </w:r>
          </w:p>
        </w:tc>
        <w:tc>
          <w:tcPr>
            <w:tcW w:w="6500" w:type="dxa"/>
            <w:vAlign w:val="bottom"/>
            <w:gridSpan w:val="3"/>
          </w:tcPr>
          <w:p>
            <w:pPr>
              <w:ind w:left="380"/>
              <w:spacing w:after="0"/>
              <w:rPr>
                <w:sz w:val="20"/>
                <w:szCs w:val="20"/>
                <w:color w:val="auto"/>
              </w:rPr>
            </w:pPr>
            <w:r>
              <w:rPr>
                <w:rFonts w:ascii="Arial" w:cs="Arial" w:eastAsia="Arial" w:hAnsi="Arial"/>
                <w:sz w:val="18"/>
                <w:szCs w:val="18"/>
                <w:color w:val="32406B"/>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Annalisa Jenkins, M.B.B.S., F.R.C.P.</w:t>
            </w:r>
            <w:r>
              <w:rPr>
                <w:rFonts w:ascii="Arial" w:cs="Arial" w:eastAsia="Arial" w:hAnsi="Arial"/>
                <w:sz w:val="15"/>
                <w:szCs w:val="15"/>
                <w:color w:val="32406B"/>
              </w:rPr>
              <w:t>(1)(3)</w:t>
            </w:r>
          </w:p>
        </w:tc>
        <w:tc>
          <w:tcPr>
            <w:tcW w:w="920" w:type="dxa"/>
            <w:vAlign w:val="bottom"/>
            <w:gridSpan w:val="2"/>
            <w:vMerge w:val="restart"/>
            <w:shd w:val="clear" w:color="auto" w:fill="CCEEFF"/>
          </w:tcPr>
          <w:p>
            <w:pPr>
              <w:jc w:val="center"/>
              <w:ind w:left="492"/>
              <w:spacing w:after="0"/>
              <w:rPr>
                <w:sz w:val="20"/>
                <w:szCs w:val="20"/>
                <w:color w:val="auto"/>
              </w:rPr>
            </w:pPr>
            <w:r>
              <w:rPr>
                <w:rFonts w:ascii="Arial" w:cs="Arial" w:eastAsia="Arial" w:hAnsi="Arial"/>
                <w:sz w:val="18"/>
                <w:szCs w:val="18"/>
                <w:color w:val="32406B"/>
                <w:w w:val="89"/>
              </w:rPr>
              <w:t>52</w:t>
            </w:r>
          </w:p>
        </w:tc>
        <w:tc>
          <w:tcPr>
            <w:tcW w:w="6500" w:type="dxa"/>
            <w:vAlign w:val="bottom"/>
            <w:gridSpan w:val="3"/>
            <w:vMerge w:val="restart"/>
            <w:shd w:val="clear" w:color="auto" w:fill="CCEEFF"/>
          </w:tcPr>
          <w:p>
            <w:pPr>
              <w:ind w:left="380"/>
              <w:spacing w:after="0"/>
              <w:rPr>
                <w:sz w:val="20"/>
                <w:szCs w:val="20"/>
                <w:color w:val="auto"/>
              </w:rPr>
            </w:pPr>
            <w:r>
              <w:rPr>
                <w:rFonts w:ascii="Arial" w:cs="Arial" w:eastAsia="Arial" w:hAnsi="Arial"/>
                <w:sz w:val="18"/>
                <w:szCs w:val="18"/>
                <w:color w:val="32406B"/>
              </w:rPr>
              <w:t>Director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650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620" w:type="dxa"/>
            <w:vAlign w:val="bottom"/>
            <w:gridSpan w:val="3"/>
          </w:tcPr>
          <w:p>
            <w:pPr>
              <w:spacing w:after="0"/>
              <w:rPr>
                <w:sz w:val="20"/>
                <w:szCs w:val="20"/>
                <w:color w:val="auto"/>
              </w:rPr>
            </w:pPr>
            <w:r>
              <w:rPr>
                <w:rFonts w:ascii="Arial" w:cs="Arial" w:eastAsia="Arial" w:hAnsi="Arial"/>
                <w:sz w:val="18"/>
                <w:szCs w:val="18"/>
                <w:color w:val="32406B"/>
              </w:rPr>
              <w:t>Christopher Paige, Ph.D.</w:t>
            </w:r>
            <w:r>
              <w:rPr>
                <w:rFonts w:ascii="Arial" w:cs="Arial" w:eastAsia="Arial" w:hAnsi="Arial"/>
                <w:sz w:val="15"/>
                <w:szCs w:val="15"/>
                <w:color w:val="32406B"/>
              </w:rPr>
              <w:t>(3)</w:t>
            </w:r>
          </w:p>
        </w:tc>
        <w:tc>
          <w:tcPr>
            <w:tcW w:w="920" w:type="dxa"/>
            <w:vAlign w:val="bottom"/>
            <w:gridSpan w:val="2"/>
          </w:tcPr>
          <w:p>
            <w:pPr>
              <w:jc w:val="center"/>
              <w:ind w:left="492"/>
              <w:spacing w:after="0"/>
              <w:rPr>
                <w:sz w:val="20"/>
                <w:szCs w:val="20"/>
                <w:color w:val="auto"/>
              </w:rPr>
            </w:pPr>
            <w:r>
              <w:rPr>
                <w:rFonts w:ascii="Arial" w:cs="Arial" w:eastAsia="Arial" w:hAnsi="Arial"/>
                <w:sz w:val="18"/>
                <w:szCs w:val="18"/>
                <w:color w:val="32406B"/>
                <w:w w:val="89"/>
              </w:rPr>
              <w:t>65</w:t>
            </w:r>
          </w:p>
        </w:tc>
        <w:tc>
          <w:tcPr>
            <w:tcW w:w="6500" w:type="dxa"/>
            <w:vAlign w:val="bottom"/>
            <w:gridSpan w:val="3"/>
          </w:tcPr>
          <w:p>
            <w:pPr>
              <w:ind w:left="380"/>
              <w:spacing w:after="0"/>
              <w:rPr>
                <w:sz w:val="20"/>
                <w:szCs w:val="20"/>
                <w:color w:val="auto"/>
              </w:rPr>
            </w:pPr>
            <w:r>
              <w:rPr>
                <w:rFonts w:ascii="Arial" w:cs="Arial" w:eastAsia="Arial" w:hAnsi="Arial"/>
                <w:sz w:val="18"/>
                <w:szCs w:val="18"/>
                <w:color w:val="32406B"/>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Scott Requadt</w:t>
            </w:r>
            <w:r>
              <w:rPr>
                <w:rFonts w:ascii="Arial" w:cs="Arial" w:eastAsia="Arial" w:hAnsi="Arial"/>
                <w:sz w:val="15"/>
                <w:szCs w:val="15"/>
                <w:color w:val="32406B"/>
              </w:rPr>
              <w:t>(1)(2)</w:t>
            </w:r>
          </w:p>
        </w:tc>
        <w:tc>
          <w:tcPr>
            <w:tcW w:w="9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32406B"/>
                <w:w w:val="89"/>
              </w:rPr>
              <w:t>50</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32406B"/>
              </w:rPr>
              <w:t>Director</w:t>
            </w:r>
          </w:p>
        </w:tc>
        <w:tc>
          <w:tcPr>
            <w:tcW w:w="0" w:type="dxa"/>
            <w:vAlign w:val="bottom"/>
          </w:tcPr>
          <w:p>
            <w:pPr>
              <w:spacing w:after="0"/>
              <w:rPr>
                <w:sz w:val="1"/>
                <w:szCs w:val="1"/>
                <w:color w:val="auto"/>
              </w:rPr>
            </w:pPr>
          </w:p>
        </w:tc>
      </w:tr>
      <w:tr>
        <w:trPr>
          <w:trHeight w:val="284"/>
        </w:trPr>
        <w:tc>
          <w:tcPr>
            <w:tcW w:w="3620" w:type="dxa"/>
            <w:vAlign w:val="bottom"/>
            <w:gridSpan w:val="3"/>
          </w:tcPr>
          <w:p>
            <w:pPr>
              <w:spacing w:after="0"/>
              <w:rPr>
                <w:sz w:val="20"/>
                <w:szCs w:val="20"/>
                <w:color w:val="auto"/>
              </w:rPr>
            </w:pPr>
            <w:r>
              <w:rPr>
                <w:rFonts w:ascii="Arial" w:cs="Arial" w:eastAsia="Arial" w:hAnsi="Arial"/>
                <w:sz w:val="18"/>
                <w:szCs w:val="18"/>
                <w:color w:val="32406B"/>
              </w:rPr>
              <w:t>Joshua Resnick, M.D.</w:t>
            </w:r>
            <w:r>
              <w:rPr>
                <w:rFonts w:ascii="Arial" w:cs="Arial" w:eastAsia="Arial" w:hAnsi="Arial"/>
                <w:sz w:val="15"/>
                <w:szCs w:val="15"/>
                <w:color w:val="32406B"/>
              </w:rPr>
              <w:t>(3)</w:t>
            </w:r>
          </w:p>
        </w:tc>
        <w:tc>
          <w:tcPr>
            <w:tcW w:w="920" w:type="dxa"/>
            <w:vAlign w:val="bottom"/>
            <w:gridSpan w:val="2"/>
          </w:tcPr>
          <w:p>
            <w:pPr>
              <w:jc w:val="center"/>
              <w:ind w:left="492"/>
              <w:spacing w:after="0"/>
              <w:rPr>
                <w:sz w:val="20"/>
                <w:szCs w:val="20"/>
                <w:color w:val="auto"/>
              </w:rPr>
            </w:pPr>
            <w:r>
              <w:rPr>
                <w:rFonts w:ascii="Arial" w:cs="Arial" w:eastAsia="Arial" w:hAnsi="Arial"/>
                <w:sz w:val="18"/>
                <w:szCs w:val="18"/>
                <w:color w:val="32406B"/>
                <w:w w:val="89"/>
              </w:rPr>
              <w:t>42</w:t>
            </w:r>
          </w:p>
        </w:tc>
        <w:tc>
          <w:tcPr>
            <w:tcW w:w="6500" w:type="dxa"/>
            <w:vAlign w:val="bottom"/>
            <w:gridSpan w:val="3"/>
          </w:tcPr>
          <w:p>
            <w:pPr>
              <w:ind w:left="380"/>
              <w:spacing w:after="0"/>
              <w:rPr>
                <w:sz w:val="20"/>
                <w:szCs w:val="20"/>
                <w:color w:val="auto"/>
              </w:rPr>
            </w:pPr>
            <w:r>
              <w:rPr>
                <w:rFonts w:ascii="Arial" w:cs="Arial" w:eastAsia="Arial" w:hAnsi="Arial"/>
                <w:sz w:val="18"/>
                <w:szCs w:val="18"/>
                <w:color w:val="32406B"/>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70"/>
        </w:numPr>
        <w:rPr>
          <w:rFonts w:ascii="Arial" w:cs="Arial" w:eastAsia="Arial" w:hAnsi="Arial"/>
          <w:sz w:val="18"/>
          <w:szCs w:val="18"/>
          <w:color w:val="32406B"/>
        </w:rPr>
      </w:pPr>
      <w:r>
        <w:rPr>
          <w:rFonts w:ascii="Arial" w:cs="Arial" w:eastAsia="Arial" w:hAnsi="Arial"/>
          <w:sz w:val="18"/>
          <w:szCs w:val="18"/>
          <w:color w:val="32406B"/>
        </w:rPr>
        <w:t>Member of the audit committee</w:t>
      </w:r>
    </w:p>
    <w:p>
      <w:pPr>
        <w:spacing w:after="0" w:line="23" w:lineRule="exact"/>
        <w:rPr>
          <w:rFonts w:ascii="Arial" w:cs="Arial" w:eastAsia="Arial" w:hAnsi="Arial"/>
          <w:sz w:val="18"/>
          <w:szCs w:val="18"/>
          <w:color w:val="32406B"/>
        </w:rPr>
      </w:pPr>
    </w:p>
    <w:p>
      <w:pPr>
        <w:ind w:left="640" w:hanging="436"/>
        <w:spacing w:after="0"/>
        <w:tabs>
          <w:tab w:leader="none" w:pos="640" w:val="left"/>
        </w:tabs>
        <w:numPr>
          <w:ilvl w:val="0"/>
          <w:numId w:val="70"/>
        </w:numPr>
        <w:rPr>
          <w:rFonts w:ascii="Arial" w:cs="Arial" w:eastAsia="Arial" w:hAnsi="Arial"/>
          <w:sz w:val="18"/>
          <w:szCs w:val="18"/>
          <w:color w:val="32406B"/>
        </w:rPr>
      </w:pPr>
      <w:r>
        <w:rPr>
          <w:rFonts w:ascii="Arial" w:cs="Arial" w:eastAsia="Arial" w:hAnsi="Arial"/>
          <w:sz w:val="18"/>
          <w:szCs w:val="18"/>
          <w:color w:val="32406B"/>
        </w:rPr>
        <w:t>Member of the compensation committee</w:t>
      </w:r>
    </w:p>
    <w:p>
      <w:pPr>
        <w:spacing w:after="0" w:line="9" w:lineRule="exact"/>
        <w:rPr>
          <w:rFonts w:ascii="Arial" w:cs="Arial" w:eastAsia="Arial" w:hAnsi="Arial"/>
          <w:sz w:val="18"/>
          <w:szCs w:val="18"/>
          <w:color w:val="32406B"/>
        </w:rPr>
      </w:pPr>
    </w:p>
    <w:p>
      <w:pPr>
        <w:ind w:left="640" w:hanging="436"/>
        <w:spacing w:after="0"/>
        <w:tabs>
          <w:tab w:leader="none" w:pos="640" w:val="left"/>
        </w:tabs>
        <w:numPr>
          <w:ilvl w:val="0"/>
          <w:numId w:val="70"/>
        </w:numPr>
        <w:rPr>
          <w:rFonts w:ascii="Arial" w:cs="Arial" w:eastAsia="Arial" w:hAnsi="Arial"/>
          <w:sz w:val="18"/>
          <w:szCs w:val="18"/>
          <w:color w:val="32406B"/>
        </w:rPr>
      </w:pPr>
      <w:r>
        <w:rPr>
          <w:rFonts w:ascii="Arial" w:cs="Arial" w:eastAsia="Arial" w:hAnsi="Arial"/>
          <w:sz w:val="18"/>
          <w:szCs w:val="18"/>
          <w:color w:val="32406B"/>
        </w:rPr>
        <w:t>Member of the nominating and corporate governance committee</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Executive Officers</w:t>
      </w:r>
    </w:p>
    <w:p>
      <w:pPr>
        <w:spacing w:after="0" w:line="121" w:lineRule="exact"/>
        <w:rPr>
          <w:sz w:val="20"/>
          <w:szCs w:val="20"/>
          <w:color w:val="auto"/>
        </w:rPr>
      </w:pPr>
    </w:p>
    <w:p>
      <w:pPr>
        <w:jc w:val="both"/>
        <w:ind w:left="200" w:right="360" w:firstLine="441"/>
        <w:spacing w:after="0" w:line="286" w:lineRule="auto"/>
        <w:rPr>
          <w:sz w:val="20"/>
          <w:szCs w:val="20"/>
          <w:color w:val="auto"/>
        </w:rPr>
      </w:pPr>
      <w:r>
        <w:rPr>
          <w:rFonts w:ascii="Arial" w:cs="Arial" w:eastAsia="Arial" w:hAnsi="Arial"/>
          <w:sz w:val="16"/>
          <w:szCs w:val="16"/>
          <w:b w:val="1"/>
          <w:bCs w:val="1"/>
          <w:i w:val="1"/>
          <w:iCs w:val="1"/>
          <w:color w:val="32406B"/>
        </w:rPr>
        <w:t xml:space="preserve">Geoff MacKay </w:t>
      </w:r>
      <w:r>
        <w:rPr>
          <w:rFonts w:ascii="Arial" w:cs="Arial" w:eastAsia="Arial" w:hAnsi="Arial"/>
          <w:sz w:val="16"/>
          <w:szCs w:val="16"/>
          <w:color w:val="32406B"/>
        </w:rPr>
        <w:t>is our co-founder and has been our chief executive officer and director since November 2015. From April 2015 to June 2017,</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Mr. MacKay served as interim chief executive officer of eGenesis, Inc., a biotechnology company, and from December 2003 to December 2014, he served as chief executive officer of Organogensis Inc., a biotechnology company. Prior to that, from February 1993 to December 2003, Mr. MacKay served in various senior leadership positions within the global transplantation &amp; immunology franchise at Novartis Canada, Global (Basel), USA.</w:t>
      </w:r>
    </w:p>
    <w:p>
      <w:pPr>
        <w:spacing w:after="0" w:line="2" w:lineRule="exact"/>
        <w:rPr>
          <w:sz w:val="20"/>
          <w:szCs w:val="20"/>
          <w:color w:val="auto"/>
        </w:rPr>
      </w:pPr>
    </w:p>
    <w:p>
      <w:pPr>
        <w:ind w:left="200" w:right="200"/>
        <w:spacing w:after="0" w:line="273" w:lineRule="auto"/>
        <w:rPr>
          <w:sz w:val="20"/>
          <w:szCs w:val="20"/>
          <w:color w:val="auto"/>
        </w:rPr>
      </w:pPr>
      <w:r>
        <w:rPr>
          <w:rFonts w:ascii="Arial" w:cs="Arial" w:eastAsia="Arial" w:hAnsi="Arial"/>
          <w:sz w:val="17"/>
          <w:szCs w:val="17"/>
          <w:color w:val="32406B"/>
        </w:rPr>
        <w:t>Mr. MacKay has served on the board of directors of Replicel, Inc., a regenerative medicine company, since 2016 and previously served as chairman of the board of MassBio, chairman of the board of the Alliance of Regenerative Medicine, and on the advisory council to the Health Policy Commission for Massachusetts. Mr. MacKay holds a B.A in psychology and a graduate certificate in marketing management from McGill University. We believe Mr. MacKay is qualified to serve on our board because of his executive experience in our industry.</w:t>
      </w:r>
    </w:p>
    <w:p>
      <w:pPr>
        <w:spacing w:after="0" w:line="17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b w:val="1"/>
          <w:bCs w:val="1"/>
          <w:i w:val="1"/>
          <w:iCs w:val="1"/>
          <w:color w:val="32406B"/>
        </w:rPr>
        <w:t xml:space="preserve">Katina Dorton </w:t>
      </w:r>
      <w:r>
        <w:rPr>
          <w:rFonts w:ascii="Arial" w:cs="Arial" w:eastAsia="Arial" w:hAnsi="Arial"/>
          <w:sz w:val="17"/>
          <w:szCs w:val="17"/>
          <w:color w:val="32406B"/>
        </w:rPr>
        <w:t>has been our chief financial officer since August 2017. Prior to joining our company, she served as chief financial officer of</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Immatics GmbH, a biotechnology company, from 2015 to 2017. Ms. Dorton also served as the principle owner of Doric LLC, an advisory firm, from 2011 to 2015, where she provided consulting services to public and private companies in the areas of mergers and acquisitions and strategic finance. Prior to that, she served as managing director at Needham &amp; Co., managing director-investment banking at Morgan Stanley and as an attorney in private practice at Sullivan &amp; Cromwell. Ms. Dorton serves on the board of directors of US Ecology, Inc. Ms. Dorton holds a J.D. from the University of Virginia School of Law, an M.B.A. from George Washington University, and a B.A. from Duke University.</w:t>
      </w:r>
    </w:p>
    <w:p>
      <w:pPr>
        <w:spacing w:after="0" w:line="178"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b w:val="1"/>
          <w:bCs w:val="1"/>
          <w:i w:val="1"/>
          <w:iCs w:val="1"/>
          <w:color w:val="32406B"/>
        </w:rPr>
        <w:t xml:space="preserve">Nerissa Kreher, M.D. </w:t>
      </w:r>
      <w:r>
        <w:rPr>
          <w:rFonts w:ascii="Arial" w:cs="Arial" w:eastAsia="Arial" w:hAnsi="Arial"/>
          <w:sz w:val="16"/>
          <w:szCs w:val="16"/>
          <w:color w:val="32406B"/>
        </w:rPr>
        <w:t>has been our chief medical officer since October 2016. Prior to joining our company, Dr. Kreher was the global head of</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clinical and medical affairs at Zafgen, Inc. from March 2015 to July 2016. Prior to that, from April 2013 to March 2015, Dr. Kreher held roles of increasing responsibility at Shire HGT, most recently as global clinical development lead. From February 2012 to April 2013, Dr. Kreher served as the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126</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32406B"/>
        </w:rPr>
        <w:t>executive medical director, metabolic disorders at Alexion Pharmaceuticals, and as senior medical director, medical affairs at Enobia Pharma from January 2011 to June 2012. Dr. Kreher also served as medical director at Genzyme from April 2008 to January 2011 and as director, medical affairs at EMD Serono from April 2006 to April 2008. Dr. Kreher received a B.S. from the University of North Carolina, an M.D. from East Carolina University School of Medicine, an M.S. in Clinical Research from Indiana University and an Executive M.B.A. from Northeastern University.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Non-Employee Directors</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b w:val="1"/>
          <w:bCs w:val="1"/>
          <w:i w:val="1"/>
          <w:iCs w:val="1"/>
          <w:color w:val="32406B"/>
        </w:rPr>
        <w:t xml:space="preserve">Bruce Booth, D.Phil. </w:t>
      </w:r>
      <w:r>
        <w:rPr>
          <w:rFonts w:ascii="Arial" w:cs="Arial" w:eastAsia="Arial" w:hAnsi="Arial"/>
          <w:sz w:val="16"/>
          <w:szCs w:val="16"/>
          <w:color w:val="32406B"/>
        </w:rPr>
        <w:t>has served as the chairman of our board of directors since February 2016. Dr. Booth joined Atlas Venture in 2005, and</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currently serves as partner. Previously, from 2004 to 2005, Dr. Booth was a principal at Caxton Health Holdings L.L.C., a healthcare-focused investment firm, where he focused on the firm’s venture capital activities. Prior to Caxton, from 1999 to 2004, he was an associate principal at McKinsey &amp; Company, a global strategic management consulting firm, where he advised clients on R&amp;D productivity, corporate strategy and business development issues across the biopharmaceutical sector. Dr. Booth serves on the board of several privately held companies, as well as on the board of miRagen Therapeutics, Inc. (Nasdaq: MGEN), Zafgen, Inc. (Nasdaq: ZFGN) and Unum Therapeutics Inc. (Nasdaq: UMRX). Dr. Booth also serves on UCB Pharma’s New Medicines Scientific Advisory Board and participates on several other advisory boards for pharmaceutical companies and academic medical centers. As a British Marshall Scholar, Dr. Booth holds a D.Phil. in molecular immunology from Oxford University’s Nuffield Department of Medicine and a B.S. in biochemistry, summa cum laude, from Pennsylvania State University. We believe Dr. Booth’s extensive leadership, executive, managerial and business experience with life sciences companies, including experience in the formation, development and business strategy of multiple start-up companies in the life sciences sector qualifies him to serve on our board of directors.</w:t>
      </w:r>
    </w:p>
    <w:p>
      <w:pPr>
        <w:spacing w:after="0" w:line="17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b w:val="1"/>
          <w:bCs w:val="1"/>
          <w:i w:val="1"/>
          <w:iCs w:val="1"/>
          <w:color w:val="32406B"/>
        </w:rPr>
        <w:t xml:space="preserve">Ian Clark </w:t>
      </w:r>
      <w:r>
        <w:rPr>
          <w:rFonts w:ascii="Arial" w:cs="Arial" w:eastAsia="Arial" w:hAnsi="Arial"/>
          <w:sz w:val="16"/>
          <w:szCs w:val="16"/>
          <w:color w:val="32406B"/>
        </w:rPr>
        <w:t>has served as a member of our board of directors since January 2018. Mr. Clark currently serves as an operating partner within Clarus</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Ventures. Previously, Mr. Clark served as the chief executive officer and head of North American commercial operations at Genentech from 2010 to 2016. He joined Genentech in 2003 as senior vice president and general manager, BioOncology. In August 2005, he became senior vice president, commercial operations of Genentech. In January 2006, Mr. Clark became executive vice president, commercial operations of Genentech and became a member of its executive committee. Mr. Clark was named head of global product strategy and chief marketing officer of Roche in April 2009. Prior to joining Genentech, Mr. Clark served as general manager of Novartis Canada, overseeing all of the company’s country operations, and as chief operating officer for Novartis United Kingdom. Mr. Clark worked in executive positions in sales and marketing for Sanofi and Ivax in the United Kingdom, France and Eastern Europe. Mr. Clark began his career at Searle, where he held management positions in both sales and marketing. Mr. Clark also serves on the board of directors of Agios Pharmaceuticals, Inc., (Nasdaq: AGIO), Corvus Pharmaceuticals, Inc., (Nasdaq: CVRS), and Shire plc, (Nasdaq: SHPG). He has served on the board of directors of the Biotechnology Industry Organization (BIO) since 2009 as well as on the boards of TerraVia and the Gladstone Foundation and as a member of the Federal Reserve Bank of San Francisco’s economic advisory council. Mr. Clark received a B.S and honorary doctorate in biological sciences from Southampton University in the United Kingdom. We believe Mr. Clark is qualified to serve on our board because of his industry experience in the field in which we operate and his executive experience with companies in our industry.</w:t>
      </w:r>
    </w:p>
    <w:p>
      <w:pPr>
        <w:spacing w:after="0" w:line="175"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b w:val="1"/>
          <w:bCs w:val="1"/>
          <w:i w:val="1"/>
          <w:iCs w:val="1"/>
          <w:color w:val="32406B"/>
        </w:rPr>
        <w:t xml:space="preserve">Phillip B. Donenberg </w:t>
      </w:r>
      <w:r>
        <w:rPr>
          <w:rFonts w:ascii="Arial" w:cs="Arial" w:eastAsia="Arial" w:hAnsi="Arial"/>
          <w:sz w:val="16"/>
          <w:szCs w:val="16"/>
          <w:color w:val="32406B"/>
        </w:rPr>
        <w:t>is a member of our board of directors, effective immediately following the effectiveness of the registration statement of</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which this prospectus is a part. Effective July 16, 2018, Mr. Donenberg has been appointed Chief Financial Officer and Senior Vice President of Depomed, Inc. Until such date, Mr. Donenberg will continue to serve in his current role as the Senior Vice President and Chief Financial Officer of AveXis, Inc., where he was previously Vice President, Corporate Controller from September 2016 to October 2017. He was the chief financial officer of RestorGenex Corporation from May 2014 to January 2016, when RestorGenex merged with Diffusion Pharmaceuticals LLC and served as the merged company’s consultant CFO until September 2016, and the chief financial officer of 7wire Ventures LLC from September 2013 to May</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127</w:t>
      </w:r>
    </w:p>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57" w:lineRule="auto"/>
        <w:rPr>
          <w:sz w:val="20"/>
          <w:szCs w:val="20"/>
          <w:color w:val="auto"/>
        </w:rPr>
      </w:pPr>
      <w:r>
        <w:rPr>
          <w:rFonts w:ascii="Arial" w:cs="Arial" w:eastAsia="Arial" w:hAnsi="Arial"/>
          <w:sz w:val="18"/>
          <w:szCs w:val="18"/>
          <w:color w:val="32406B"/>
        </w:rPr>
        <w:t>2014. Prior to that time, Mr. Donenberg served as the chief financial officer of BioSante Pharmaceuticals, Inc. from July 1998 to June 2013, when BioSante merged with ANIP Pharmaceuticals, Inc. Mr. Donenberg also has experience serving on the boards of directors of privately held companies. Mr. Donenberg holds a B.S. in Accountancy from the University of Illinois Champaign-Urbana College of Business and is a Certified Public Accountant. We believe Mr. Donenberg is qualified to serve on our board of directors because of his financial expertise and his experience as an executive of companies in the industry in which we operate.</w:t>
      </w:r>
    </w:p>
    <w:p>
      <w:pPr>
        <w:spacing w:after="0" w:line="188"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b w:val="1"/>
          <w:bCs w:val="1"/>
          <w:i w:val="1"/>
          <w:iCs w:val="1"/>
          <w:color w:val="32406B"/>
        </w:rPr>
        <w:t xml:space="preserve">Annalisa Jenkins, M.B.B.C., F.R.C.P. </w:t>
      </w:r>
      <w:r>
        <w:rPr>
          <w:rFonts w:ascii="Arial" w:cs="Arial" w:eastAsia="Arial" w:hAnsi="Arial"/>
          <w:sz w:val="17"/>
          <w:szCs w:val="17"/>
          <w:color w:val="32406B"/>
        </w:rPr>
        <w:t>has served as a member of our board of directors since March 2018. Dr. Jenkins has served as the chief</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executive officer of PlaqueTec Ltd. since November 2017 and was previously the chief executive officer and a member of the board of directors of Dimension Therapeutics, Inc., from September 2014 until its sale to Ultragnyx Pharmaceutical in November 2017. From October 2013 to March 2014, Dr. Jenkins served as executive vice president, head of global research and development for Merck Serono Pharmaceuticals, a biopharmaceutical company. Previously, from September 2011 to October 2013, she served as Merck Serono’s executive vice president, global development and medical, and was a member of Merck Serono’s executive committee. Prior to that, Dr. Jenkins pursued a 15-year career at Bristol-Myers Squibb Company, a biopharmaceutical company, where, from July 2009 to June 2011, she was a senior vice president and head of global medical affairs. Dr. Jenkins is currently a committee member of the science board to the FDA, which advises FDA leadership on complex scientific and technical issues. Dr. Jenkins serves on the board of directors of Ardelyx, Inc. (Nasdaq: ARDX), Silence Therapeutics (Nasdaq: SLN), Oncimmune (Nasdaq: ONC) and a number of privately held biotech and life science companies. Dr. Jenkins graduated with a degree in medicine from St. Bartholomew’s Hospital in the University of London and subsequently trained in cardiovascular medicine in the UK National Health Service. Earlier in her career, Dr. Jenkins served as a medical officer in the British Royal Navy. We believe Dr. Jenkins is qualified to serve on our board based on her industry experience in the field in which we operate and her executive experience with companies in our industry.</w:t>
      </w:r>
    </w:p>
    <w:p>
      <w:pPr>
        <w:spacing w:after="0" w:line="188"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b w:val="1"/>
          <w:bCs w:val="1"/>
          <w:i w:val="1"/>
          <w:iCs w:val="1"/>
          <w:color w:val="32406B"/>
        </w:rPr>
        <w:t xml:space="preserve">Christopher Paige, Ph.D. </w:t>
      </w:r>
      <w:r>
        <w:rPr>
          <w:rFonts w:ascii="Arial" w:cs="Arial" w:eastAsia="Arial" w:hAnsi="Arial"/>
          <w:sz w:val="16"/>
          <w:szCs w:val="16"/>
          <w:color w:val="32406B"/>
        </w:rPr>
        <w:t>has served as a member of our board of directors since January 2016. Dr. Paige is a professor in the departments of</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medical biophysics and immunology at the University of Toronto. In 1997, he served as the vice president, research of the University Health Network and now serves as senior scientist. In 1990, Dr. Paige became the founding director of the Arthritis and Autoimmunity Research Centre as well as director of research at The Wellesley Hospital. He became a member of the Basel Institute for Immunology in Switzerland in 1980 where he worked until joining the Ontario Cancer Institute as a senior scientist in 1987. Dr. Paige earned a B.S. in biology at the University of Notre Dame in 1974 and a Ph.D. in immunology at the Sloan-Kettering Division of Cornell University Graduate School of Medical Sciences in 1979. We believe Dr. Paige is qualified to serve on our board because of his scientific and industry experience in the field in which we operate.</w:t>
      </w:r>
    </w:p>
    <w:p>
      <w:pPr>
        <w:spacing w:after="0" w:line="167"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b w:val="1"/>
          <w:bCs w:val="1"/>
          <w:i w:val="1"/>
          <w:iCs w:val="1"/>
          <w:color w:val="32406B"/>
        </w:rPr>
        <w:t xml:space="preserve">Scott Requadt </w:t>
      </w:r>
      <w:r>
        <w:rPr>
          <w:rFonts w:ascii="Arial" w:cs="Arial" w:eastAsia="Arial" w:hAnsi="Arial"/>
          <w:sz w:val="16"/>
          <w:szCs w:val="16"/>
          <w:color w:val="32406B"/>
        </w:rPr>
        <w:t>has served as a member of our board of directors since July 2016. Mr. Requadt is currently a managing director at Clarus, a life</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sciences investment fund. Mr. Requadt has 17 years of operating and investment experience in the pharmaceutical industry. Prior to joining Clarus in 2005, Mr. Requadt was Director, Business Development of TransForm Pharmaceuticals, and previously practiced for several years as a mergers and acquisitions attorney at the New York City-based law firm of Davis Polk &amp; Wardwell. Before that, Mr. Requadt was a law clerk for a senior judge at the Supreme Court of Canada. Mr. Requadt holds a B.Com (Joint Honors, Economics &amp; Finance) from McGill University, an LL.B from University of Toronto and an M.B.A. from Harvard Business School (Baker Scholar). Mr. Requadt has been involved in multiple Clarus investments spanning both therapeutics and medtech, as well as several research and development risk-sharing collaborations with large pharmaceutical partners. He is currently also a director of VBI Vaccines (Nasdaq: VBIV), ESSA Pharmaceuticals (Nasdaq: EPIX) and Edev S.a.r.l. and has previously been active on the board of directors of TyRx, Catabasis (Nasdaq: CATB), Oxford Immunotec (Nasdaq: OXFD), Link Medicine and Biolex Therapeutics. We believe Mr. Requadt is qualified to serve on our board because of his industry experience as a biotech public and private company investor.</w:t>
      </w:r>
    </w:p>
    <w:p>
      <w:pPr>
        <w:spacing w:after="0" w:line="16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b w:val="1"/>
          <w:bCs w:val="1"/>
          <w:i w:val="1"/>
          <w:iCs w:val="1"/>
          <w:color w:val="32406B"/>
        </w:rPr>
        <w:t xml:space="preserve">Joshua Resnick, M.D. </w:t>
      </w:r>
      <w:r>
        <w:rPr>
          <w:rFonts w:ascii="Arial" w:cs="Arial" w:eastAsia="Arial" w:hAnsi="Arial"/>
          <w:sz w:val="18"/>
          <w:szCs w:val="18"/>
          <w:color w:val="32406B"/>
        </w:rPr>
        <w:t>has served as a member of our board of directors since July 2016. Dr. Resnick has been a partner at SV Health Investors, or</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SV, since January 2016. Before joining SV in January 2016,</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128</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84" w:lineRule="auto"/>
        <w:rPr>
          <w:sz w:val="20"/>
          <w:szCs w:val="20"/>
          <w:color w:val="auto"/>
        </w:rPr>
      </w:pPr>
      <w:r>
        <w:rPr>
          <w:rFonts w:ascii="Arial" w:cs="Arial" w:eastAsia="Arial" w:hAnsi="Arial"/>
          <w:sz w:val="16"/>
          <w:szCs w:val="16"/>
          <w:color w:val="32406B"/>
        </w:rPr>
        <w:t>Dr. Resnick was president and managing partner at MRL Ventures Fund, or MRL Ventures, an early-stage therapeutics-focused corporate venture fund that he built and managed within Merck &amp; Co from December 2014 to January 2016. Prior to MRL Ventures, Dr. Resnick was a venture partner with Atlas Venture, or Atlas, focusing on company formation, Seed and Series A investing. During his tenure at Atlas, Dr. Resnick was also the founder and chief executive officer of two start-ups in the immuno-oncology and neuro spaces. Prior to Atlas, Dr. Resnick was a partner at Prism Venture Partners, where he focused on early-stage biopharmaceutical, medical device, tools and diagnostics investments. Dr. Resnick is also an attending physician at Massachusetts General Hospital, as well as Brigham and Women’s Hospital since 2006, and an instructor in medicine at Harvard Medical School.</w:t>
      </w:r>
    </w:p>
    <w:p>
      <w:pPr>
        <w:spacing w:after="0" w:line="5"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32406B"/>
        </w:rPr>
        <w:t>Dr. Resnick serves on the board of directors of Kalvista Pharmaceuticals, Inc. (Nasdaq: KALV). Dr. Resnick graduated Magna Cum Laude with a B.A. from Williams College and received his M.D. from the University of Pennsylvania School of Medicine and his M.B.A. from The Wharton School of Business. We believe Dr. Resnick is qualified to serve on our board because of his industry experience as a biotech public and private company investor.</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Composition of Our Board of Directors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32406B"/>
        </w:rPr>
        <w:t>Our board of directors currently consists of eight members, each of whom is a member pursuant to the board composition provisions of our current certificate of incorporation and agreements with our stockholders.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the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amended and restated certificate of incorporation and amended and restated bylaws that will become effective upon the closing of this offering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Director Independence</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32406B"/>
        </w:rPr>
        <w:t>Our board of directors has determined that all members of the board of directors, except Mr. MacKay, are independent directors, including for purposes of the rules of The Nasdaq Global Market and the Securities and Exchange Commission, or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Upon the completion of this offering, we expect that the composition and functioning of our board of directors and each of our committees will comply with all applicable requirements of The Nasdaq Global Market and the rules and regulations of the SEC. There are no family relationships among any of our directors or executive officers. Mr. MacKay is not an independent director under these rules because he is an executive officer of our company.</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Staggered Board</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32406B"/>
        </w:rPr>
        <w:t>In accordance with the terms of our amended and restated certificate of incorporation and amended and restated bylaws that will become effective upon the closing of this offering, our board of directors will be divided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129</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32406B"/>
        </w:rPr>
        <w:t>into three staggered classes of directors and each will be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2019 for Class I directors, 2020 for Class II directors and 2021 for Class III directors.</w:t>
      </w:r>
    </w:p>
    <w:p>
      <w:pPr>
        <w:spacing w:after="0" w:line="214" w:lineRule="exact"/>
        <w:rPr>
          <w:sz w:val="20"/>
          <w:szCs w:val="20"/>
          <w:color w:val="auto"/>
        </w:rPr>
      </w:pPr>
    </w:p>
    <w:p>
      <w:pPr>
        <w:ind w:left="1060" w:hanging="424"/>
        <w:spacing w:after="0"/>
        <w:tabs>
          <w:tab w:leader="none" w:pos="1060" w:val="left"/>
        </w:tabs>
        <w:numPr>
          <w:ilvl w:val="0"/>
          <w:numId w:val="71"/>
        </w:numPr>
        <w:rPr>
          <w:rFonts w:ascii="Arial" w:cs="Arial" w:eastAsia="Arial" w:hAnsi="Arial"/>
          <w:sz w:val="18"/>
          <w:szCs w:val="18"/>
          <w:color w:val="32406B"/>
        </w:rPr>
      </w:pPr>
      <w:r>
        <w:rPr>
          <w:rFonts w:ascii="Arial" w:cs="Arial" w:eastAsia="Arial" w:hAnsi="Arial"/>
          <w:sz w:val="18"/>
          <w:szCs w:val="18"/>
          <w:color w:val="32406B"/>
        </w:rPr>
        <w:t>Our Class I directors will be Christopher Paige, Scott Requadt and Joshua Resnick;</w:t>
      </w:r>
    </w:p>
    <w:p>
      <w:pPr>
        <w:spacing w:after="0" w:line="252" w:lineRule="exact"/>
        <w:rPr>
          <w:rFonts w:ascii="Arial" w:cs="Arial" w:eastAsia="Arial" w:hAnsi="Arial"/>
          <w:sz w:val="18"/>
          <w:szCs w:val="18"/>
          <w:color w:val="32406B"/>
        </w:rPr>
      </w:pPr>
    </w:p>
    <w:p>
      <w:pPr>
        <w:ind w:left="1060" w:hanging="424"/>
        <w:spacing w:after="0"/>
        <w:tabs>
          <w:tab w:leader="none" w:pos="1060" w:val="left"/>
        </w:tabs>
        <w:numPr>
          <w:ilvl w:val="0"/>
          <w:numId w:val="71"/>
        </w:numPr>
        <w:rPr>
          <w:rFonts w:ascii="Arial" w:cs="Arial" w:eastAsia="Arial" w:hAnsi="Arial"/>
          <w:sz w:val="18"/>
          <w:szCs w:val="18"/>
          <w:color w:val="32406B"/>
        </w:rPr>
      </w:pPr>
      <w:r>
        <w:rPr>
          <w:rFonts w:ascii="Arial" w:cs="Arial" w:eastAsia="Arial" w:hAnsi="Arial"/>
          <w:sz w:val="18"/>
          <w:szCs w:val="18"/>
          <w:color w:val="32406B"/>
        </w:rPr>
        <w:t>Our Class II directors will be Ian Clark and Annalisa Jenkins; and</w:t>
      </w:r>
    </w:p>
    <w:p>
      <w:pPr>
        <w:spacing w:after="0" w:line="252" w:lineRule="exact"/>
        <w:rPr>
          <w:rFonts w:ascii="Arial" w:cs="Arial" w:eastAsia="Arial" w:hAnsi="Arial"/>
          <w:sz w:val="18"/>
          <w:szCs w:val="18"/>
          <w:color w:val="32406B"/>
        </w:rPr>
      </w:pPr>
    </w:p>
    <w:p>
      <w:pPr>
        <w:ind w:left="1060" w:hanging="424"/>
        <w:spacing w:after="0"/>
        <w:tabs>
          <w:tab w:leader="none" w:pos="1060" w:val="left"/>
        </w:tabs>
        <w:numPr>
          <w:ilvl w:val="0"/>
          <w:numId w:val="71"/>
        </w:numPr>
        <w:rPr>
          <w:rFonts w:ascii="Arial" w:cs="Arial" w:eastAsia="Arial" w:hAnsi="Arial"/>
          <w:sz w:val="18"/>
          <w:szCs w:val="18"/>
          <w:color w:val="32406B"/>
        </w:rPr>
      </w:pPr>
      <w:r>
        <w:rPr>
          <w:rFonts w:ascii="Arial" w:cs="Arial" w:eastAsia="Arial" w:hAnsi="Arial"/>
          <w:sz w:val="18"/>
          <w:szCs w:val="18"/>
          <w:color w:val="32406B"/>
        </w:rPr>
        <w:t>Our Class III directors will be Bruce Booth, Phillip Donenberg and Geoff MacKay.</w:t>
      </w:r>
    </w:p>
    <w:p>
      <w:pPr>
        <w:spacing w:after="0" w:line="225" w:lineRule="exact"/>
        <w:rPr>
          <w:sz w:val="20"/>
          <w:szCs w:val="20"/>
          <w:color w:val="auto"/>
        </w:rPr>
      </w:pPr>
    </w:p>
    <w:p>
      <w:pPr>
        <w:ind w:left="200" w:right="600" w:firstLine="441"/>
        <w:spacing w:after="0" w:line="342" w:lineRule="auto"/>
        <w:rPr>
          <w:sz w:val="20"/>
          <w:szCs w:val="20"/>
          <w:color w:val="auto"/>
        </w:rPr>
      </w:pPr>
      <w:r>
        <w:rPr>
          <w:rFonts w:ascii="Arial" w:cs="Arial" w:eastAsia="Arial" w:hAnsi="Arial"/>
          <w:sz w:val="16"/>
          <w:szCs w:val="16"/>
          <w:color w:val="32406B"/>
        </w:rPr>
        <w:t>Our amended and restated certificate of incorporation and amended and restated bylaws that will become effective upon the closing of this offering will provide that the number of our directors shall be fixed from time to time by a resolution of a majority of our board of directors.</w:t>
      </w:r>
    </w:p>
    <w:p>
      <w:pPr>
        <w:spacing w:after="0" w:line="124"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32406B"/>
        </w:rPr>
        <w:t>The division of our board of directors into three classes with staggered three-year terms may delay or prevent stockholder efforts to effect a change of our management or a change in control.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Board Leadership Structure and Board’s Role in Risk Oversight</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Currently, the positions of chairman of the board and that of Chief Executive Officer are separated. We believe that separating these positions will allow our Chief Executive Officer to focus on our day-to-day business, while allowing our chairman of the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chairman, particularly as the board of directors’ oversight responsibilities continue to grow. While our amended and restated by-laws and corporate governance guidelines do not require that our chairman and Chief Executive Officer positions be separate, our board of directors believes that having separate positions will be the appropriate leadership structure for us following the completion of this offering.</w:t>
      </w:r>
    </w:p>
    <w:p>
      <w:pPr>
        <w:spacing w:after="0" w:line="16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Risk is inherent with every business, and how well a business manages risk can ultimately determine its success. We face a number of risks, including risks more fully discussed in the section entitled “Risk Factors” appearing elsewhere in this prospectus.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Committees of Our Board of Directors</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32406B"/>
        </w:rPr>
        <w:t>Our board of directors has established an audit committee, a compensation committee and a nominating and corporate governance committee, each of which will operate pursuant to a charter adopted by our board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130</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520"/>
        <w:spacing w:after="0" w:line="264" w:lineRule="auto"/>
        <w:rPr>
          <w:sz w:val="20"/>
          <w:szCs w:val="20"/>
          <w:color w:val="auto"/>
        </w:rPr>
      </w:pPr>
      <w:r>
        <w:rPr>
          <w:rFonts w:ascii="Arial" w:cs="Arial" w:eastAsia="Arial" w:hAnsi="Arial"/>
          <w:sz w:val="18"/>
          <w:szCs w:val="18"/>
          <w:color w:val="32406B"/>
        </w:rPr>
        <w:t>directors and will be effective upon the effectiveness of the registration statement of which this prospectus is a part. Upon the effectiveness of the registration statement of which this prospectus is a part, the composition and functioning of all of our committees will comply with all applicable requirements of the Sarbanes-Oxley Act of 2002, Nasdaq and SEC rules and regulations.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Audit Committee</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32406B"/>
        </w:rPr>
        <w:t>Phillip Donenberg, Annalisa Jenkins and Scott Requadt serve on the audit committee, which is chaired by Mr. Donenberg. Our board of directors has determined that Dr. Jenkins and Messrs. Donenberg and Requadt are “independent” for audit committee purposes as that term is defined in the rules of the SEC and the applicable Nasdaq rules, and each has sufficient knowledge in financial and auditing matters to serve on the audit committee. Our board of directors has designated Mr. Donenberg as an “audit committee financial expert,” as defined under the applicable rules of the SEC. The audit committee’s responsibilities include:</w:t>
      </w:r>
    </w:p>
    <w:p>
      <w:pPr>
        <w:spacing w:after="0" w:line="94" w:lineRule="exact"/>
        <w:rPr>
          <w:sz w:val="20"/>
          <w:szCs w:val="20"/>
          <w:color w:val="auto"/>
        </w:rPr>
      </w:pPr>
    </w:p>
    <w:p>
      <w:pPr>
        <w:ind w:left="1060" w:hanging="424"/>
        <w:spacing w:after="0"/>
        <w:tabs>
          <w:tab w:leader="none" w:pos="1060" w:val="left"/>
        </w:tabs>
        <w:numPr>
          <w:ilvl w:val="0"/>
          <w:numId w:val="72"/>
        </w:numPr>
        <w:rPr>
          <w:rFonts w:ascii="Arial" w:cs="Arial" w:eastAsia="Arial" w:hAnsi="Arial"/>
          <w:sz w:val="17"/>
          <w:szCs w:val="17"/>
          <w:color w:val="32406B"/>
        </w:rPr>
      </w:pPr>
      <w:r>
        <w:rPr>
          <w:rFonts w:ascii="Arial" w:cs="Arial" w:eastAsia="Arial" w:hAnsi="Arial"/>
          <w:sz w:val="17"/>
          <w:szCs w:val="17"/>
          <w:color w:val="32406B"/>
        </w:rPr>
        <w:t>appointing, approving the compensation of, and assessing the independence of our independent registered public accounting firm;</w:t>
      </w:r>
    </w:p>
    <w:p>
      <w:pPr>
        <w:spacing w:after="0" w:line="142" w:lineRule="exact"/>
        <w:rPr>
          <w:rFonts w:ascii="Arial" w:cs="Arial" w:eastAsia="Arial" w:hAnsi="Arial"/>
          <w:sz w:val="17"/>
          <w:szCs w:val="17"/>
          <w:color w:val="32406B"/>
        </w:rPr>
      </w:pPr>
    </w:p>
    <w:p>
      <w:pPr>
        <w:ind w:left="1060" w:right="100" w:hanging="424"/>
        <w:spacing w:after="0" w:line="277" w:lineRule="auto"/>
        <w:tabs>
          <w:tab w:leader="none" w:pos="1060"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pre-approving audit and permissible non-audit services, and the terms of such services, to be provided by our independent registered public accounting firm;</w:t>
      </w:r>
    </w:p>
    <w:p>
      <w:pPr>
        <w:spacing w:after="0" w:line="75" w:lineRule="exact"/>
        <w:rPr>
          <w:rFonts w:ascii="Arial" w:cs="Arial" w:eastAsia="Arial" w:hAnsi="Arial"/>
          <w:sz w:val="18"/>
          <w:szCs w:val="18"/>
          <w:color w:val="32406B"/>
        </w:rPr>
      </w:pPr>
    </w:p>
    <w:p>
      <w:pPr>
        <w:ind w:left="1060" w:right="540" w:hanging="424"/>
        <w:spacing w:after="0" w:line="277" w:lineRule="auto"/>
        <w:tabs>
          <w:tab w:leader="none" w:pos="1060"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reviewing the overall audit plan with our independent registered public accounting firm and members of management responsible for preparing our financial statements;</w:t>
      </w:r>
    </w:p>
    <w:p>
      <w:pPr>
        <w:spacing w:after="0" w:line="75" w:lineRule="exact"/>
        <w:rPr>
          <w:rFonts w:ascii="Arial" w:cs="Arial" w:eastAsia="Arial" w:hAnsi="Arial"/>
          <w:sz w:val="18"/>
          <w:szCs w:val="18"/>
          <w:color w:val="32406B"/>
        </w:rPr>
      </w:pPr>
    </w:p>
    <w:p>
      <w:pPr>
        <w:ind w:left="1060" w:right="540" w:hanging="424"/>
        <w:spacing w:after="0" w:line="277" w:lineRule="auto"/>
        <w:tabs>
          <w:tab w:leader="none" w:pos="1060"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reviewing and discussing with management and our independent registered public accounting firm our annual and quarterly financial statements and related disclosures as well as critical accounting policies and practices used by us;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coordinating the oversight and reviewing the adequacy of our internal control over financial reporting;</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establishing policies and procedures for the receipt and retention of accounting-related complaints and concerns;</w:t>
      </w:r>
    </w:p>
    <w:p>
      <w:pPr>
        <w:spacing w:after="0" w:line="130" w:lineRule="exact"/>
        <w:rPr>
          <w:rFonts w:ascii="Arial" w:cs="Arial" w:eastAsia="Arial" w:hAnsi="Arial"/>
          <w:sz w:val="18"/>
          <w:szCs w:val="18"/>
          <w:color w:val="32406B"/>
        </w:rPr>
      </w:pPr>
    </w:p>
    <w:p>
      <w:pPr>
        <w:ind w:left="1060" w:right="800" w:hanging="424"/>
        <w:spacing w:after="0" w:line="308" w:lineRule="auto"/>
        <w:tabs>
          <w:tab w:leader="none" w:pos="1060" w:val="left"/>
        </w:tabs>
        <w:numPr>
          <w:ilvl w:val="0"/>
          <w:numId w:val="72"/>
        </w:numPr>
        <w:rPr>
          <w:rFonts w:ascii="Arial" w:cs="Arial" w:eastAsia="Arial" w:hAnsi="Arial"/>
          <w:sz w:val="17"/>
          <w:szCs w:val="17"/>
          <w:color w:val="32406B"/>
        </w:rPr>
      </w:pPr>
      <w:r>
        <w:rPr>
          <w:rFonts w:ascii="Arial" w:cs="Arial" w:eastAsia="Arial" w:hAnsi="Arial"/>
          <w:sz w:val="17"/>
          <w:szCs w:val="17"/>
          <w:color w:val="32406B"/>
        </w:rPr>
        <w:t>recommending based upon the audit committee’s review and discussions with management and our independent registered public accounting firm whether our audited financial statements shall be included in our Annual Report on Form 10-K;</w:t>
      </w:r>
    </w:p>
    <w:p>
      <w:pPr>
        <w:spacing w:after="0" w:line="51" w:lineRule="exact"/>
        <w:rPr>
          <w:rFonts w:ascii="Arial" w:cs="Arial" w:eastAsia="Arial" w:hAnsi="Arial"/>
          <w:sz w:val="17"/>
          <w:szCs w:val="17"/>
          <w:color w:val="32406B"/>
        </w:rPr>
      </w:pPr>
    </w:p>
    <w:p>
      <w:pPr>
        <w:ind w:left="1060" w:right="20" w:hanging="424"/>
        <w:spacing w:after="0" w:line="277" w:lineRule="auto"/>
        <w:tabs>
          <w:tab w:leader="none" w:pos="1060"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monitoring the integrity of our financial statements and our compliance with legal and regulatory requirements as they relate to our financial statements and accounting matters;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preparing the audit committee report required by SEC rules to be included in our annual proxy statement;</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reviewing all related person transactions for potential conflict of interest situations and approving all such transactions;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reviewing quarterly earnings releases.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Compensation Committee</w:t>
      </w:r>
    </w:p>
    <w:p>
      <w:pPr>
        <w:spacing w:after="0" w:line="117"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32406B"/>
        </w:rPr>
        <w:t>Ian Clark, Bruce Booth and Scott Requadt serve on the compensation committee, which is chaired by Mr. Clark. Our board of directors has determined that each member of the compensation committee is “independent” as defined in the applicable Nasdaq rules. The compensation committee’s responsibilities include:</w:t>
      </w:r>
    </w:p>
    <w:p>
      <w:pPr>
        <w:spacing w:after="0" w:line="87" w:lineRule="exact"/>
        <w:rPr>
          <w:sz w:val="20"/>
          <w:szCs w:val="20"/>
          <w:color w:val="auto"/>
        </w:rPr>
      </w:pPr>
    </w:p>
    <w:p>
      <w:pPr>
        <w:ind w:left="1060" w:hanging="424"/>
        <w:spacing w:after="0" w:line="277" w:lineRule="auto"/>
        <w:tabs>
          <w:tab w:leader="none" w:pos="1060" w:val="left"/>
        </w:tabs>
        <w:numPr>
          <w:ilvl w:val="0"/>
          <w:numId w:val="73"/>
        </w:numPr>
        <w:rPr>
          <w:rFonts w:ascii="Arial" w:cs="Arial" w:eastAsia="Arial" w:hAnsi="Arial"/>
          <w:sz w:val="18"/>
          <w:szCs w:val="18"/>
          <w:color w:val="32406B"/>
        </w:rPr>
      </w:pPr>
      <w:r>
        <w:rPr>
          <w:rFonts w:ascii="Arial" w:cs="Arial" w:eastAsia="Arial" w:hAnsi="Arial"/>
          <w:sz w:val="18"/>
          <w:szCs w:val="18"/>
          <w:color w:val="32406B"/>
        </w:rPr>
        <w:t>annually reviewing and recommending to the board of directors the corporate goals and objectives relevant to the compensation of our Chief Executive Officer;</w:t>
      </w:r>
    </w:p>
    <w:p>
      <w:pPr>
        <w:spacing w:after="0" w:line="75" w:lineRule="exact"/>
        <w:rPr>
          <w:rFonts w:ascii="Arial" w:cs="Arial" w:eastAsia="Arial" w:hAnsi="Arial"/>
          <w:sz w:val="18"/>
          <w:szCs w:val="18"/>
          <w:color w:val="32406B"/>
        </w:rPr>
      </w:pPr>
    </w:p>
    <w:p>
      <w:pPr>
        <w:ind w:left="1060" w:right="120" w:hanging="424"/>
        <w:spacing w:after="0" w:line="264" w:lineRule="auto"/>
        <w:tabs>
          <w:tab w:leader="none" w:pos="1060" w:val="left"/>
        </w:tabs>
        <w:numPr>
          <w:ilvl w:val="0"/>
          <w:numId w:val="73"/>
        </w:numPr>
        <w:rPr>
          <w:rFonts w:ascii="Arial" w:cs="Arial" w:eastAsia="Arial" w:hAnsi="Arial"/>
          <w:sz w:val="18"/>
          <w:szCs w:val="18"/>
          <w:color w:val="32406B"/>
        </w:rPr>
      </w:pPr>
      <w:r>
        <w:rPr>
          <w:rFonts w:ascii="Arial" w:cs="Arial" w:eastAsia="Arial" w:hAnsi="Arial"/>
          <w:sz w:val="18"/>
          <w:szCs w:val="18"/>
          <w:color w:val="32406B"/>
        </w:rPr>
        <w:t>evaluating the performance of our Chief Executive Officer in light of such corporate goals and objectives and based on such evaluation, recommending to the board of directors (i) determining the cash compensation of our Chief Executive Officer and (ii) grants and awards to our Chief Executive Officer under equity-based plans;</w:t>
      </w:r>
    </w:p>
    <w:p>
      <w:pPr>
        <w:spacing w:after="0" w:line="86" w:lineRule="exact"/>
        <w:rPr>
          <w:rFonts w:ascii="Arial" w:cs="Arial" w:eastAsia="Arial" w:hAnsi="Arial"/>
          <w:sz w:val="18"/>
          <w:szCs w:val="18"/>
          <w:color w:val="32406B"/>
        </w:rPr>
      </w:pPr>
    </w:p>
    <w:p>
      <w:pPr>
        <w:ind w:left="1060" w:hanging="424"/>
        <w:spacing w:after="0"/>
        <w:tabs>
          <w:tab w:leader="none" w:pos="1060" w:val="left"/>
        </w:tabs>
        <w:numPr>
          <w:ilvl w:val="0"/>
          <w:numId w:val="73"/>
        </w:numPr>
        <w:rPr>
          <w:rFonts w:ascii="Arial" w:cs="Arial" w:eastAsia="Arial" w:hAnsi="Arial"/>
          <w:sz w:val="18"/>
          <w:szCs w:val="18"/>
          <w:color w:val="32406B"/>
        </w:rPr>
      </w:pPr>
      <w:r>
        <w:rPr>
          <w:rFonts w:ascii="Arial" w:cs="Arial" w:eastAsia="Arial" w:hAnsi="Arial"/>
          <w:sz w:val="18"/>
          <w:szCs w:val="18"/>
          <w:color w:val="32406B"/>
        </w:rPr>
        <w:t>reviewing and approving the cash compensation of our other executive officers;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131</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reviewing and establishing our overall management compensation, philosophy and policy;</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overseeing and administering our compensation and similar plans;</w:t>
      </w:r>
    </w:p>
    <w:p>
      <w:pPr>
        <w:spacing w:after="0" w:line="130" w:lineRule="exact"/>
        <w:rPr>
          <w:rFonts w:ascii="Arial" w:cs="Arial" w:eastAsia="Arial" w:hAnsi="Arial"/>
          <w:sz w:val="18"/>
          <w:szCs w:val="18"/>
          <w:color w:val="32406B"/>
        </w:rPr>
      </w:pPr>
    </w:p>
    <w:p>
      <w:pPr>
        <w:ind w:left="1060" w:right="500" w:hanging="424"/>
        <w:spacing w:after="0" w:line="277" w:lineRule="auto"/>
        <w:tabs>
          <w:tab w:leader="none" w:pos="106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evaluating and assessing potential and current compensation advisors in accordance with the independence standards identified in the applicable Nasdaq rules;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reviewing and approving our policies and procedures for the grant of equity-based awards;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reviewing and recommending to the board of directors the compensation of our directors;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preparing our compensation committee report if and when required by SEC rules;</w:t>
      </w:r>
    </w:p>
    <w:p>
      <w:pPr>
        <w:spacing w:after="0" w:line="130" w:lineRule="exact"/>
        <w:rPr>
          <w:rFonts w:ascii="Arial" w:cs="Arial" w:eastAsia="Arial" w:hAnsi="Arial"/>
          <w:sz w:val="18"/>
          <w:szCs w:val="18"/>
          <w:color w:val="32406B"/>
        </w:rPr>
      </w:pPr>
    </w:p>
    <w:p>
      <w:pPr>
        <w:ind w:left="1060" w:right="80" w:hanging="424"/>
        <w:spacing w:after="0" w:line="277" w:lineRule="auto"/>
        <w:tabs>
          <w:tab w:leader="none" w:pos="106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reviewing and discussing annually with management our “Compensation Discussion and Analysis,” if and when required, to be included in our annual proxy statement; and</w:t>
      </w:r>
    </w:p>
    <w:p>
      <w:pPr>
        <w:spacing w:after="0" w:line="75" w:lineRule="exact"/>
        <w:rPr>
          <w:rFonts w:ascii="Arial" w:cs="Arial" w:eastAsia="Arial" w:hAnsi="Arial"/>
          <w:sz w:val="18"/>
          <w:szCs w:val="18"/>
          <w:color w:val="32406B"/>
        </w:rPr>
      </w:pPr>
    </w:p>
    <w:p>
      <w:pPr>
        <w:ind w:left="1060" w:right="200" w:hanging="424"/>
        <w:spacing w:after="0" w:line="277" w:lineRule="auto"/>
        <w:tabs>
          <w:tab w:leader="none" w:pos="106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reviewing and approving the retention or termination of any consulting firm or outside advisor to assist in the evaluation of compensation matters.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Nominating and Corporate Governance Committee</w:t>
      </w:r>
    </w:p>
    <w:p>
      <w:pPr>
        <w:spacing w:after="0" w:line="117" w:lineRule="exact"/>
        <w:rPr>
          <w:sz w:val="20"/>
          <w:szCs w:val="20"/>
          <w:color w:val="auto"/>
        </w:rPr>
      </w:pPr>
    </w:p>
    <w:p>
      <w:pPr>
        <w:jc w:val="both"/>
        <w:ind w:left="200" w:right="480" w:firstLine="441"/>
        <w:spacing w:after="0" w:line="286" w:lineRule="auto"/>
        <w:rPr>
          <w:sz w:val="20"/>
          <w:szCs w:val="20"/>
          <w:color w:val="auto"/>
        </w:rPr>
      </w:pPr>
      <w:r>
        <w:rPr>
          <w:rFonts w:ascii="Arial" w:cs="Arial" w:eastAsia="Arial" w:hAnsi="Arial"/>
          <w:sz w:val="17"/>
          <w:szCs w:val="17"/>
          <w:color w:val="32406B"/>
        </w:rPr>
        <w:t>Annalisa Jenkins, Christopher Paige and Joshua Resnick serve on the nominating and corporate governance committee, which is chaired by Dr. Jenkins. Our board of directors has determined that each member of the nominating and corporate governance committee is “independent” as defined in the applicable Nasdaq rules. The nominating and corporate governance committee’s responsibilities include:</w:t>
      </w:r>
    </w:p>
    <w:p>
      <w:pPr>
        <w:spacing w:after="0" w:line="71" w:lineRule="exact"/>
        <w:rPr>
          <w:sz w:val="20"/>
          <w:szCs w:val="20"/>
          <w:color w:val="auto"/>
        </w:rPr>
      </w:pPr>
    </w:p>
    <w:p>
      <w:pPr>
        <w:ind w:left="1060" w:hanging="424"/>
        <w:spacing w:after="0"/>
        <w:tabs>
          <w:tab w:leader="none" w:pos="106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developing and recommending to the board of directors, criteria for board and committee membership;</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75"/>
        </w:numPr>
        <w:rPr>
          <w:rFonts w:ascii="Arial" w:cs="Arial" w:eastAsia="Arial" w:hAnsi="Arial"/>
          <w:sz w:val="17"/>
          <w:szCs w:val="17"/>
          <w:color w:val="32406B"/>
        </w:rPr>
      </w:pPr>
      <w:r>
        <w:rPr>
          <w:rFonts w:ascii="Arial" w:cs="Arial" w:eastAsia="Arial" w:hAnsi="Arial"/>
          <w:sz w:val="17"/>
          <w:szCs w:val="17"/>
          <w:color w:val="32406B"/>
        </w:rPr>
        <w:t>establishing procedures for identifying and evaluating board of director candidates, including nominees recommended by stockholders;</w:t>
      </w:r>
    </w:p>
    <w:p>
      <w:pPr>
        <w:spacing w:after="0" w:line="142" w:lineRule="exact"/>
        <w:rPr>
          <w:rFonts w:ascii="Arial" w:cs="Arial" w:eastAsia="Arial" w:hAnsi="Arial"/>
          <w:sz w:val="17"/>
          <w:szCs w:val="17"/>
          <w:color w:val="32406B"/>
        </w:rPr>
      </w:pPr>
    </w:p>
    <w:p>
      <w:pPr>
        <w:ind w:left="1060" w:right="40" w:hanging="424"/>
        <w:spacing w:after="0" w:line="277" w:lineRule="auto"/>
        <w:tabs>
          <w:tab w:leader="none" w:pos="106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reviewing the composition of the board of directors to ensure that it is composed of members containing the appropriate skills and expertise to advise us;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identifying individuals qualified to become members of the board of directors;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75"/>
        </w:numPr>
        <w:rPr>
          <w:rFonts w:ascii="Arial" w:cs="Arial" w:eastAsia="Arial" w:hAnsi="Arial"/>
          <w:sz w:val="17"/>
          <w:szCs w:val="17"/>
          <w:color w:val="32406B"/>
        </w:rPr>
      </w:pPr>
      <w:r>
        <w:rPr>
          <w:rFonts w:ascii="Arial" w:cs="Arial" w:eastAsia="Arial" w:hAnsi="Arial"/>
          <w:sz w:val="17"/>
          <w:szCs w:val="17"/>
          <w:color w:val="32406B"/>
        </w:rPr>
        <w:t>recommending to the board of directors the persons to be nominated for election as directors and to each of the board’s committees;</w:t>
      </w:r>
    </w:p>
    <w:p>
      <w:pPr>
        <w:spacing w:after="0" w:line="142" w:lineRule="exact"/>
        <w:rPr>
          <w:rFonts w:ascii="Arial" w:cs="Arial" w:eastAsia="Arial" w:hAnsi="Arial"/>
          <w:sz w:val="17"/>
          <w:szCs w:val="17"/>
          <w:color w:val="32406B"/>
        </w:rPr>
      </w:pPr>
    </w:p>
    <w:p>
      <w:pPr>
        <w:ind w:left="1060" w:right="20" w:hanging="424"/>
        <w:spacing w:after="0" w:line="277" w:lineRule="auto"/>
        <w:tabs>
          <w:tab w:leader="none" w:pos="106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developing and recommending to the board of directors, a code of business conduct and ethics and a set of corporate governance guidelines; and</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overseeing the evaluation of our board of directors and management.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Our board of directors may from time to time establish other committees.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Compensation Committee Interlocks and Insider Participation</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32406B"/>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Corporate Governance</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32406B"/>
        </w:rPr>
        <w:t>We have adopted, effective upon the effectiveness of the registration statement of which this prospectus is a part,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investor relations section of our website, which is located at www.avrobio.com. If we make any substantive amendments to, or grant any waivers from, the code of business conduct and ethics for any officer or director, we will disclose the nature of such amendment or waiver on our website or in a current report on Form 8-K.</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132</w:t>
      </w:r>
    </w:p>
    <w:p>
      <w:pPr>
        <w:sectPr>
          <w:pgSz w:w="11900" w:h="16838" w:orient="portrait"/>
          <w:cols w:equalWidth="0" w:num="1">
            <w:col w:w="11180"/>
          </w:cols>
          <w:pgMar w:left="24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EXECUTIVE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Executive Compensation Overview</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32406B"/>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our principal executive officer and our next two most highly compensated executive officers in respect of their service to our company for our fiscal year ended December 31, 2017. We refer to these individuals as our 2017 named executive officers. Our 2017 named executive officers are:</w:t>
      </w:r>
    </w:p>
    <w:p>
      <w:pPr>
        <w:spacing w:after="0" w:line="94" w:lineRule="exact"/>
        <w:rPr>
          <w:sz w:val="20"/>
          <w:szCs w:val="20"/>
          <w:color w:val="auto"/>
        </w:rPr>
      </w:pPr>
    </w:p>
    <w:p>
      <w:pPr>
        <w:ind w:left="1060" w:hanging="424"/>
        <w:spacing w:after="0"/>
        <w:tabs>
          <w:tab w:leader="none" w:pos="1060" w:val="left"/>
        </w:tabs>
        <w:numPr>
          <w:ilvl w:val="0"/>
          <w:numId w:val="76"/>
        </w:numPr>
        <w:rPr>
          <w:rFonts w:ascii="Arial" w:cs="Arial" w:eastAsia="Arial" w:hAnsi="Arial"/>
          <w:sz w:val="18"/>
          <w:szCs w:val="18"/>
          <w:color w:val="32406B"/>
        </w:rPr>
      </w:pPr>
      <w:r>
        <w:rPr>
          <w:rFonts w:ascii="Arial" w:cs="Arial" w:eastAsia="Arial" w:hAnsi="Arial"/>
          <w:sz w:val="18"/>
          <w:szCs w:val="18"/>
          <w:color w:val="32406B"/>
        </w:rPr>
        <w:t>Geoff MacKay, our President and Chief Executive Officer;</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76"/>
        </w:numPr>
        <w:rPr>
          <w:rFonts w:ascii="Arial" w:cs="Arial" w:eastAsia="Arial" w:hAnsi="Arial"/>
          <w:sz w:val="18"/>
          <w:szCs w:val="18"/>
          <w:color w:val="32406B"/>
        </w:rPr>
      </w:pPr>
      <w:r>
        <w:rPr>
          <w:rFonts w:ascii="Arial" w:cs="Arial" w:eastAsia="Arial" w:hAnsi="Arial"/>
          <w:sz w:val="18"/>
          <w:szCs w:val="18"/>
          <w:color w:val="32406B"/>
        </w:rPr>
        <w:t>Katina Dorton, our Chief Financial Officer;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76"/>
        </w:numPr>
        <w:rPr>
          <w:rFonts w:ascii="Arial" w:cs="Arial" w:eastAsia="Arial" w:hAnsi="Arial"/>
          <w:sz w:val="18"/>
          <w:szCs w:val="18"/>
          <w:color w:val="32406B"/>
        </w:rPr>
      </w:pPr>
      <w:r>
        <w:rPr>
          <w:rFonts w:ascii="Arial" w:cs="Arial" w:eastAsia="Arial" w:hAnsi="Arial"/>
          <w:sz w:val="18"/>
          <w:szCs w:val="18"/>
          <w:color w:val="32406B"/>
        </w:rPr>
        <w:t>Nerissa Kreher, M.D., our Chief Medical Officer.</w:t>
      </w:r>
    </w:p>
    <w:p>
      <w:pPr>
        <w:spacing w:after="0" w:line="225"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32406B"/>
        </w:rPr>
        <w:t>Our executive compensation program is based on a pay for performance philosophy. Compensation for our executive officers is composed primarily of the following main components: base salary; bonus; and equity incentives in the form of options. Our executive officers, like all full-time employees, are eligible to participate in our health and welfare benefit plans. As we transition from a private company to a publicly traded company, we intend to evaluate our compensation values and philosophy and compensation plans and arrangements as circumstances require. Compensation plans or arrangements that we adopt following the completion of this offering may be materially different from those described in this section.</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2017 Summary Compensation Table</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32406B"/>
        </w:rPr>
        <w:t>The following table sets forth information regarding compensation awarded to, earned by, or paid to our 2017 named executive officers for services rendered to us in all capacities during the fiscal year ended December 31, 2017.</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32406B"/>
              </w:rPr>
              <w:t>SALARY</w:t>
            </w: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32406B"/>
              </w:rPr>
              <w:t>BONUS</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32406B"/>
              </w:rPr>
              <w:t>OPTION</w:t>
            </w: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32406B"/>
              </w:rPr>
              <w:t>ALL OTHER</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32406B"/>
              </w:rPr>
              <w:t>TOTAL</w:t>
            </w: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NAME AND PRINCIPAL POSITION</w:t>
            </w:r>
          </w:p>
        </w:tc>
        <w:tc>
          <w:tcPr>
            <w:tcW w:w="19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32406B"/>
              </w:rPr>
              <w:t>YEAR</w:t>
            </w:r>
          </w:p>
        </w:tc>
        <w:tc>
          <w:tcPr>
            <w:tcW w:w="9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32406B"/>
                <w:w w:val="98"/>
              </w:rPr>
              <w:t>AWARDS</w:t>
            </w:r>
          </w:p>
        </w:tc>
        <w:tc>
          <w:tcPr>
            <w:tcW w:w="16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32406B"/>
              </w:rPr>
              <w:t>COMPENSATION</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960" w:type="dxa"/>
            <w:vAlign w:val="bottom"/>
            <w:gridSpan w:val="3"/>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32406B"/>
              </w:rPr>
              <w:t>($)</w:t>
            </w:r>
          </w:p>
        </w:tc>
        <w:tc>
          <w:tcPr>
            <w:tcW w:w="28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Arial" w:cs="Arial" w:eastAsia="Arial" w:hAnsi="Arial"/>
                <w:sz w:val="14"/>
                <w:szCs w:val="14"/>
                <w:b w:val="1"/>
                <w:bCs w:val="1"/>
                <w:color w:val="32406B"/>
              </w:rPr>
              <w:t>($)</w:t>
            </w:r>
            <w:r>
              <w:rPr>
                <w:rFonts w:ascii="Arial" w:cs="Arial" w:eastAsia="Arial" w:hAnsi="Arial"/>
                <w:sz w:val="12"/>
                <w:szCs w:val="12"/>
                <w:b w:val="1"/>
                <w:bCs w:val="1"/>
                <w:color w:val="32406B"/>
              </w:rPr>
              <w:t>(1)</w:t>
            </w:r>
          </w:p>
        </w:tc>
        <w:tc>
          <w:tcPr>
            <w:tcW w:w="2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32406B"/>
                <w:w w:val="94"/>
              </w:rPr>
              <w:t>($)</w:t>
            </w:r>
            <w:r>
              <w:rPr>
                <w:rFonts w:ascii="Arial" w:cs="Arial" w:eastAsia="Arial" w:hAnsi="Arial"/>
                <w:sz w:val="12"/>
                <w:szCs w:val="12"/>
                <w:b w:val="1"/>
                <w:bCs w:val="1"/>
                <w:color w:val="32406B"/>
                <w:w w:val="94"/>
              </w:rPr>
              <w:t>(2)</w:t>
            </w:r>
          </w:p>
        </w:tc>
        <w:tc>
          <w:tcPr>
            <w:tcW w:w="2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32406B"/>
                <w:w w:val="93"/>
              </w:rPr>
              <w:t>($)</w:t>
            </w:r>
          </w:p>
        </w:tc>
        <w:tc>
          <w:tcPr>
            <w:tcW w:w="44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Arial" w:cs="Arial" w:eastAsia="Arial" w:hAnsi="Arial"/>
                <w:sz w:val="14"/>
                <w:szCs w:val="14"/>
                <w:b w:val="1"/>
                <w:bCs w:val="1"/>
                <w:color w:val="32406B"/>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2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32406B"/>
              </w:rPr>
              <w:t>Geoff MacKay,</w:t>
            </w:r>
          </w:p>
        </w:tc>
        <w:tc>
          <w:tcPr>
            <w:tcW w:w="16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32406B"/>
              </w:rPr>
              <w:t>President and Chief Executive Officer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2017</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5"/>
              </w:rPr>
              <w:t>408,000</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5"/>
              </w:rPr>
              <w:t>163,200</w:t>
            </w: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30,306</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32406B"/>
                <w:w w:val="86"/>
              </w:rPr>
              <w:t>601,506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960" w:type="dxa"/>
            <w:vAlign w:val="bottom"/>
            <w:gridSpan w:val="3"/>
          </w:tcPr>
          <w:p>
            <w:pPr>
              <w:spacing w:after="0"/>
              <w:rPr>
                <w:sz w:val="20"/>
                <w:szCs w:val="20"/>
                <w:color w:val="auto"/>
              </w:rPr>
            </w:pPr>
            <w:r>
              <w:rPr>
                <w:rFonts w:ascii="Arial" w:cs="Arial" w:eastAsia="Arial" w:hAnsi="Arial"/>
                <w:sz w:val="18"/>
                <w:szCs w:val="18"/>
                <w:color w:val="32406B"/>
              </w:rPr>
              <w:t>Katina Dorton,</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960" w:type="dxa"/>
            <w:vAlign w:val="bottom"/>
            <w:gridSpan w:val="3"/>
          </w:tcPr>
          <w:p>
            <w:pPr>
              <w:spacing w:after="0"/>
              <w:rPr>
                <w:sz w:val="20"/>
                <w:szCs w:val="20"/>
                <w:color w:val="auto"/>
              </w:rPr>
            </w:pPr>
            <w:r>
              <w:rPr>
                <w:rFonts w:ascii="Arial" w:cs="Arial" w:eastAsia="Arial" w:hAnsi="Arial"/>
                <w:sz w:val="18"/>
                <w:szCs w:val="18"/>
                <w:i w:val="1"/>
                <w:iCs w:val="1"/>
                <w:color w:val="32406B"/>
              </w:rPr>
              <w:t>Chief Financial Officer</w:t>
            </w:r>
            <w:r>
              <w:rPr>
                <w:rFonts w:ascii="Arial" w:cs="Arial" w:eastAsia="Arial" w:hAnsi="Arial"/>
                <w:sz w:val="15"/>
                <w:szCs w:val="15"/>
                <w:color w:val="32406B"/>
              </w:rPr>
              <w:t>(3)</w:t>
            </w:r>
          </w:p>
        </w:tc>
        <w:tc>
          <w:tcPr>
            <w:tcW w:w="1640" w:type="dxa"/>
            <w:vAlign w:val="bottom"/>
            <w:gridSpan w:val="2"/>
          </w:tcPr>
          <w:p>
            <w:pPr>
              <w:jc w:val="right"/>
              <w:spacing w:after="0"/>
              <w:rPr>
                <w:sz w:val="20"/>
                <w:szCs w:val="20"/>
                <w:color w:val="auto"/>
              </w:rPr>
            </w:pPr>
            <w:r>
              <w:rPr>
                <w:rFonts w:ascii="Arial" w:cs="Arial" w:eastAsia="Arial" w:hAnsi="Arial"/>
                <w:sz w:val="18"/>
                <w:szCs w:val="18"/>
                <w:color w:val="32406B"/>
              </w:rPr>
              <w:t>2017</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2406B"/>
                <w:w w:val="95"/>
              </w:rPr>
              <w:t>113,333</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2406B"/>
              </w:rPr>
              <w:t>37,917</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2406B"/>
                <w:w w:val="98"/>
              </w:rPr>
              <w:t>286,705</w:t>
            </w:r>
          </w:p>
        </w:tc>
        <w:tc>
          <w:tcPr>
            <w:tcW w:w="260" w:type="dxa"/>
            <w:vAlign w:val="bottom"/>
          </w:tcPr>
          <w:p>
            <w:pPr>
              <w:spacing w:after="0"/>
              <w:rPr>
                <w:sz w:val="21"/>
                <w:szCs w:val="21"/>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32406B"/>
              </w:rPr>
              <w:t>24,856</w:t>
            </w:r>
            <w:r>
              <w:rPr>
                <w:rFonts w:ascii="Arial" w:cs="Arial" w:eastAsia="Arial" w:hAnsi="Arial"/>
                <w:sz w:val="15"/>
                <w:szCs w:val="15"/>
                <w:color w:val="32406B"/>
              </w:rPr>
              <w:t>(4)</w:t>
            </w:r>
          </w:p>
        </w:tc>
        <w:tc>
          <w:tcPr>
            <w:tcW w:w="660" w:type="dxa"/>
            <w:vAlign w:val="bottom"/>
          </w:tcPr>
          <w:p>
            <w:pPr>
              <w:ind w:left="80"/>
              <w:spacing w:after="0"/>
              <w:rPr>
                <w:sz w:val="20"/>
                <w:szCs w:val="20"/>
                <w:color w:val="auto"/>
              </w:rPr>
            </w:pPr>
            <w:r>
              <w:rPr>
                <w:rFonts w:ascii="Arial" w:cs="Arial" w:eastAsia="Arial" w:hAnsi="Arial"/>
                <w:sz w:val="18"/>
                <w:szCs w:val="18"/>
                <w:color w:val="32406B"/>
                <w:w w:val="86"/>
              </w:rPr>
              <w:t>462,811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32406B"/>
              </w:rPr>
              <w:t>Nerissa Kreher, M.D.,</w:t>
            </w: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32406B"/>
              </w:rPr>
              <w:t>Chief Medical Officer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2017</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5"/>
              </w:rPr>
              <w:t>336,600</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84,150</w:t>
            </w: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18,165</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32406B"/>
                <w:w w:val="86"/>
              </w:rPr>
              <w:t>438,915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40" w:hanging="436"/>
        <w:spacing w:after="0" w:line="258" w:lineRule="auto"/>
        <w:tabs>
          <w:tab w:leader="none" w:pos="640" w:val="left"/>
        </w:tabs>
        <w:numPr>
          <w:ilvl w:val="0"/>
          <w:numId w:val="77"/>
        </w:numPr>
        <w:rPr>
          <w:rFonts w:ascii="Arial" w:cs="Arial" w:eastAsia="Arial" w:hAnsi="Arial"/>
          <w:sz w:val="18"/>
          <w:szCs w:val="18"/>
          <w:color w:val="32406B"/>
        </w:rPr>
      </w:pPr>
      <w:r>
        <w:rPr>
          <w:rFonts w:ascii="Arial" w:cs="Arial" w:eastAsia="Arial" w:hAnsi="Arial"/>
          <w:sz w:val="18"/>
          <w:szCs w:val="18"/>
          <w:color w:val="32406B"/>
        </w:rPr>
        <w:t>Amounts reflect annual bonuses earned based upon achievement of company and individual performance metrics for the year ended December 31, 2017, but paid in 2018.</w:t>
      </w:r>
    </w:p>
    <w:p>
      <w:pPr>
        <w:spacing w:after="0" w:line="1" w:lineRule="exact"/>
        <w:rPr>
          <w:rFonts w:ascii="Arial" w:cs="Arial" w:eastAsia="Arial" w:hAnsi="Arial"/>
          <w:sz w:val="18"/>
          <w:szCs w:val="18"/>
          <w:color w:val="32406B"/>
        </w:rPr>
      </w:pPr>
    </w:p>
    <w:p>
      <w:pPr>
        <w:ind w:left="640" w:right="40" w:hanging="436"/>
        <w:spacing w:after="0" w:line="281" w:lineRule="auto"/>
        <w:tabs>
          <w:tab w:leader="none" w:pos="640" w:val="left"/>
        </w:tabs>
        <w:numPr>
          <w:ilvl w:val="0"/>
          <w:numId w:val="77"/>
        </w:numPr>
        <w:rPr>
          <w:rFonts w:ascii="Arial" w:cs="Arial" w:eastAsia="Arial" w:hAnsi="Arial"/>
          <w:sz w:val="16"/>
          <w:szCs w:val="16"/>
          <w:color w:val="32406B"/>
        </w:rPr>
      </w:pPr>
      <w:r>
        <w:rPr>
          <w:rFonts w:ascii="Arial" w:cs="Arial" w:eastAsia="Arial" w:hAnsi="Arial"/>
          <w:sz w:val="16"/>
          <w:szCs w:val="16"/>
          <w:color w:val="32406B"/>
        </w:rPr>
        <w:t>Amounts reflect the grant date fair value of option awards granted or modified in 2017 in accordance with the Financial Accounting Standards Board’s Accounting Standards Codification Topic 718, or ASC 718. Such grant date fair value does not take into account any estimated forfeitures related to service-vesting conditions. For information regarding assumptions underlying the valuation of equity awards, see Note 2 to our financial statements and the discussion under “Management’s Discussion and Analysis of Financial Condition and Results of Operations—Critical Accounting Policies and Significant Judgments and Estimates—Stock-based Compensation” included elsewhere in this prospectus. These amounts do not correspond to the actual value that may be recognized by the 2017 named executive officers upon vesting of applicable awards.</w:t>
      </w:r>
    </w:p>
    <w:p>
      <w:pPr>
        <w:spacing w:after="0" w:line="4" w:lineRule="exact"/>
        <w:rPr>
          <w:rFonts w:ascii="Arial" w:cs="Arial" w:eastAsia="Arial" w:hAnsi="Arial"/>
          <w:sz w:val="16"/>
          <w:szCs w:val="16"/>
          <w:color w:val="32406B"/>
        </w:rPr>
      </w:pPr>
    </w:p>
    <w:p>
      <w:pPr>
        <w:ind w:left="640" w:hanging="436"/>
        <w:spacing w:after="0"/>
        <w:tabs>
          <w:tab w:leader="none" w:pos="640" w:val="left"/>
        </w:tabs>
        <w:numPr>
          <w:ilvl w:val="0"/>
          <w:numId w:val="77"/>
        </w:numPr>
        <w:rPr>
          <w:rFonts w:ascii="Arial" w:cs="Arial" w:eastAsia="Arial" w:hAnsi="Arial"/>
          <w:sz w:val="16"/>
          <w:szCs w:val="16"/>
          <w:color w:val="32406B"/>
        </w:rPr>
      </w:pPr>
      <w:r>
        <w:rPr>
          <w:rFonts w:ascii="Arial" w:cs="Arial" w:eastAsia="Arial" w:hAnsi="Arial"/>
          <w:sz w:val="16"/>
          <w:szCs w:val="16"/>
          <w:color w:val="32406B"/>
        </w:rPr>
        <w:t>Ms. Dorton commenced her employment with us in August 2017. Her annual salary and bonus were prorated to reflect her partial year of service.</w:t>
      </w:r>
    </w:p>
    <w:p>
      <w:pPr>
        <w:spacing w:after="0" w:line="32" w:lineRule="exact"/>
        <w:rPr>
          <w:rFonts w:ascii="Arial" w:cs="Arial" w:eastAsia="Arial" w:hAnsi="Arial"/>
          <w:sz w:val="16"/>
          <w:szCs w:val="16"/>
          <w:color w:val="32406B"/>
        </w:rPr>
      </w:pPr>
    </w:p>
    <w:p>
      <w:pPr>
        <w:ind w:left="640" w:hanging="436"/>
        <w:spacing w:after="0"/>
        <w:tabs>
          <w:tab w:leader="none" w:pos="640" w:val="left"/>
        </w:tabs>
        <w:numPr>
          <w:ilvl w:val="0"/>
          <w:numId w:val="77"/>
        </w:numPr>
        <w:rPr>
          <w:rFonts w:ascii="Arial" w:cs="Arial" w:eastAsia="Arial" w:hAnsi="Arial"/>
          <w:sz w:val="18"/>
          <w:szCs w:val="18"/>
          <w:color w:val="32406B"/>
        </w:rPr>
      </w:pPr>
      <w:r>
        <w:rPr>
          <w:rFonts w:ascii="Arial" w:cs="Arial" w:eastAsia="Arial" w:hAnsi="Arial"/>
          <w:sz w:val="18"/>
          <w:szCs w:val="18"/>
          <w:color w:val="32406B"/>
        </w:rPr>
        <w:t>Amount reflects our reimbursement of travel and relocation expenses.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133</w:t>
      </w:r>
    </w:p>
    <w:p>
      <w:pPr>
        <w:sectPr>
          <w:pgSz w:w="11900" w:h="16838" w:orient="portrait"/>
          <w:cols w:equalWidth="0" w:num="1">
            <w:col w:w="11240"/>
          </w:cols>
          <w:pgMar w:left="24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Narrative to the 2017 Summary Compensation 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Base Salary</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32406B"/>
        </w:rPr>
        <w:t>We use base salaries to recognize the experience, skills, knowledge and responsibilities required of all our employees, including our 2017 named executive officers. Base salaries for our named executive officers are reviewed annually by our compensation committee, typically in connection with our annual performance review process, and adjusted from time to time, based on the recommendation of the compensation committee, to realign salaries with market levels after taking into account individual responsibilities, performance and experience. None of our 2017 named executive officers is currently party to an employment agreement or other agreement or arrangement that provides for automatic or scheduled increases in base salary.</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Annual Bonus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We currently do not have a formal performance-based bonus plan but intend to adopt our Senior Executive Cash Incentive Bonus Plan in connection with this offering. Our employment agreements with our 2017 named executive officers provide that the executive may be eligible to earn an annual performance bonus of up to a target percentage of the executive’s base salary, as described further below under the section entitled “–– Employment Arrangements with our Chief Executive Officer and our 2017 Named Executive Officers.” From time to time, our board of directors or compensation committee may approve annual bonuses for our named executive officers based on individual performance, company performance or as otherwise determined appropriate.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Equity Compensation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32406B"/>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78"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32406B"/>
        </w:rPr>
        <w:t>We typically grant stock option awards at the start of employment to each executive and our other employees. We award our stock options on the date our board of directors approves the grant. We set the option exercise price and grant date fair value based on our per-share estimated valuation on the date of grant. For grants in connection with initial employment, vesting begins on the initial date of employment. To date, we have not maintained a practice of granting additional equity on an annual basis, but we have retained discretion to provide additional targeted grants in certain circumstances.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Employment Arrangements with our Chief Executive Officer and our 2017 Named Executive Officers</w:t>
      </w:r>
    </w:p>
    <w:p>
      <w:pPr>
        <w:spacing w:after="0" w:line="121"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32406B"/>
        </w:rPr>
        <w:t>We have entered into employment agreements with each of our 2017 named executive officers. These agreements set forth the initial terms and conditions of each executive’s employment with us, including base salary, target annual bonus opportunity and standard employee benefit plan participation. In connection with this offering, we have entered into an amended and restated employment agreement with each of Mr. MacKay, Dr. Kreher and Ms. Dorton. The amended and restated employment agreements will be effective as of the closing of this offering.</w:t>
      </w:r>
    </w:p>
    <w:p>
      <w:pPr>
        <w:spacing w:after="0" w:line="17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32406B"/>
        </w:rPr>
        <w:t>These existing and new employment agreements provide for “at will” employment. The material terms of the new employment agreements with our 2017 named executive officers are described below. The terms “change of control,” “cause” and “good reason” referred to below are defined in the applicable employment agreement.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134</w:t>
      </w:r>
    </w:p>
    <w:p>
      <w:pPr>
        <w:sectPr>
          <w:pgSz w:w="11900" w:h="16838" w:orient="portrait"/>
          <w:cols w:equalWidth="0" w:num="1">
            <w:col w:w="11180"/>
          </w:cols>
          <w:pgMar w:left="24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Geoff MacKay</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32406B"/>
        </w:rPr>
        <w:t>We entered into an employment agreement with Geoff MacKay, our President and Chief Executive Officer, on December 22, 2016. In connection with this offering, we entered into an amended and restated employment agreement with Mr. MacKay, which will become effective as of the closing of this offering. Under the terms of the new employment agreement, Mr. MacKay is entitled to receive an annual base salary of $500,000 and an annual target bonus of 50% of his annual base salary based upon our board of directors’ assessment of Mr. MacKay’s performance and our attainment of targeted goals as set by the board of directors in its sole discretion. Mr. MacKay also previously entered into a Confidentiality and IP Assignment Agreement with us, the terms of which are incorporated into his new employment agreement.</w:t>
      </w:r>
    </w:p>
    <w:p>
      <w:pPr>
        <w:spacing w:after="0" w:line="17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32406B"/>
        </w:rPr>
        <w:t>Mr. MacKay’s new employment agreement provides that, in the event that his employment is terminated by us without “cause” or by Mr. MacKay with “good reason”, subject to the execution and effectiveness of a separation agreement and release, he will be entitled to receive (i) an amount equal to 100% of his base salary, provided that Mr. MacKay has not breached any of the confidentiality, noncompetition or cooperation provisions set forth in, or incorporated into, the new employment agreement, payable on our normal payroll cycle, and (ii) reimbursement of COBRA premiums for health benefit coverage, up to an amount equal to the monthly employer contribution that we would have made to provide health insurance to Mr. MacKay had he remained employed with us for up to 12 months. Additionally, all stock options and other stock based awards held by Mr. MacKay that would have vested if he had remained employed by us for an additional 12 months following the date of termination will vest and become exercisable or non-forfeitable as of the date of termination.</w:t>
      </w:r>
    </w:p>
    <w:p>
      <w:pPr>
        <w:spacing w:after="0" w:line="17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32406B"/>
        </w:rPr>
        <w:t>Under the new employment agreement, in the event of a “change in control” all stock options and other stock-based awards granted to</w:t>
      </w:r>
    </w:p>
    <w:p>
      <w:pPr>
        <w:spacing w:after="0" w:line="23" w:lineRule="exact"/>
        <w:rPr>
          <w:sz w:val="20"/>
          <w:szCs w:val="20"/>
          <w:color w:val="auto"/>
        </w:rPr>
      </w:pPr>
    </w:p>
    <w:p>
      <w:pPr>
        <w:ind w:left="200" w:right="80"/>
        <w:spacing w:after="0" w:line="281" w:lineRule="auto"/>
        <w:rPr>
          <w:sz w:val="20"/>
          <w:szCs w:val="20"/>
          <w:color w:val="auto"/>
        </w:rPr>
      </w:pPr>
      <w:r>
        <w:rPr>
          <w:rFonts w:ascii="Arial" w:cs="Arial" w:eastAsia="Arial" w:hAnsi="Arial"/>
          <w:sz w:val="16"/>
          <w:szCs w:val="16"/>
          <w:color w:val="32406B"/>
        </w:rPr>
        <w:t>Mr. MacKay at least 12 months prior to the effective date of the new employment agreement shall accelerate and become fully exercisable or non-forfeitable immediately prior to the change in control. In addition, in the event that Mr. MacKay is terminated by us without “cause” or by Mr. MacKay for “good reason” within three months prior to or 18 months after a change in control, subject to the execution and effectiveness of a separation agreement and release, he will be entitled to receive (i) an amount equal to 150% of the sum of his base salary plus target bonus for that year, and</w:t>
      </w:r>
    </w:p>
    <w:p>
      <w:pPr>
        <w:spacing w:after="0" w:line="3" w:lineRule="exact"/>
        <w:rPr>
          <w:sz w:val="20"/>
          <w:szCs w:val="20"/>
          <w:color w:val="auto"/>
        </w:rPr>
      </w:pPr>
    </w:p>
    <w:p>
      <w:pPr>
        <w:jc w:val="both"/>
        <w:ind w:left="200" w:right="140" w:firstLine="4"/>
        <w:spacing w:after="0" w:line="302" w:lineRule="auto"/>
        <w:tabs>
          <w:tab w:leader="none" w:pos="465" w:val="left"/>
        </w:tabs>
        <w:numPr>
          <w:ilvl w:val="0"/>
          <w:numId w:val="78"/>
        </w:numPr>
        <w:rPr>
          <w:rFonts w:ascii="Arial" w:cs="Arial" w:eastAsia="Arial" w:hAnsi="Arial"/>
          <w:sz w:val="16"/>
          <w:szCs w:val="16"/>
          <w:color w:val="32406B"/>
        </w:rPr>
      </w:pPr>
      <w:r>
        <w:rPr>
          <w:rFonts w:ascii="Arial" w:cs="Arial" w:eastAsia="Arial" w:hAnsi="Arial"/>
          <w:sz w:val="16"/>
          <w:szCs w:val="16"/>
          <w:color w:val="32406B"/>
        </w:rPr>
        <w:t>reimbursement of COBRA premiums for health benefit coverage, up to an amount equal to the monthly employer contribution that we would have made to provide health insurance to Mr. MacKay had he remained employed with us for up to 18 months. Additionally, all then unvested stock options and other stock-based awards granted to Mr. MacKay will vest and become exercisable or non-forfeitable as of the date of termination.</w:t>
      </w:r>
    </w:p>
    <w:p>
      <w:pPr>
        <w:spacing w:after="0" w:line="2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Nerissa Kreher, M.D.</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We entered into an employment agreement with Dr. Nerissa Kreher, our Chief Medical Officer, on November 1, 2016. In connection with this offering, we entered into an amended and restated employment agreement with Dr. Kreher which will become effective as of the closing of this offering. Under the terms of the new employment agreement, Dr. Kreher is entitled to receive an annual base salary of $365,650 and an annual target bonus of 25% of her annual base salary based upon our board of directors’ assessment of Dr. Kreher’s performance and our attainment of targeted goals as set by the board of directors in its sole discretion. Dr. Kreher also previously entered into a Confidentiality and IP Assignment Agreement with us, the terms of which are incorporated into her new employment agreement.</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Dr. Kreher’s new employment agreement provides that, in the event that her employment is terminated by us without “cause” or by Dr. Kreher with “good reason”, subject to the execution and effectiveness of a separation agreement and release, she will be entitled to receive (i) an amount equal to 75% of her base salary, provided that Dr. Kreher has not breached any of the confidentiality, noncompetition or cooperation provisions set forth in, or incorporated into, the new employment agreement, payable on our normal payroll cycle, and (ii) reimbursement of COBRA premiums for health benefit coverage, up to an amount equal to the monthly employer contribution that we would have made to provide health insurance to Dr. Kreher had she remained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135</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32406B"/>
        </w:rPr>
        <w:t>employed with us for up to nine months. Additionally, all stock options and other stock based awards held by Dr. Kreher that would have vested if she had remained employed by us for an additional nine months following the date of termination will vest and become exercisable or non-forfeitable as of the date of termination.</w:t>
      </w:r>
    </w:p>
    <w:p>
      <w:pPr>
        <w:spacing w:after="0" w:line="181"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32406B"/>
        </w:rPr>
        <w:t>Under the new employment agreement, in the event of a “change in control” all stock options and other stock-based awards granted to Dr. Kreher at least 12 months prior to the effective date of the new employment agreement shall accelerate and become fully exercisable or non-forfeitable immediately prior to the change in control. In addition, in the event that Dr. Kreher is terminated by us without “cause” or by Dr. Kreher for “good reason” within three months prior to or 18 months after a change in control, subject to the execution and effectiveness of a separation agreement and release, she will be entitled to receive (i) an amount equal to 100% of the sum of her base salary, plus target bonus for that year, and (ii) reimbursement of COBRA premiums for health benefit coverage, up to an amount equal to the monthly employer contribution that we would have made to provide health insurance to Dr. Kreher had she remained employed with us for up to 12 months. Additionally, all then unvested stock options and other stock-based awards granted to Dr. Kreher will vest and become exercisable or non-forfeitable as of the date of termination.</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Katina Dorton</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We entered into an employment agreement with Katina Dorton, our Chief Financial Officer, on July 20, 2017. In connection with this offering, we entered into an amended and restated employment agreement with Ms. Dorton which will become effective as of the closing of this offering. Under the terms of the new employment agreement, Ms. Dorton is entitled to receive an annual base salary of $360,000 and an annual target bonus of 40% of her annual base salary based upon our board of directors’ assessment of Ms. Dorton’s performance and our attainment of targeted goals as set by the board of directors in its sole discretion. Ms. Dorton also previously entered into a Confidentiality and IP Assignment Agreement with us, the terms of which are incorporated into her new employment agreement.</w:t>
      </w:r>
    </w:p>
    <w:p>
      <w:pPr>
        <w:spacing w:after="0" w:line="193"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32406B"/>
        </w:rPr>
        <w:t>Pursuant to Ms. Dorton’s existing and new employment agreements, Ms. Dorton is entitled to reimbursement of temporary living and travel expenses in connection with traveling to and temporary living in Massachusetts of up to $4,000 per month until the earlier of August 28, 2018 and the sale of her Raleigh, North Carolina residence. Ms. Dorton is also entitled to a one-time relocation payment of up to $100,000, less any reimbursements for temporary living and travel expenses previously paid to her, in connection with the relocation of her primary residence from North Carolina to Massachusetts.</w:t>
      </w:r>
    </w:p>
    <w:p>
      <w:pPr>
        <w:spacing w:after="0" w:line="18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32406B"/>
        </w:rPr>
        <w:t>Ms. Dorton’s new employment agreement provides that, in the event that her employment is terminated by us without “cause” or by Ms. Dorton with “good reason”, subject to the execution and effectiveness of a separation agreement and release, she will be entitled to receive (i) an amount equal to 75% of her base salary, provided that Ms. Dorton has not breached any of the confidentiality, noncompetition or cooperation provisions set forth in, or incorporated into, the new employment agreement, payable on our normal payroll cycle, and (ii) reimbursement of COBRA premiums for health benefit coverage, up to an amount equal to the monthly employer contribution that we would have made to provide health insurance to Ms. Dorton had she remained employed with us for up to nine months. Additionally, all stock options and other stock based awards held by Ms. Dorton that would have vested if she had remained employed by us for an additional nine months following the date of termination will vest and become exercisable or non-forfeitable as of the date of termination.</w:t>
      </w:r>
    </w:p>
    <w:p>
      <w:pPr>
        <w:spacing w:after="0" w:line="17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Under the new employment agreement, in the event of a “change in control” all stock options and other stock-based awards granted to Ms. Dorton at least 12 months prior to the effective date of the new employment agreement shall accelerate and become fully exercisable or non-forfeitable immediately prior to the change in control. In addition, in the event that Ms. Dorton is terminated by us without “cause” or by Ms. Dorton for “good reason” within three months prior to or 18 months after a change in control, subject to the execution and effectiveness of a separation agreement and release, she will be entitled to receive (i) an amount equal to 100% of the sum of her base salary plus target bonus for that year, and (ii) reimbursement of COBRA premiums for health</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136</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32406B"/>
        </w:rPr>
        <w:t>benefit coverage, up to an amount equal to the monthly employer contribution that we would have made to provide health insurance to Ms. Dorton had she remained employed with us for up to 12 months. Additionally, all then unvested stock options and other stock-based awards granted to Ms. Dorton will vest and become exercisable or non-forfeitable as of the date of termination.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Outstanding Equity Awards at 2017 Fiscal Year-End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The following table sets forth information concerning outstanding equity awards held by our 2017 named executive officers as of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2017. All equity awards set forth in the table below were granted under our Amended and Restated 2015 Stock Option and Grant Plan, or 2015 Plan.</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32406B"/>
              </w:rPr>
              <w:t>Option Awards</w:t>
            </w:r>
          </w:p>
        </w:tc>
        <w:tc>
          <w:tcPr>
            <w:tcW w:w="8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32406B"/>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rPr>
              <w:t>Number of</w:t>
            </w:r>
          </w:p>
        </w:tc>
        <w:tc>
          <w:tcPr>
            <w:tcW w:w="380" w:type="dxa"/>
            <w:vAlign w:val="bottom"/>
          </w:tcPr>
          <w:p>
            <w:pPr>
              <w:spacing w:after="0"/>
              <w:rPr>
                <w:sz w:val="10"/>
                <w:szCs w:val="10"/>
                <w:color w:val="auto"/>
              </w:rPr>
            </w:pPr>
          </w:p>
        </w:tc>
        <w:tc>
          <w:tcPr>
            <w:tcW w:w="1200" w:type="dxa"/>
            <w:vAlign w:val="bottom"/>
            <w:gridSpan w:val="2"/>
          </w:tcPr>
          <w:p>
            <w:pPr>
              <w:jc w:val="center"/>
              <w:ind w:right="283"/>
              <w:spacing w:after="0" w:line="119" w:lineRule="exact"/>
              <w:rPr>
                <w:sz w:val="20"/>
                <w:szCs w:val="20"/>
                <w:color w:val="auto"/>
              </w:rPr>
            </w:pPr>
            <w:r>
              <w:rPr>
                <w:rFonts w:ascii="Arial" w:cs="Arial" w:eastAsia="Arial" w:hAnsi="Arial"/>
                <w:sz w:val="13"/>
                <w:szCs w:val="13"/>
                <w:b w:val="1"/>
                <w:bCs w:val="1"/>
                <w:color w:val="32406B"/>
              </w:rPr>
              <w:t>Number of</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2"/>
          </w:tcPr>
          <w:p>
            <w:pPr>
              <w:jc w:val="center"/>
              <w:ind w:right="283"/>
              <w:spacing w:after="0" w:line="119" w:lineRule="exact"/>
              <w:rPr>
                <w:sz w:val="20"/>
                <w:szCs w:val="20"/>
                <w:color w:val="auto"/>
              </w:rPr>
            </w:pPr>
            <w:r>
              <w:rPr>
                <w:rFonts w:ascii="Arial" w:cs="Arial" w:eastAsia="Arial" w:hAnsi="Arial"/>
                <w:sz w:val="13"/>
                <w:szCs w:val="13"/>
                <w:b w:val="1"/>
                <w:bCs w:val="1"/>
                <w:color w:val="32406B"/>
              </w:rPr>
              <w:t>Number of</w:t>
            </w:r>
          </w:p>
        </w:tc>
        <w:tc>
          <w:tcPr>
            <w:tcW w:w="1100" w:type="dxa"/>
            <w:vAlign w:val="bottom"/>
            <w:gridSpan w:val="3"/>
            <w:vMerge w:val="restart"/>
          </w:tcPr>
          <w:p>
            <w:pPr>
              <w:jc w:val="center"/>
              <w:ind w:left="28"/>
              <w:spacing w:after="0"/>
              <w:rPr>
                <w:sz w:val="20"/>
                <w:szCs w:val="20"/>
                <w:color w:val="auto"/>
              </w:rPr>
            </w:pPr>
            <w:r>
              <w:rPr>
                <w:rFonts w:ascii="Arial" w:cs="Arial" w:eastAsia="Arial" w:hAnsi="Arial"/>
                <w:sz w:val="14"/>
                <w:szCs w:val="14"/>
                <w:b w:val="1"/>
                <w:bCs w:val="1"/>
                <w:color w:val="32406B"/>
                <w:w w:val="97"/>
              </w:rPr>
              <w:t>Market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89"/>
              </w:rPr>
              <w:t>Securities</w:t>
            </w:r>
          </w:p>
        </w:tc>
        <w:tc>
          <w:tcPr>
            <w:tcW w:w="380" w:type="dxa"/>
            <w:vAlign w:val="bottom"/>
          </w:tcPr>
          <w:p>
            <w:pPr>
              <w:spacing w:after="0"/>
              <w:rPr>
                <w:sz w:val="12"/>
                <w:szCs w:val="12"/>
                <w:color w:val="auto"/>
              </w:rPr>
            </w:pPr>
          </w:p>
        </w:tc>
        <w:tc>
          <w:tcPr>
            <w:tcW w:w="120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32406B"/>
                <w:w w:val="89"/>
              </w:rPr>
              <w:t>Securities</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32406B"/>
                <w:w w:val="92"/>
              </w:rPr>
              <w:t>Shares or</w:t>
            </w: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5"/>
              </w:rPr>
              <w:t>Underlying</w:t>
            </w:r>
          </w:p>
        </w:tc>
        <w:tc>
          <w:tcPr>
            <w:tcW w:w="380" w:type="dxa"/>
            <w:vAlign w:val="bottom"/>
          </w:tcPr>
          <w:p>
            <w:pPr>
              <w:spacing w:after="0"/>
              <w:rPr>
                <w:sz w:val="12"/>
                <w:szCs w:val="12"/>
                <w:color w:val="auto"/>
              </w:rPr>
            </w:pPr>
          </w:p>
        </w:tc>
        <w:tc>
          <w:tcPr>
            <w:tcW w:w="120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32406B"/>
                <w:w w:val="95"/>
              </w:rPr>
              <w:t>Underlying</w:t>
            </w:r>
          </w:p>
        </w:tc>
        <w:tc>
          <w:tcPr>
            <w:tcW w:w="20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32406B"/>
              </w:rPr>
              <w:t>Option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7"/>
              </w:rPr>
              <w:t>Option</w:t>
            </w:r>
          </w:p>
        </w:tc>
        <w:tc>
          <w:tcPr>
            <w:tcW w:w="380" w:type="dxa"/>
            <w:vAlign w:val="bottom"/>
          </w:tcPr>
          <w:p>
            <w:pPr>
              <w:spacing w:after="0"/>
              <w:rPr>
                <w:sz w:val="12"/>
                <w:szCs w:val="12"/>
                <w:color w:val="auto"/>
              </w:rPr>
            </w:pPr>
          </w:p>
        </w:tc>
        <w:tc>
          <w:tcPr>
            <w:tcW w:w="102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32406B"/>
                <w:w w:val="92"/>
              </w:rPr>
              <w:t>Units of</w:t>
            </w:r>
          </w:p>
        </w:tc>
        <w:tc>
          <w:tcPr>
            <w:tcW w:w="1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w w:val="90"/>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00" w:type="dxa"/>
            <w:vAlign w:val="bottom"/>
            <w:gridSpan w:val="2"/>
          </w:tcPr>
          <w:p>
            <w:pPr>
              <w:jc w:val="center"/>
              <w:ind w:left="1259"/>
              <w:spacing w:after="0" w:line="149" w:lineRule="exact"/>
              <w:rPr>
                <w:sz w:val="20"/>
                <w:szCs w:val="20"/>
                <w:color w:val="auto"/>
              </w:rPr>
            </w:pPr>
            <w:r>
              <w:rPr>
                <w:rFonts w:ascii="Arial" w:cs="Arial" w:eastAsia="Arial" w:hAnsi="Arial"/>
                <w:sz w:val="14"/>
                <w:szCs w:val="14"/>
                <w:b w:val="1"/>
                <w:bCs w:val="1"/>
                <w:color w:val="32406B"/>
                <w:w w:val="91"/>
              </w:rPr>
              <w:t>Unexercised</w:t>
            </w:r>
          </w:p>
        </w:tc>
        <w:tc>
          <w:tcPr>
            <w:tcW w:w="380" w:type="dxa"/>
            <w:vAlign w:val="bottom"/>
          </w:tcPr>
          <w:p>
            <w:pPr>
              <w:spacing w:after="0"/>
              <w:rPr>
                <w:sz w:val="12"/>
                <w:szCs w:val="12"/>
                <w:color w:val="auto"/>
              </w:rPr>
            </w:pPr>
          </w:p>
        </w:tc>
        <w:tc>
          <w:tcPr>
            <w:tcW w:w="120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32406B"/>
                <w:w w:val="91"/>
              </w:rPr>
              <w:t>Unexercised</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32406B"/>
                <w:w w:val="94"/>
              </w:rPr>
              <w:t>Stock that</w:t>
            </w:r>
          </w:p>
        </w:tc>
        <w:tc>
          <w:tcPr>
            <w:tcW w:w="1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w w:val="95"/>
              </w:rPr>
              <w:t>Units that</w:t>
            </w:r>
          </w:p>
        </w:tc>
        <w:tc>
          <w:tcPr>
            <w:tcW w:w="0" w:type="dxa"/>
            <w:vAlign w:val="bottom"/>
          </w:tcPr>
          <w:p>
            <w:pPr>
              <w:spacing w:after="0"/>
              <w:rPr>
                <w:sz w:val="1"/>
                <w:szCs w:val="1"/>
                <w:color w:val="auto"/>
              </w:rPr>
            </w:pPr>
          </w:p>
        </w:tc>
      </w:tr>
      <w:tr>
        <w:trPr>
          <w:trHeight w:val="149"/>
        </w:trPr>
        <w:tc>
          <w:tcPr>
            <w:tcW w:w="290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Name</w:t>
            </w:r>
          </w:p>
        </w:tc>
        <w:tc>
          <w:tcPr>
            <w:tcW w:w="13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1"/>
              </w:rPr>
              <w:t>Options (#)</w:t>
            </w:r>
          </w:p>
        </w:tc>
        <w:tc>
          <w:tcPr>
            <w:tcW w:w="380" w:type="dxa"/>
            <w:vAlign w:val="bottom"/>
          </w:tcPr>
          <w:p>
            <w:pPr>
              <w:spacing w:after="0"/>
              <w:rPr>
                <w:sz w:val="12"/>
                <w:szCs w:val="12"/>
                <w:color w:val="auto"/>
              </w:rPr>
            </w:pPr>
          </w:p>
        </w:tc>
        <w:tc>
          <w:tcPr>
            <w:tcW w:w="120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32406B"/>
                <w:w w:val="91"/>
              </w:rPr>
              <w:t>Options (#)</w:t>
            </w:r>
          </w:p>
        </w:tc>
        <w:tc>
          <w:tcPr>
            <w:tcW w:w="108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32406B"/>
              </w:rPr>
              <w:t>Exercise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9"/>
              </w:rPr>
              <w:t>Expiration</w:t>
            </w:r>
          </w:p>
        </w:tc>
        <w:tc>
          <w:tcPr>
            <w:tcW w:w="380" w:type="dxa"/>
            <w:vAlign w:val="bottom"/>
          </w:tcPr>
          <w:p>
            <w:pPr>
              <w:spacing w:after="0"/>
              <w:rPr>
                <w:sz w:val="12"/>
                <w:szCs w:val="12"/>
                <w:color w:val="auto"/>
              </w:rPr>
            </w:pPr>
          </w:p>
        </w:tc>
        <w:tc>
          <w:tcPr>
            <w:tcW w:w="102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32406B"/>
                <w:w w:val="95"/>
              </w:rPr>
              <w:t>Have Not</w:t>
            </w:r>
          </w:p>
        </w:tc>
        <w:tc>
          <w:tcPr>
            <w:tcW w:w="1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w w:val="95"/>
              </w:rPr>
              <w:t>Have Not</w:t>
            </w:r>
          </w:p>
        </w:tc>
        <w:tc>
          <w:tcPr>
            <w:tcW w:w="0" w:type="dxa"/>
            <w:vAlign w:val="bottom"/>
          </w:tcPr>
          <w:p>
            <w:pPr>
              <w:spacing w:after="0"/>
              <w:rPr>
                <w:sz w:val="1"/>
                <w:szCs w:val="1"/>
                <w:color w:val="auto"/>
              </w:rPr>
            </w:pPr>
          </w:p>
        </w:tc>
      </w:tr>
      <w:tr>
        <w:trPr>
          <w:trHeight w:val="191"/>
        </w:trPr>
        <w:tc>
          <w:tcPr>
            <w:tcW w:w="2900" w:type="dxa"/>
            <w:vAlign w:val="bottom"/>
            <w:gridSpan w:val="3"/>
            <w:vMerge w:val="continue"/>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32406B"/>
                <w:w w:val="92"/>
              </w:rPr>
              <w:t>Exercisable</w:t>
            </w: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32406B"/>
                <w:w w:val="90"/>
              </w:rPr>
              <w:t>Unexercisable</w:t>
            </w:r>
          </w:p>
        </w:tc>
        <w:tc>
          <w:tcPr>
            <w:tcW w:w="1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32406B"/>
              </w:rPr>
              <w:t>Price ($)</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32406B"/>
                <w:w w:val="92"/>
              </w:rPr>
              <w:t>Date</w:t>
            </w:r>
          </w:p>
        </w:tc>
        <w:tc>
          <w:tcPr>
            <w:tcW w:w="380" w:type="dxa"/>
            <w:vAlign w:val="bottom"/>
          </w:tcPr>
          <w:p>
            <w:pPr>
              <w:spacing w:after="0"/>
              <w:rPr>
                <w:sz w:val="16"/>
                <w:szCs w:val="16"/>
                <w:color w:val="auto"/>
              </w:rPr>
            </w:pPr>
          </w:p>
        </w:tc>
        <w:tc>
          <w:tcPr>
            <w:tcW w:w="1020" w:type="dxa"/>
            <w:vAlign w:val="bottom"/>
            <w:gridSpan w:val="2"/>
          </w:tcPr>
          <w:p>
            <w:pPr>
              <w:jc w:val="center"/>
              <w:ind w:right="303"/>
              <w:spacing w:after="0"/>
              <w:rPr>
                <w:sz w:val="20"/>
                <w:szCs w:val="20"/>
                <w:color w:val="auto"/>
              </w:rPr>
            </w:pPr>
            <w:r>
              <w:rPr>
                <w:rFonts w:ascii="Arial" w:cs="Arial" w:eastAsia="Arial" w:hAnsi="Arial"/>
                <w:sz w:val="14"/>
                <w:szCs w:val="14"/>
                <w:b w:val="1"/>
                <w:bCs w:val="1"/>
                <w:color w:val="32406B"/>
                <w:w w:val="89"/>
              </w:rPr>
              <w:t>Vested (#)</w:t>
            </w:r>
          </w:p>
        </w:tc>
        <w:tc>
          <w:tcPr>
            <w:tcW w:w="1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32406B"/>
                <w:w w:val="90"/>
              </w:rPr>
              <w:t>Vested ($) (5)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32406B"/>
                <w:w w:val="72"/>
              </w:rPr>
              <w:t>Geoff</w:t>
            </w:r>
          </w:p>
        </w:tc>
        <w:tc>
          <w:tcPr>
            <w:tcW w:w="2540" w:type="dxa"/>
            <w:vAlign w:val="bottom"/>
            <w:tcBorders>
              <w:top w:val="single" w:sz="8" w:color="CCEEFF"/>
            </w:tcBorders>
            <w:shd w:val="clear" w:color="auto" w:fill="CCEEFF"/>
          </w:tcPr>
          <w:p>
            <w:pPr>
              <w:ind w:left="100"/>
              <w:spacing w:after="0" w:line="189" w:lineRule="exact"/>
              <w:rPr>
                <w:sz w:val="20"/>
                <w:szCs w:val="20"/>
                <w:color w:val="auto"/>
              </w:rPr>
            </w:pPr>
            <w:r>
              <w:rPr>
                <w:rFonts w:ascii="Arial" w:cs="Arial" w:eastAsia="Arial" w:hAnsi="Arial"/>
                <w:sz w:val="18"/>
                <w:szCs w:val="18"/>
                <w:color w:val="32406B"/>
              </w:rPr>
              <w:t>MacKay</w:t>
            </w:r>
          </w:p>
        </w:tc>
        <w:tc>
          <w:tcPr>
            <w:tcW w:w="13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32406B"/>
              </w:rPr>
              <w:t>75,629</w:t>
            </w:r>
          </w:p>
        </w:tc>
        <w:tc>
          <w:tcPr>
            <w:tcW w:w="3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32406B"/>
              </w:rPr>
              <w:t>166,384</w:t>
            </w:r>
          </w:p>
        </w:tc>
        <w:tc>
          <w:tcPr>
            <w:tcW w:w="340" w:type="dxa"/>
            <w:vAlign w:val="bottom"/>
            <w:tcBorders>
              <w:top w:val="single" w:sz="8" w:color="CCEEFF"/>
            </w:tcBorders>
            <w:shd w:val="clear" w:color="auto" w:fill="CCEEFF"/>
          </w:tcPr>
          <w:p>
            <w:pPr>
              <w:jc w:val="right"/>
              <w:ind w:right="103"/>
              <w:spacing w:after="0" w:line="155" w:lineRule="exact"/>
              <w:rPr>
                <w:sz w:val="20"/>
                <w:szCs w:val="20"/>
                <w:color w:val="auto"/>
              </w:rPr>
            </w:pPr>
            <w:r>
              <w:rPr>
                <w:rFonts w:ascii="Arial" w:cs="Arial" w:eastAsia="Arial" w:hAnsi="Arial"/>
                <w:sz w:val="15"/>
                <w:szCs w:val="15"/>
                <w:color w:val="32406B"/>
                <w:w w:val="76"/>
              </w:rPr>
              <w:t>(1)</w:t>
            </w:r>
          </w:p>
        </w:tc>
        <w:tc>
          <w:tcPr>
            <w:tcW w:w="2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32406B"/>
              </w:rPr>
              <w:t>0.41</w:t>
            </w:r>
          </w:p>
        </w:tc>
        <w:tc>
          <w:tcPr>
            <w:tcW w:w="3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32406B"/>
              </w:rPr>
              <w:t>4/12/2026</w:t>
            </w:r>
          </w:p>
        </w:tc>
        <w:tc>
          <w:tcPr>
            <w:tcW w:w="3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160"/>
              <w:spacing w:after="0" w:line="189" w:lineRule="exact"/>
              <w:rPr>
                <w:sz w:val="20"/>
                <w:szCs w:val="20"/>
                <w:color w:val="auto"/>
              </w:rPr>
            </w:pPr>
            <w:r>
              <w:rPr>
                <w:rFonts w:ascii="Arial" w:cs="Arial" w:eastAsia="Arial" w:hAnsi="Arial"/>
                <w:sz w:val="18"/>
                <w:szCs w:val="18"/>
                <w:color w:val="32406B"/>
                <w:w w:val="87"/>
              </w:rPr>
              <w:t>72,604</w:t>
            </w:r>
          </w:p>
        </w:tc>
        <w:tc>
          <w:tcPr>
            <w:tcW w:w="360" w:type="dxa"/>
            <w:vAlign w:val="bottom"/>
            <w:tcBorders>
              <w:top w:val="single" w:sz="8" w:color="CCEEFF"/>
            </w:tcBorders>
            <w:shd w:val="clear" w:color="auto" w:fill="CCEEFF"/>
          </w:tcPr>
          <w:p>
            <w:pPr>
              <w:jc w:val="right"/>
              <w:ind w:right="103"/>
              <w:spacing w:after="0" w:line="155" w:lineRule="exact"/>
              <w:rPr>
                <w:sz w:val="20"/>
                <w:szCs w:val="20"/>
                <w:color w:val="auto"/>
              </w:rPr>
            </w:pPr>
            <w:r>
              <w:rPr>
                <w:rFonts w:ascii="Arial" w:cs="Arial" w:eastAsia="Arial" w:hAnsi="Arial"/>
                <w:sz w:val="15"/>
                <w:szCs w:val="15"/>
                <w:color w:val="32406B"/>
                <w:w w:val="87"/>
              </w:rPr>
              <w:t>(4)</w:t>
            </w: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260"/>
              <w:spacing w:after="0" w:line="189" w:lineRule="exact"/>
              <w:rPr>
                <w:sz w:val="20"/>
                <w:szCs w:val="20"/>
                <w:color w:val="auto"/>
              </w:rPr>
            </w:pPr>
            <w:r>
              <w:rPr>
                <w:rFonts w:ascii="Arial" w:cs="Arial" w:eastAsia="Arial" w:hAnsi="Arial"/>
                <w:sz w:val="18"/>
                <w:szCs w:val="18"/>
                <w:color w:val="32406B"/>
                <w:w w:val="89"/>
              </w:rPr>
              <w:t>296,950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32406B"/>
              </w:rPr>
              <w:t>—</w:t>
            </w:r>
          </w:p>
        </w:tc>
        <w:tc>
          <w:tcPr>
            <w:tcW w:w="1580" w:type="dxa"/>
            <w:vAlign w:val="bottom"/>
            <w:gridSpan w:val="3"/>
          </w:tcPr>
          <w:p>
            <w:pPr>
              <w:jc w:val="right"/>
              <w:ind w:right="103"/>
              <w:spacing w:after="0"/>
              <w:rPr>
                <w:sz w:val="20"/>
                <w:szCs w:val="20"/>
                <w:color w:val="auto"/>
              </w:rPr>
            </w:pPr>
            <w:r>
              <w:rPr>
                <w:rFonts w:ascii="Arial" w:cs="Arial" w:eastAsia="Arial" w:hAnsi="Arial"/>
                <w:sz w:val="18"/>
                <w:szCs w:val="18"/>
                <w:color w:val="32406B"/>
              </w:rPr>
              <w:t>45,999</w:t>
            </w:r>
            <w:r>
              <w:rPr>
                <w:rFonts w:ascii="Arial" w:cs="Arial" w:eastAsia="Arial" w:hAnsi="Arial"/>
                <w:sz w:val="15"/>
                <w:szCs w:val="15"/>
                <w:color w:val="32406B"/>
              </w:rPr>
              <w:t>(2)</w:t>
            </w:r>
          </w:p>
        </w:tc>
        <w:tc>
          <w:tcPr>
            <w:tcW w:w="720" w:type="dxa"/>
            <w:vAlign w:val="bottom"/>
            <w:gridSpan w:val="2"/>
          </w:tcPr>
          <w:p>
            <w:pPr>
              <w:jc w:val="right"/>
              <w:spacing w:after="0"/>
              <w:rPr>
                <w:sz w:val="20"/>
                <w:szCs w:val="20"/>
                <w:color w:val="auto"/>
              </w:rPr>
            </w:pPr>
            <w:r>
              <w:rPr>
                <w:rFonts w:ascii="Arial" w:cs="Arial" w:eastAsia="Arial" w:hAnsi="Arial"/>
                <w:sz w:val="18"/>
                <w:szCs w:val="18"/>
                <w:color w:val="32406B"/>
              </w:rPr>
              <w:t>0.91</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2406B"/>
              </w:rPr>
              <w:t>6/12/2027</w:t>
            </w:r>
          </w:p>
        </w:tc>
        <w:tc>
          <w:tcPr>
            <w:tcW w:w="38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Katina Dorton</w:t>
            </w: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32406B"/>
              </w:rPr>
              <w:t>—</w:t>
            </w:r>
          </w:p>
        </w:tc>
        <w:tc>
          <w:tcPr>
            <w:tcW w:w="1580" w:type="dxa"/>
            <w:vAlign w:val="bottom"/>
            <w:gridSpan w:val="3"/>
            <w:shd w:val="clear" w:color="auto" w:fill="CCEEFF"/>
          </w:tcPr>
          <w:p>
            <w:pPr>
              <w:jc w:val="right"/>
              <w:ind w:right="103"/>
              <w:spacing w:after="0"/>
              <w:rPr>
                <w:sz w:val="20"/>
                <w:szCs w:val="20"/>
                <w:color w:val="auto"/>
              </w:rPr>
            </w:pPr>
            <w:r>
              <w:rPr>
                <w:rFonts w:ascii="Arial" w:cs="Arial" w:eastAsia="Arial" w:hAnsi="Arial"/>
                <w:sz w:val="18"/>
                <w:szCs w:val="18"/>
                <w:color w:val="32406B"/>
              </w:rPr>
              <w:t>158,318</w:t>
            </w:r>
            <w:r>
              <w:rPr>
                <w:rFonts w:ascii="Arial" w:cs="Arial" w:eastAsia="Arial" w:hAnsi="Arial"/>
                <w:sz w:val="15"/>
                <w:szCs w:val="15"/>
                <w:color w:val="32406B"/>
              </w:rPr>
              <w:t>(2)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0.91</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7/19/2027</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32406B"/>
              </w:rPr>
              <w:t>Nerissa Kreher, M.D.</w:t>
            </w:r>
          </w:p>
        </w:tc>
        <w:tc>
          <w:tcPr>
            <w:tcW w:w="2100" w:type="dxa"/>
            <w:vAlign w:val="bottom"/>
            <w:gridSpan w:val="2"/>
          </w:tcPr>
          <w:p>
            <w:pPr>
              <w:jc w:val="right"/>
              <w:spacing w:after="0"/>
              <w:rPr>
                <w:sz w:val="20"/>
                <w:szCs w:val="20"/>
                <w:color w:val="auto"/>
              </w:rPr>
            </w:pPr>
            <w:r>
              <w:rPr>
                <w:rFonts w:ascii="Arial" w:cs="Arial" w:eastAsia="Arial" w:hAnsi="Arial"/>
                <w:sz w:val="18"/>
                <w:szCs w:val="18"/>
                <w:color w:val="32406B"/>
              </w:rPr>
              <w:t>25,058</w:t>
            </w:r>
          </w:p>
        </w:tc>
        <w:tc>
          <w:tcPr>
            <w:tcW w:w="1580" w:type="dxa"/>
            <w:vAlign w:val="bottom"/>
            <w:gridSpan w:val="3"/>
          </w:tcPr>
          <w:p>
            <w:pPr>
              <w:jc w:val="right"/>
              <w:ind w:right="103"/>
              <w:spacing w:after="0"/>
              <w:rPr>
                <w:sz w:val="20"/>
                <w:szCs w:val="20"/>
                <w:color w:val="auto"/>
              </w:rPr>
            </w:pPr>
            <w:r>
              <w:rPr>
                <w:rFonts w:ascii="Arial" w:cs="Arial" w:eastAsia="Arial" w:hAnsi="Arial"/>
                <w:sz w:val="18"/>
                <w:szCs w:val="18"/>
                <w:color w:val="32406B"/>
              </w:rPr>
              <w:t>60,856</w:t>
            </w:r>
            <w:r>
              <w:rPr>
                <w:rFonts w:ascii="Arial" w:cs="Arial" w:eastAsia="Arial" w:hAnsi="Arial"/>
                <w:sz w:val="15"/>
                <w:szCs w:val="15"/>
                <w:color w:val="32406B"/>
              </w:rPr>
              <w:t>(3)</w:t>
            </w:r>
          </w:p>
        </w:tc>
        <w:tc>
          <w:tcPr>
            <w:tcW w:w="720" w:type="dxa"/>
            <w:vAlign w:val="bottom"/>
            <w:gridSpan w:val="2"/>
          </w:tcPr>
          <w:p>
            <w:pPr>
              <w:jc w:val="right"/>
              <w:spacing w:after="0"/>
              <w:rPr>
                <w:sz w:val="20"/>
                <w:szCs w:val="20"/>
                <w:color w:val="auto"/>
              </w:rPr>
            </w:pPr>
            <w:r>
              <w:rPr>
                <w:rFonts w:ascii="Arial" w:cs="Arial" w:eastAsia="Arial" w:hAnsi="Arial"/>
                <w:sz w:val="18"/>
                <w:szCs w:val="18"/>
                <w:color w:val="32406B"/>
              </w:rPr>
              <w:t>1.20</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2406B"/>
                <w:w w:val="95"/>
              </w:rPr>
              <w:t>10/24/2026</w:t>
            </w:r>
          </w:p>
        </w:tc>
        <w:tc>
          <w:tcPr>
            <w:tcW w:w="38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32406B"/>
              </w:rPr>
              <w:t>—</w:t>
            </w:r>
          </w:p>
        </w:tc>
        <w:tc>
          <w:tcPr>
            <w:tcW w:w="1580" w:type="dxa"/>
            <w:vAlign w:val="bottom"/>
            <w:gridSpan w:val="3"/>
            <w:shd w:val="clear" w:color="auto" w:fill="CCEEFF"/>
          </w:tcPr>
          <w:p>
            <w:pPr>
              <w:jc w:val="right"/>
              <w:ind w:right="103"/>
              <w:spacing w:after="0"/>
              <w:rPr>
                <w:sz w:val="20"/>
                <w:szCs w:val="20"/>
                <w:color w:val="auto"/>
              </w:rPr>
            </w:pPr>
            <w:r>
              <w:rPr>
                <w:rFonts w:ascii="Arial" w:cs="Arial" w:eastAsia="Arial" w:hAnsi="Arial"/>
                <w:sz w:val="18"/>
                <w:szCs w:val="18"/>
                <w:color w:val="32406B"/>
              </w:rPr>
              <w:t>27,571</w:t>
            </w:r>
            <w:r>
              <w:rPr>
                <w:rFonts w:ascii="Arial" w:cs="Arial" w:eastAsia="Arial" w:hAnsi="Arial"/>
                <w:sz w:val="15"/>
                <w:szCs w:val="15"/>
                <w:color w:val="32406B"/>
              </w:rPr>
              <w:t>(2)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0.91</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6/12/2027</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20" w:hanging="436"/>
        <w:spacing w:after="0" w:line="274" w:lineRule="auto"/>
        <w:tabs>
          <w:tab w:leader="none" w:pos="640" w:val="left"/>
        </w:tabs>
        <w:numPr>
          <w:ilvl w:val="0"/>
          <w:numId w:val="79"/>
        </w:numPr>
        <w:rPr>
          <w:rFonts w:ascii="Arial" w:cs="Arial" w:eastAsia="Arial" w:hAnsi="Arial"/>
          <w:sz w:val="17"/>
          <w:szCs w:val="17"/>
          <w:color w:val="32406B"/>
        </w:rPr>
      </w:pPr>
      <w:r>
        <w:rPr>
          <w:rFonts w:ascii="Arial" w:cs="Arial" w:eastAsia="Arial" w:hAnsi="Arial"/>
          <w:sz w:val="17"/>
          <w:szCs w:val="17"/>
          <w:color w:val="32406B"/>
        </w:rPr>
        <w:t>The shares underlying this stock option vest as follows: 25% of the shares vested on July 1, 2017 and the remainder vest in equal quarterly installments until the option is fully vested on July 1, 2020, subject to the continued employment of the executive officer.</w:t>
      </w:r>
    </w:p>
    <w:p>
      <w:pPr>
        <w:jc w:val="both"/>
        <w:ind w:left="640" w:right="140" w:hanging="436"/>
        <w:spacing w:after="0" w:line="250" w:lineRule="auto"/>
        <w:tabs>
          <w:tab w:leader="none" w:pos="640" w:val="left"/>
        </w:tabs>
        <w:numPr>
          <w:ilvl w:val="0"/>
          <w:numId w:val="79"/>
        </w:numPr>
        <w:rPr>
          <w:rFonts w:ascii="Arial" w:cs="Arial" w:eastAsia="Arial" w:hAnsi="Arial"/>
          <w:sz w:val="18"/>
          <w:szCs w:val="18"/>
          <w:color w:val="32406B"/>
        </w:rPr>
      </w:pPr>
      <w:r>
        <w:rPr>
          <w:rFonts w:ascii="Arial" w:cs="Arial" w:eastAsia="Arial" w:hAnsi="Arial"/>
          <w:sz w:val="18"/>
          <w:szCs w:val="18"/>
          <w:color w:val="32406B"/>
        </w:rPr>
        <w:t>The shares underlying this stock option vest as follows: 25% of the shares vest on the first anniversary of the grant date and the remainder vest in equal monthly installments until the option is fully vested on the fourth anniversary of the grant date, subject to the continued employment of the executive officer.</w:t>
      </w:r>
    </w:p>
    <w:p>
      <w:pPr>
        <w:spacing w:after="0" w:line="1" w:lineRule="exact"/>
        <w:rPr>
          <w:rFonts w:ascii="Arial" w:cs="Arial" w:eastAsia="Arial" w:hAnsi="Arial"/>
          <w:sz w:val="18"/>
          <w:szCs w:val="18"/>
          <w:color w:val="32406B"/>
        </w:rPr>
      </w:pPr>
    </w:p>
    <w:p>
      <w:pPr>
        <w:ind w:left="640" w:right="400" w:hanging="436"/>
        <w:spacing w:after="0" w:line="265" w:lineRule="auto"/>
        <w:tabs>
          <w:tab w:leader="none" w:pos="640" w:val="left"/>
        </w:tabs>
        <w:numPr>
          <w:ilvl w:val="0"/>
          <w:numId w:val="79"/>
        </w:numPr>
        <w:rPr>
          <w:rFonts w:ascii="Arial" w:cs="Arial" w:eastAsia="Arial" w:hAnsi="Arial"/>
          <w:sz w:val="17"/>
          <w:szCs w:val="17"/>
          <w:color w:val="32406B"/>
        </w:rPr>
      </w:pPr>
      <w:r>
        <w:rPr>
          <w:rFonts w:ascii="Arial" w:cs="Arial" w:eastAsia="Arial" w:hAnsi="Arial"/>
          <w:sz w:val="17"/>
          <w:szCs w:val="17"/>
          <w:color w:val="32406B"/>
        </w:rPr>
        <w:t>The shares underlying this stock option vest as follows: 25% of the shares vested on October 3, 2017 and the remainder vest in equal monthly installments until the option is fully vested on October 3, 2020, subject to the continued employment of the executive officer.</w:t>
      </w:r>
    </w:p>
    <w:p>
      <w:pPr>
        <w:ind w:left="640" w:right="40" w:hanging="436"/>
        <w:spacing w:after="0" w:line="265" w:lineRule="auto"/>
        <w:tabs>
          <w:tab w:leader="none" w:pos="640" w:val="left"/>
        </w:tabs>
        <w:numPr>
          <w:ilvl w:val="0"/>
          <w:numId w:val="79"/>
        </w:numPr>
        <w:rPr>
          <w:rFonts w:ascii="Arial" w:cs="Arial" w:eastAsia="Arial" w:hAnsi="Arial"/>
          <w:sz w:val="17"/>
          <w:szCs w:val="17"/>
          <w:color w:val="32406B"/>
        </w:rPr>
      </w:pPr>
      <w:r>
        <w:rPr>
          <w:rFonts w:ascii="Arial" w:cs="Arial" w:eastAsia="Arial" w:hAnsi="Arial"/>
          <w:sz w:val="17"/>
          <w:szCs w:val="17"/>
          <w:color w:val="32406B"/>
        </w:rPr>
        <w:t>On November 27, 2015, Mr. MacKay transferred his ownership of 72,604 shares to each of his two children, 36,302 shares subject to each transfer remain unvested and subject to vesting as of December 31, 2017, based on Mr. MacKay’s continued service to our company.</w:t>
      </w:r>
    </w:p>
    <w:p>
      <w:pPr>
        <w:ind w:left="640" w:right="160" w:hanging="436"/>
        <w:spacing w:after="0" w:line="323" w:lineRule="auto"/>
        <w:tabs>
          <w:tab w:leader="none" w:pos="640" w:val="left"/>
        </w:tabs>
        <w:numPr>
          <w:ilvl w:val="0"/>
          <w:numId w:val="79"/>
        </w:numPr>
        <w:rPr>
          <w:rFonts w:ascii="Arial" w:cs="Arial" w:eastAsia="Arial" w:hAnsi="Arial"/>
          <w:sz w:val="16"/>
          <w:szCs w:val="16"/>
          <w:color w:val="32406B"/>
        </w:rPr>
      </w:pPr>
      <w:r>
        <w:rPr>
          <w:rFonts w:ascii="Arial" w:cs="Arial" w:eastAsia="Arial" w:hAnsi="Arial"/>
          <w:sz w:val="16"/>
          <w:szCs w:val="16"/>
          <w:color w:val="32406B"/>
        </w:rPr>
        <w:t>There was no public market for our common stock as of December 31, 2017. This column represents the value of the shares of restricted stock as of December 31, 2017, based on the fair market value of our common stock as of December 31, 2017, which was $4.09 per share.</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Compensation Risk Assessment</w:t>
      </w:r>
    </w:p>
    <w:p>
      <w:pPr>
        <w:spacing w:after="0" w:line="12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32406B"/>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us.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Employee Benefit and Equity Compensation Plans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Amended and Restated 2015 Stock Option and Grant Plan</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32406B"/>
        </w:rPr>
        <w:t>The 2015 Plan, was approved by our board of directors and our stockholders on July 21, 2016. The 2015 Plan was most recently amended in January 2018 with the approval of both our board of directors and our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137</w:t>
      </w:r>
    </w:p>
    <w:p>
      <w:pPr>
        <w:sectPr>
          <w:pgSz w:w="11900" w:h="16838" w:orient="portrait"/>
          <w:cols w:equalWidth="0" w:num="1">
            <w:col w:w="11240"/>
          </w:cols>
          <w:pgMar w:left="240" w:top="459" w:right="4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20"/>
        <w:spacing w:after="0" w:line="286" w:lineRule="auto"/>
        <w:rPr>
          <w:sz w:val="20"/>
          <w:szCs w:val="20"/>
          <w:color w:val="auto"/>
        </w:rPr>
      </w:pPr>
      <w:r>
        <w:rPr>
          <w:rFonts w:ascii="Arial" w:cs="Arial" w:eastAsia="Arial" w:hAnsi="Arial"/>
          <w:sz w:val="17"/>
          <w:szCs w:val="17"/>
          <w:color w:val="32406B"/>
        </w:rPr>
        <w:t>stockholders. Under the 2015 Plan, we have reserved for issuance an aggregate of 2,008,564 shares of our common stock. The number of shares of common stock reserved for issuance is subject to adjustment in the event of any merger, consolidation, sale of all or substantially all of our assets, reorganization, recapitalization, reclassification, stock dividend, stock split, reverse stock split or other similar transaction.</w:t>
      </w:r>
    </w:p>
    <w:p>
      <w:pPr>
        <w:spacing w:after="0" w:line="166"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32406B"/>
        </w:rPr>
        <w:t>The shares of common stock underlying awards that are forfeited, canceled, reacquired by us prior to vesting, satisfied without the issuance of stock or otherwise terminated (other than by exercise) and shares of common stock that are withheld upon exercise of an option or settlement of an award to cover the exercise price or tax withholding are added back to the shares of common stock available for issuance under the 2015 Plan.</w:t>
      </w:r>
    </w:p>
    <w:p>
      <w:pPr>
        <w:spacing w:after="0" w:line="14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32406B"/>
        </w:rPr>
        <w:t>Our board of directors has acted as administrator of the 2015 Plan. The administrator has full power to select, from among the individuals eligible for awards, the individuals to whom awards will be granted, and to determine the specific terms and conditions of each award, subject to the provisions of the 2015 Plan. Persons eligible to participate in the 2015 Plan are those employees, officers and directors of, and consultants and advisors to, our company as selected from time to time by the administrator in its discretion.</w:t>
      </w:r>
    </w:p>
    <w:p>
      <w:pPr>
        <w:spacing w:after="0" w:line="18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32406B"/>
        </w:rPr>
        <w:t>The 2015 Plan permits the granting of (1) options to purchase common stock intended to qualify as incentive stock options under Section 422 of the Internal Revenue Code of 1986, as amended, or the Code and (2) options that do not so qualify. The per share option exercise price of each option will be determined by the administrator but may not be less than 100% of the fair market value of the common stock on the date of grant. The term of each option will be fixed by the administrator. The administrator will determine at what time or times each option may be exercised. In addition, the 2015 Plan permits the granting of restricted shares of common stock, unrestricted shares of common stock, and restricted stock units.</w:t>
      </w:r>
    </w:p>
    <w:p>
      <w:pPr>
        <w:spacing w:after="0" w:line="15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32406B"/>
        </w:rPr>
        <w:t>The 2015 Plan provides that upon the occurrence of a “sale event,” as defined in the 2015 Plan, our board of directors may take one or more of the following actions as to some or all awards outstanding under the 2015 Plan: (i) provide that outstanding options awards will be assumed or substituted by the acquiring or successor corporation, (ii) provide that all unexercised options will terminate immediately prior to the consummation of the sale event unless exercised by the optionee (to the extent exercisable) within a specified period prior to the consummation of the sale event, (iii) make or provide for a cash payment to the optionees equal to the difference between the per share cash consideration in the sale event and the per share exercise price of the outstanding award, (iv) provide that all restricted stock and unvested restricted stock unit awards (other than those becoming vested as a result of the sale event) will be assumed or substituted by the acquiring or successor corporation (v) provide that all restricted stock and unvested restricted stock unit awards (other than those becoming vested as a result of the sale event) will terminate immediately prior to the effective time of any sale event unless repurchased at a price per share equal to the lower of the original per share purchase price paid by the holder (subject to adjustment) or the current fair market value of such shares, determined immediately prior to the effective time of the sale event, (vi) make or provide for a cash payment to the holders of restricted stock or restricted stock unit awards in an amount equal to the consideration payable per share of stock pursuant to the sale event times the number of shares subject to such award. We may also make or provide for a cash payment to participants holding options in an amount equal to the difference between the per share cash consideration payable to stockholders in the sale event and the exercise price of the options (to the extent then exercisable).</w:t>
      </w:r>
    </w:p>
    <w:p>
      <w:pPr>
        <w:spacing w:after="0" w:line="185"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32406B"/>
        </w:rPr>
        <w:t>The administrator may amend or discontinue the 2015 Plan at any time, subject to stockholder approval where such approval is required by applicable law. The administrator of the 2015 Plan may also amend or cancel any outstanding award, provided that no amendment to an award may adversely affect a participant’s rights without his or her consent.</w:t>
      </w:r>
    </w:p>
    <w:p>
      <w:pPr>
        <w:spacing w:after="0" w:line="18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32406B"/>
        </w:rPr>
        <w:t>The 2015 Plan will terminate automatically upon the earlier of 10 years from the date on which the 2015 Plan was adopted by our board of directors or 10 years from the date the 2015 Plan is approved by the Company’s stockholders. As of March 31, 2018, options to purchase 1,788,750 shares of common stock were outstanding under the 2015 Plan. Our board of directors has determined not to make any further awards under the 2015 Plan following the pricing of this offering.</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138</w:t>
      </w:r>
    </w:p>
    <w:p>
      <w:pPr>
        <w:sectPr>
          <w:pgSz w:w="11900" w:h="16838" w:orient="portrait"/>
          <w:cols w:equalWidth="0" w:num="1">
            <w:col w:w="11200"/>
          </w:cols>
          <w:pgMar w:left="24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2018 Stock Option and Incentive Plan</w:t>
      </w:r>
    </w:p>
    <w:p>
      <w:pPr>
        <w:spacing w:after="0" w:line="117"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32406B"/>
        </w:rPr>
        <w:t>Our 2018 Stock Option and Incentive Plan, or the 2018 Plan, was adopted by our board of directors on June 1, 2018 and approved by our stockholders on June 7, 2018 and became effective upon the effectiveness of the registration statement of which this prospectus is part. The 2018 Plan replaces the 2015 Plan as our board of directors has determined not to make additional awards under the 2015 Plan following the pricing of our initial public offering. The 2018 Plan allows the compensation committee to make equity-based and cash-based incentive awards to our officers, employees, directors and other key persons (including consultants).</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We have initially reserved 616,300 shares of our common stock, or the Initial Limit,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our compensation committee, or the Annual Increase. This number is subject to adjustment in the event of a stock split, stock dividend or other change in our capitalization.</w:t>
      </w:r>
    </w:p>
    <w:p>
      <w:pPr>
        <w:spacing w:after="0" w:line="18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32406B"/>
        </w:rPr>
        <w:t>The shares we issue under the 2018 Plan are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any issuance of stock, expire or are otherwise terminated (other than by exercise) under the 2018 Plan and the 2015 Plan will be added back to the shares of common stock available for issuance under the 2018 Plan.</w:t>
      </w:r>
    </w:p>
    <w:p>
      <w:pPr>
        <w:spacing w:after="0" w:line="17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32406B"/>
        </w:rPr>
        <w:t>The maximum aggregate number of shares that may be issued in the form of incentive stock options shall not exceed the Initial Limit cumulatively increased on January 1, 2019 and on each January 1 thereafter by the lesser of the Annual Increase for such year or 1,785,100 shares of common stock.</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The 2018 Plan is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2018 Plan. Persons eligible to participate in the 2018 Plan are those full or part-time officers, employees, non-employee directors and other key persons (including consultants) as selected from time to time by our compensation committee in its discretion.</w:t>
      </w:r>
    </w:p>
    <w:p>
      <w:pPr>
        <w:spacing w:after="0" w:line="188"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color w:val="32406B"/>
        </w:rPr>
        <w:t>The 2018 Plan permits the granting of both options to purchase common stock intended to qualify as incentive stock options under Section 422 of the Code, and options that do not so qualify. The option exercise price of each option will be determined by our compensation committee but may not be less than 100% of the fair market value of our common stock on the date of grant. The term of each option will be fixed by our compensation committee and may not exceed 10 years from the date of grant. Our compensation committee will determine at what time or times each option may be exercised.</w:t>
      </w:r>
    </w:p>
    <w:p>
      <w:pPr>
        <w:spacing w:after="0" w:line="154"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32406B"/>
        </w:rPr>
        <w:t>Our compensation committee may award stock appreciation rights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the common stock on the date of grant.</w:t>
      </w:r>
    </w:p>
    <w:p>
      <w:pPr>
        <w:spacing w:after="0" w:line="147"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32406B"/>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the 2018 Plan. Unrestricted stock may be granted to participants in recognition of past services or other valid consideration and may be issued in lieu of cash compensation due to such participant. Our compensation committee may grant cash bonuses under the 2018 Plan to participants, subject to the achievement of certain performance goals.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139</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32406B"/>
        </w:rPr>
        <w:t>Our compensation committee may grant awards that vest or become payable upon the attainment of performance goals that are established by our compensation committee and related to one or more performance criteria. The performance criteria that could be used with respect to any such awards include: achievement of specified research and development, publication, clinical and/or regulatory milestones, earnings before interest, taxes, depreciation and amortization, net income (loss) (either before or after interest, taxes, depreciation and/or amortization), changes in the market price of our common stock, economic value added, funds from operations or similar measures, sales or revenue, acquisitions or strategic transactions, operating income (loss), cash flow (including, but not limited to, operating cash flow and free cash flow), return on capital, assets, equity, or investment, stockholder returns,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w:t>
      </w:r>
    </w:p>
    <w:p>
      <w:pPr>
        <w:spacing w:after="0" w:line="167"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32406B"/>
        </w:rPr>
        <w:t>The 2018 Plan provides that in the case of, and subject to, the consummation of a “sale event” as defined in the 2018 Plan, all outstanding awards may be assumed, substituted or otherwise continued by the successor entity. To the extent that the successor entity does not assume, substitute or otherwise continue such awards, then (i) all stock options and stock appreciation rights will automatically become fully exercisable and the restrictions and conditions on all other awards with time-based conditions will automatically be deemed waived, and awards with conditions and restrictions relating to the attainment of performance goals may become vested and non-forfeitable in connection with a sale event in the compensation committee’s discretion and (ii) upon the effectiveness of the sale event, the 2018 Plan and all awards will automatically terminate. In the event of such termination,</w:t>
      </w:r>
    </w:p>
    <w:p>
      <w:pPr>
        <w:spacing w:after="0" w:line="5" w:lineRule="exact"/>
        <w:rPr>
          <w:sz w:val="20"/>
          <w:szCs w:val="20"/>
          <w:color w:val="auto"/>
        </w:rPr>
      </w:pPr>
    </w:p>
    <w:p>
      <w:pPr>
        <w:ind w:left="200" w:right="200" w:firstLine="4"/>
        <w:spacing w:after="0" w:line="254" w:lineRule="auto"/>
        <w:tabs>
          <w:tab w:leader="none" w:pos="415" w:val="left"/>
        </w:tabs>
        <w:numPr>
          <w:ilvl w:val="0"/>
          <w:numId w:val="80"/>
        </w:numPr>
        <w:rPr>
          <w:rFonts w:ascii="Arial" w:cs="Arial" w:eastAsia="Arial" w:hAnsi="Arial"/>
          <w:sz w:val="18"/>
          <w:szCs w:val="18"/>
          <w:color w:val="32406B"/>
        </w:rPr>
      </w:pPr>
      <w:r>
        <w:rPr>
          <w:rFonts w:ascii="Arial" w:cs="Arial" w:eastAsia="Arial" w:hAnsi="Arial"/>
          <w:sz w:val="18"/>
          <w:szCs w:val="18"/>
          <w:color w:val="32406B"/>
        </w:rPr>
        <w:t>individuals holding options and stock appreciation rights will be permitted to exercise such options and stock appreciation rights (to the extent exercisable) prior to the sale event; or (ii) we may make or provide for a cash payment to participants holding options and stock appreciation rights equal to the difference between the per share cash consideration payable to stockholders in the sale event and the exercise price of the options or stock appreciation rights (to the extent then exercisable).</w:t>
      </w:r>
    </w:p>
    <w:p>
      <w:pPr>
        <w:spacing w:after="0" w:line="190"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32406B"/>
        </w:rPr>
        <w:t>Our board of directors may amend or discontinue the 2018 Plan and our compensation committee may amend the exercise price of options and amend or cancel outstanding awards for purposes of satisfying changes in law or any other lawful purpose but no such action may adversely affect rights under an award without the holder’s consent. Certain amendments to the 2018 Plan require the approval of our stockholders. No awards may be granted under the 2018 Plan after the date that is 10 years from the date of stockholder approval. Our board of directors has granted stock options to purchase 75,613 shares of common stock under the 2018 Plan, effective as of the effectiveness of the 2018 Plan.</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2018 Employee Stock Purchase Plan</w:t>
      </w:r>
    </w:p>
    <w:p>
      <w:pPr>
        <w:spacing w:after="0" w:line="117"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32406B"/>
        </w:rPr>
        <w:t>Our 2018 Employee Stock Purchase Plan, or the ESPP, was adopted by our board of directors on June 1, 2018 and approved by our stockholders on June 7, 2018 and became effective upon the effectiveness of the registration statement of which this prospectus is part. The ESPP is intended to qualify as an “employee stock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 on January 1, 2019 and each January 1 thereafter through January 1, 2028, by the least of</w:t>
      </w:r>
    </w:p>
    <w:p>
      <w:pPr>
        <w:spacing w:after="0" w:line="2" w:lineRule="exact"/>
        <w:rPr>
          <w:sz w:val="20"/>
          <w:szCs w:val="20"/>
          <w:color w:val="auto"/>
        </w:rPr>
      </w:pPr>
    </w:p>
    <w:p>
      <w:pPr>
        <w:jc w:val="both"/>
        <w:ind w:left="200" w:right="100" w:firstLine="4"/>
        <w:spacing w:after="0" w:line="255" w:lineRule="auto"/>
        <w:tabs>
          <w:tab w:leader="none" w:pos="415" w:val="left"/>
        </w:tabs>
        <w:numPr>
          <w:ilvl w:val="0"/>
          <w:numId w:val="81"/>
        </w:numPr>
        <w:rPr>
          <w:rFonts w:ascii="Arial" w:cs="Arial" w:eastAsia="Arial" w:hAnsi="Arial"/>
          <w:sz w:val="18"/>
          <w:szCs w:val="18"/>
          <w:color w:val="32406B"/>
        </w:rPr>
      </w:pPr>
      <w:r>
        <w:rPr>
          <w:rFonts w:ascii="Arial" w:cs="Arial" w:eastAsia="Arial" w:hAnsi="Arial"/>
          <w:sz w:val="18"/>
          <w:szCs w:val="18"/>
          <w:color w:val="32406B"/>
        </w:rPr>
        <w:t>1% of the outstanding number of shares of our common stock on the immediately preceding December 31; (ii) 1,115,700 shares or (iii) such number of shares as determined by the ESPP administrator. The number of shares reserved under the ESPP is subject to adjustment in the event of a stock split, stock dividend or other change in our capitalization.</w:t>
      </w:r>
    </w:p>
    <w:p>
      <w:pPr>
        <w:spacing w:after="0" w:line="19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32406B"/>
        </w:rPr>
        <w:t>All employees who have completed at least three months of employment and whose customary employment is for more than 20 hours per week are eligible to participate in the ESPP. However, any employee who owns 5% or more of the total combined voting power or value of all classes of stock is not eligible to purchase shares under the ESPP.</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140</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32406B"/>
        </w:rPr>
        <w:t>We will make one or more offerings each year to our employees to purchase shares under the ESPP. Offerings will usually begin on each January 1 and July 1 and will continue for six-month periods, referred to as offering periods. Each eligible employee may elect to participate in any offering by submitting an enrollment form at least 15 business days before the relevant offering date.</w:t>
      </w:r>
    </w:p>
    <w:p>
      <w:pPr>
        <w:spacing w:after="0" w:line="18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32406B"/>
        </w:rPr>
        <w:t>Each employee who is a participant in the ESPP may purchase shares by authorizing payroll deductions of up to 10% of his or her base compensation during an offering period. Unless the participating employee has previously withdrawn from the offering, his or her accumulated payroll deductions will be used to purchase shares on the last business day of the offering period at a price equal to 85% of the fair market value of the shares on the first business day or the last business day of the offering period, whichever is lower. Under applicable tax rules, an employee may purchase no more than $25,000 worth of shares of common stock, valued at the start of the purchase period, under the ESPP in any calendar year.</w:t>
      </w:r>
    </w:p>
    <w:p>
      <w:pPr>
        <w:spacing w:after="0" w:line="158"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32406B"/>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124"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32406B"/>
        </w:rPr>
        <w:t>The ESPP may be terminated or amended by our board of directors at any time. An amendment that increases the number of shares of common stock authorized under the ESPP and certain other amendments require the approval of our stockholders.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Senior Executive Cash Incentive Bonus Plan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32406B"/>
        </w:rPr>
        <w:t>On June 1, 2018, our board of directors adopted the Senior Executive Cash Incentive Bonus Plan, or the Bonus Plan. The Bonus Plan provides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87"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32406B"/>
        </w:rPr>
        <w:t>Our compensation committee may select corporate performance goals from among the following: achievement of specified research and development, publication, clinical and/or regulatory milestones, adjusted billings, earnings before interest, taxes, depreciation and amortization, net income (loss) (either before or after interest, taxes, depreciation and/or amortization), changes in the market price of our common stock, economic value-added, funds from operations or similar measure, sales or revenue, acquisitions or strategic transactions, operating income (loss), cash flow (including, but not limited to, operating cash flow and free cash flow), return on capital, assets, equity, or investment, stockholder returns, return on sales, gross or net profit levels, productivity, expense, margins, operating efficiency, customer satisfaction, working capital, earnings (loss) per share of stock, sales or market shares and number of customers, any of which may be measured in absolute terms, as compared to any incremental increase, in terms of growth, or as compared to results of a peer group.</w:t>
      </w:r>
    </w:p>
    <w:p>
      <w:pPr>
        <w:spacing w:after="0" w:line="179"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32406B"/>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and provides the compensation committee with discretion to adjust the size of the award as it deems appropriate to account for unforeseen factors beyond management’s control that affected corporate performance.</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141</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401(k) Plan</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32406B"/>
        </w:rPr>
        <w:t>We maintain a tax-qualified retirement plan that provides eligible employees with an opportunity to save for retirement on a tax-advantaged basis. All participants’ interests in their contributions are 100% vested when contributed. Contributions are allocated to each participant’s individual account and are then invested in selected investment alternatives according to the participants’ directions. The retirement plan is intended to qualify under Section 401(a) of the Code. Matching contributions to the plan are made at the discretion of our board of directors.</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142</w:t>
      </w:r>
    </w:p>
    <w:p>
      <w:pPr>
        <w:sectPr>
          <w:pgSz w:w="11900" w:h="16838" w:orient="portrait"/>
          <w:cols w:equalWidth="0" w:num="1">
            <w:col w:w="11160"/>
          </w:cols>
          <w:pgMar w:left="240" w:top="460"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DIRECTOR COMPENSATION</w:t>
      </w:r>
    </w:p>
    <w:p>
      <w:pPr>
        <w:spacing w:after="0" w:line="229"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32406B"/>
        </w:rPr>
        <w:t>The following table presents the total compensation for each person who served as a non-employee member of our board of directors and received compensation for such service during the fiscal year ended December 31, 2017. Other than as set forth in the table and described more fully below, we did not pay any compensation, make any equity awards or non-equity awards to, or pay any other compensation to any of the non-employee members of our board of directors in 2017. We reimburse non-employee members of our board of directors for reasonable travel expenses. Mr. MacKay, our President and Chief Executive Officer, did not receive any compensation for his service as a member of our board of directors in 2017. Mr. MacKay’s compensation for service as an employee for fiscal year 2017 is presented in “Executive Compensation—2017 Summary Compensation Table.”</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560" w:type="dxa"/>
            <w:vAlign w:val="bottom"/>
            <w:gridSpan w:val="2"/>
          </w:tcPr>
          <w:p>
            <w:pPr>
              <w:jc w:val="center"/>
              <w:ind w:left="2202"/>
              <w:spacing w:after="0"/>
              <w:rPr>
                <w:sz w:val="20"/>
                <w:szCs w:val="20"/>
                <w:color w:val="auto"/>
              </w:rPr>
            </w:pPr>
            <w:r>
              <w:rPr>
                <w:rFonts w:ascii="Arial" w:cs="Arial" w:eastAsia="Arial" w:hAnsi="Arial"/>
                <w:sz w:val="14"/>
                <w:szCs w:val="14"/>
                <w:b w:val="1"/>
                <w:bCs w:val="1"/>
                <w:color w:val="32406B"/>
                <w:w w:val="99"/>
              </w:rPr>
              <w:t>FEES EARNED OR</w:t>
            </w:r>
          </w:p>
        </w:tc>
        <w:tc>
          <w:tcPr>
            <w:tcW w:w="26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32406B"/>
              </w:rPr>
              <w:t>OPTION AWARDS</w:t>
            </w: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32406B"/>
              </w:rPr>
              <w:t>TOTAL</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NAME</w:t>
            </w:r>
          </w:p>
        </w:tc>
        <w:tc>
          <w:tcPr>
            <w:tcW w:w="23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rPr>
              <w:t>PAID IN CASH</w:t>
            </w:r>
          </w:p>
        </w:tc>
        <w:tc>
          <w:tcPr>
            <w:tcW w:w="266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100" w:type="dxa"/>
            <w:vAlign w:val="bottom"/>
            <w:gridSpan w:val="3"/>
            <w:vMerge w:val="continue"/>
          </w:tcPr>
          <w:p>
            <w:pPr>
              <w:spacing w:after="0"/>
              <w:rPr>
                <w:sz w:val="16"/>
                <w:szCs w:val="16"/>
                <w:color w:val="auto"/>
              </w:rPr>
            </w:pPr>
          </w:p>
        </w:tc>
        <w:tc>
          <w:tcPr>
            <w:tcW w:w="3560" w:type="dxa"/>
            <w:vAlign w:val="bottom"/>
            <w:gridSpan w:val="2"/>
          </w:tcPr>
          <w:p>
            <w:pPr>
              <w:jc w:val="center"/>
              <w:ind w:left="2202"/>
              <w:spacing w:after="0"/>
              <w:rPr>
                <w:sz w:val="20"/>
                <w:szCs w:val="20"/>
                <w:color w:val="auto"/>
              </w:rPr>
            </w:pPr>
            <w:r>
              <w:rPr>
                <w:rFonts w:ascii="Arial" w:cs="Arial" w:eastAsia="Arial" w:hAnsi="Arial"/>
                <w:sz w:val="14"/>
                <w:szCs w:val="14"/>
                <w:b w:val="1"/>
                <w:bCs w:val="1"/>
                <w:color w:val="32406B"/>
                <w:w w:val="93"/>
              </w:rPr>
              <w:t>($)</w:t>
            </w:r>
          </w:p>
        </w:tc>
        <w:tc>
          <w:tcPr>
            <w:tcW w:w="19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32406B"/>
              </w:rPr>
              <w:t>($)</w:t>
            </w:r>
          </w:p>
        </w:tc>
        <w:tc>
          <w:tcPr>
            <w:tcW w:w="720" w:type="dxa"/>
            <w:vAlign w:val="bottom"/>
          </w:tcPr>
          <w:p>
            <w:pPr>
              <w:spacing w:after="0"/>
              <w:rPr>
                <w:sz w:val="16"/>
                <w:szCs w:val="16"/>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32406B"/>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32406B"/>
                <w:w w:val="84"/>
              </w:rPr>
              <w:t>Bruce</w:t>
            </w:r>
          </w:p>
        </w:tc>
        <w:tc>
          <w:tcPr>
            <w:tcW w:w="3660" w:type="dxa"/>
            <w:vAlign w:val="bottom"/>
            <w:tcBorders>
              <w:top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32406B"/>
              </w:rPr>
              <w:t>Booth, D.Phil.</w:t>
            </w:r>
          </w:p>
        </w:tc>
        <w:tc>
          <w:tcPr>
            <w:tcW w:w="23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32406B"/>
              </w:rPr>
              <w:t>—</w:t>
            </w:r>
          </w:p>
        </w:tc>
        <w:tc>
          <w:tcPr>
            <w:tcW w:w="7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32406B"/>
              </w:rPr>
              <w:t>—</w:t>
            </w:r>
          </w:p>
        </w:tc>
        <w:tc>
          <w:tcPr>
            <w:tcW w:w="7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32406B"/>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32406B"/>
              </w:rPr>
              <w:t>Ian Clark</w:t>
            </w:r>
            <w:r>
              <w:rPr>
                <w:rFonts w:ascii="Arial" w:cs="Arial" w:eastAsia="Arial" w:hAnsi="Arial"/>
                <w:sz w:val="15"/>
                <w:szCs w:val="15"/>
                <w:color w:val="32406B"/>
              </w:rPr>
              <w:t>(1)</w:t>
            </w:r>
          </w:p>
        </w:tc>
        <w:tc>
          <w:tcPr>
            <w:tcW w:w="3560" w:type="dxa"/>
            <w:vAlign w:val="bottom"/>
            <w:gridSpan w:val="2"/>
          </w:tcPr>
          <w:p>
            <w:pPr>
              <w:jc w:val="right"/>
              <w:spacing w:after="0"/>
              <w:rPr>
                <w:sz w:val="20"/>
                <w:szCs w:val="20"/>
                <w:color w:val="auto"/>
              </w:rPr>
            </w:pPr>
            <w:r>
              <w:rPr>
                <w:rFonts w:ascii="Arial" w:cs="Arial" w:eastAsia="Arial" w:hAnsi="Arial"/>
                <w:sz w:val="18"/>
                <w:szCs w:val="18"/>
                <w:color w:val="32406B"/>
              </w:rPr>
              <w:t>12,500</w:t>
            </w:r>
          </w:p>
        </w:tc>
        <w:tc>
          <w:tcPr>
            <w:tcW w:w="1940" w:type="dxa"/>
            <w:vAlign w:val="bottom"/>
            <w:gridSpan w:val="2"/>
          </w:tcPr>
          <w:p>
            <w:pPr>
              <w:jc w:val="right"/>
              <w:spacing w:after="0"/>
              <w:rPr>
                <w:sz w:val="20"/>
                <w:szCs w:val="20"/>
                <w:color w:val="auto"/>
              </w:rPr>
            </w:pPr>
            <w:r>
              <w:rPr>
                <w:rFonts w:ascii="Arial" w:cs="Arial" w:eastAsia="Arial" w:hAnsi="Arial"/>
                <w:sz w:val="18"/>
                <w:szCs w:val="18"/>
                <w:color w:val="32406B"/>
              </w:rPr>
              <w:t>176,624</w:t>
            </w:r>
          </w:p>
        </w:tc>
        <w:tc>
          <w:tcPr>
            <w:tcW w:w="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w w:val="98"/>
              </w:rPr>
              <w:t>189,124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Christopher Paige, Ph.D.</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32406B"/>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32406B"/>
              </w:rPr>
              <w:t>Joshua Resnick, M.D.</w:t>
            </w:r>
          </w:p>
        </w:tc>
        <w:tc>
          <w:tcPr>
            <w:tcW w:w="2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32406B"/>
              </w:rPr>
              <w:t>—</w:t>
            </w:r>
          </w:p>
        </w:tc>
        <w:tc>
          <w:tcPr>
            <w:tcW w:w="720" w:type="dxa"/>
            <w:vAlign w:val="bottom"/>
          </w:tcPr>
          <w:p>
            <w:pPr>
              <w:spacing w:after="0"/>
              <w:rPr>
                <w:sz w:val="18"/>
                <w:szCs w:val="18"/>
                <w:color w:val="auto"/>
              </w:rPr>
            </w:pP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32406B"/>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Scott Requadt</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32406B"/>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342" w:lineRule="auto"/>
        <w:tabs>
          <w:tab w:leader="none" w:pos="640" w:val="left"/>
        </w:tabs>
        <w:numPr>
          <w:ilvl w:val="0"/>
          <w:numId w:val="82"/>
        </w:numPr>
        <w:rPr>
          <w:rFonts w:ascii="Arial" w:cs="Arial" w:eastAsia="Arial" w:hAnsi="Arial"/>
          <w:sz w:val="16"/>
          <w:szCs w:val="16"/>
          <w:color w:val="32406B"/>
        </w:rPr>
      </w:pPr>
      <w:r>
        <w:rPr>
          <w:rFonts w:ascii="Arial" w:cs="Arial" w:eastAsia="Arial" w:hAnsi="Arial"/>
          <w:sz w:val="16"/>
          <w:szCs w:val="16"/>
          <w:color w:val="32406B"/>
        </w:rPr>
        <w:t>Pursuant to a letter agreement with us, Mr. Clark is paid an annual cash retainer of $50,000 for his service on the board of directors. As of December 31, 2017, Mr. Clark held an option to purchase 48,740 shares of our common stock, no portion of which was vested as of such date.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Non-Employee Director Compensation Policy</w:t>
      </w:r>
    </w:p>
    <w:p>
      <w:pPr>
        <w:spacing w:after="0" w:line="12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32406B"/>
        </w:rPr>
        <w:t>Our board of directors has adopted a non-employee director compensation policy, effective upon effectiveness of the registration statement of which this prospectus forms a part, that is designed to enable us to attract and retain, on a long-term basis, highly qualified non-employee directors. Under the policy, each director who is not an employee will be paid cash compensation from and after the completion of this offering, as set forth below:</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32406B"/>
              </w:rPr>
              <w:t>NON-</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260" w:type="dxa"/>
            <w:vAlign w:val="bottom"/>
            <w:gridSpan w:val="2"/>
          </w:tcPr>
          <w:p>
            <w:pPr>
              <w:jc w:val="center"/>
              <w:ind w:left="2317"/>
              <w:spacing w:after="0" w:line="149" w:lineRule="exact"/>
              <w:rPr>
                <w:sz w:val="20"/>
                <w:szCs w:val="20"/>
                <w:color w:val="auto"/>
              </w:rPr>
            </w:pPr>
            <w:r>
              <w:rPr>
                <w:rFonts w:ascii="Arial" w:cs="Arial" w:eastAsia="Arial" w:hAnsi="Arial"/>
                <w:sz w:val="14"/>
                <w:szCs w:val="14"/>
                <w:b w:val="1"/>
                <w:bCs w:val="1"/>
                <w:color w:val="32406B"/>
              </w:rPr>
              <w:t>CHAIRMAN</w:t>
            </w:r>
          </w:p>
        </w:tc>
        <w:tc>
          <w:tcPr>
            <w:tcW w:w="1680" w:type="dxa"/>
            <w:vAlign w:val="bottom"/>
            <w:gridSpan w:val="3"/>
            <w:vMerge w:val="restart"/>
          </w:tcPr>
          <w:p>
            <w:pPr>
              <w:jc w:val="center"/>
              <w:ind w:left="637"/>
              <w:spacing w:after="0"/>
              <w:rPr>
                <w:sz w:val="20"/>
                <w:szCs w:val="20"/>
                <w:color w:val="auto"/>
              </w:rPr>
            </w:pPr>
            <w:r>
              <w:rPr>
                <w:rFonts w:ascii="Arial" w:cs="Arial" w:eastAsia="Arial" w:hAnsi="Arial"/>
                <w:sz w:val="14"/>
                <w:szCs w:val="14"/>
                <w:b w:val="1"/>
                <w:bCs w:val="1"/>
                <w:color w:val="32406B"/>
              </w:rPr>
              <w:t>CHAIRMAN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rPr>
              <w:t>MEMBER</w:t>
            </w:r>
          </w:p>
        </w:tc>
        <w:tc>
          <w:tcPr>
            <w:tcW w:w="1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rPr>
              <w:t>ANNUAL</w:t>
            </w:r>
          </w:p>
        </w:tc>
        <w:tc>
          <w:tcPr>
            <w:tcW w:w="8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rPr>
              <w:t>ANNUAL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rPr>
              <w:t>FEE</w:t>
            </w:r>
          </w:p>
        </w:tc>
        <w:tc>
          <w:tcPr>
            <w:tcW w:w="8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rPr>
              <w:t>FEE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60" w:type="dxa"/>
            <w:vAlign w:val="bottom"/>
            <w:gridSpan w:val="2"/>
          </w:tcPr>
          <w:p>
            <w:pPr>
              <w:jc w:val="center"/>
              <w:ind w:left="2337"/>
              <w:spacing w:after="0"/>
              <w:rPr>
                <w:sz w:val="20"/>
                <w:szCs w:val="20"/>
                <w:color w:val="auto"/>
              </w:rPr>
            </w:pPr>
            <w:r>
              <w:rPr>
                <w:rFonts w:ascii="Arial" w:cs="Arial" w:eastAsia="Arial" w:hAnsi="Arial"/>
                <w:sz w:val="14"/>
                <w:szCs w:val="14"/>
                <w:b w:val="1"/>
                <w:bCs w:val="1"/>
                <w:color w:val="32406B"/>
                <w:w w:val="93"/>
              </w:rPr>
              <w:t>($)</w:t>
            </w:r>
          </w:p>
        </w:tc>
        <w:tc>
          <w:tcPr>
            <w:tcW w:w="1620" w:type="dxa"/>
            <w:vAlign w:val="bottom"/>
            <w:gridSpan w:val="2"/>
          </w:tcPr>
          <w:p>
            <w:pPr>
              <w:jc w:val="center"/>
              <w:ind w:left="697"/>
              <w:spacing w:after="0"/>
              <w:rPr>
                <w:sz w:val="20"/>
                <w:szCs w:val="20"/>
                <w:color w:val="auto"/>
              </w:rPr>
            </w:pPr>
            <w:r>
              <w:rPr>
                <w:rFonts w:ascii="Arial" w:cs="Arial" w:eastAsia="Arial" w:hAnsi="Arial"/>
                <w:sz w:val="14"/>
                <w:szCs w:val="14"/>
                <w:b w:val="1"/>
                <w:bCs w:val="1"/>
                <w:color w:val="32406B"/>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Board of Directors</w:t>
            </w:r>
          </w:p>
        </w:tc>
        <w:tc>
          <w:tcPr>
            <w:tcW w:w="2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50,000</w:t>
            </w:r>
          </w:p>
        </w:tc>
        <w:tc>
          <w:tcPr>
            <w:tcW w:w="8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32406B"/>
              </w:rPr>
              <w:t>Audit Committee</w:t>
            </w:r>
          </w:p>
        </w:tc>
        <w:tc>
          <w:tcPr>
            <w:tcW w:w="3260" w:type="dxa"/>
            <w:vAlign w:val="bottom"/>
            <w:gridSpan w:val="2"/>
          </w:tcPr>
          <w:p>
            <w:pPr>
              <w:jc w:val="right"/>
              <w:spacing w:after="0"/>
              <w:rPr>
                <w:sz w:val="20"/>
                <w:szCs w:val="20"/>
                <w:color w:val="auto"/>
              </w:rPr>
            </w:pPr>
            <w:r>
              <w:rPr>
                <w:rFonts w:ascii="Arial" w:cs="Arial" w:eastAsia="Arial" w:hAnsi="Arial"/>
                <w:sz w:val="18"/>
                <w:szCs w:val="18"/>
                <w:color w:val="32406B"/>
              </w:rPr>
              <w:t>2,500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32406B"/>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32406B"/>
              </w:rPr>
              <w:t>Compensation Committee</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2,500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32406B"/>
              </w:rPr>
              <w:t>Nominating and Corporate Governance Committee</w:t>
            </w:r>
          </w:p>
        </w:tc>
        <w:tc>
          <w:tcPr>
            <w:tcW w:w="3260" w:type="dxa"/>
            <w:vAlign w:val="bottom"/>
            <w:gridSpan w:val="2"/>
          </w:tcPr>
          <w:p>
            <w:pPr>
              <w:jc w:val="right"/>
              <w:spacing w:after="0"/>
              <w:rPr>
                <w:sz w:val="20"/>
                <w:szCs w:val="20"/>
                <w:color w:val="auto"/>
              </w:rPr>
            </w:pPr>
            <w:r>
              <w:rPr>
                <w:rFonts w:ascii="Arial" w:cs="Arial" w:eastAsia="Arial" w:hAnsi="Arial"/>
                <w:sz w:val="18"/>
                <w:szCs w:val="18"/>
                <w:color w:val="32406B"/>
              </w:rPr>
              <w:t>2,500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32406B"/>
              </w:rPr>
              <w:t>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32406B"/>
        </w:rPr>
        <w:t>In addition, each non-employee director serving on our board of directors upon the effectiveness of the registration statement of which this prospectus is a part and each non-employee director thereafter first elected or appointed to our board of directors will be granted 18,743 on the date of such effectiveness or of such director’s election or appointment to the board of directors, as applicable, which will vest in equal monthly installments over a three year period, subject to the director’s continued service through such vesting date(s). On the date of each annual meeting of stockholders of our company, each non-employee director will be granted 9,371, which will vest in full upon the earlier to occur of the first anniversary of the date of grant or the date of our following annual meeting of stockholders, subject to continued service as a director through such vesting date.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143</w:t>
      </w:r>
    </w:p>
    <w:p>
      <w:pPr>
        <w:sectPr>
          <w:pgSz w:w="11900" w:h="16838" w:orient="portrait"/>
          <w:cols w:equalWidth="0" w:num="1">
            <w:col w:w="11240"/>
          </w:cols>
          <w:pgMar w:left="240" w:top="459" w:right="4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CERTAIN RELATIONSHIPS AND RELATED PARTY TRANSACTIONS</w:t>
      </w:r>
    </w:p>
    <w:p>
      <w:pPr>
        <w:spacing w:after="0" w:line="22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32406B"/>
        </w:rPr>
        <w:t>Other than the compensation agreements and other arrangements described under “Executive Compensation” and “Director Compensation” in this prospectus and the transactions described below, since November 17, 2015 (date of inception), there has not been and there is not currently proposed, any transaction or series of similar transactions to which we were, or will be, a party in which the amount involved exceeded, or will exceed, $120,000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License Agreements and Related Agreements with University Health Network</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32406B"/>
        </w:rPr>
        <w:t>On January 27, 2016, we entered into an exclusive license agreement with University Health Network, or UHN, pursuant to which UHN granted us an exclusive license to certain intellectual property rights relating to Interleukin-12 proteins, or IL-12. We entered into an amendment to this agreement on September 28, 2017. Under this agreement, we paid C$264,000 to UHN upon execution of the agreement which consisted of an upfront license fee and reimbursement of certain patent expenses. We are also obligated to pay an annual license fee as well as payments in connection with the achievement of certain performance and development milestones for an aggregate total of up to C$19.275 million in milestone payments. Additionally, we will pay a low to midsingle digit royalty percentage on annual sales of licensed products, and a low double digit percentage of all sublicensing revenue. For the years ended December 31, 2016 and 2017, we paid $736,000 and $151,000 to UHN under this agreement, respectively. Pursuant to this agreement, UHN also purchased 1,161,665 shares of our common stock for an aggregate purchase price of $480.00 under a stock purchase agreement. Under the terms of the stock purchase agreement, we are obligated to pay to UHN five percent of the proceeds from this offering, up to a cap of $2 million, upon the closing of this offering.</w:t>
      </w:r>
    </w:p>
    <w:p>
      <w:pPr>
        <w:spacing w:after="0" w:line="178"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32406B"/>
        </w:rPr>
        <w:t>On January 27, 2016, we entered into an option agreement with UHN pursuant to which UHN granted us an exclusive option to enter into an exclusive license under certain intellectual property rights related to Fabry disease. On November 4, 2016, we executed our option and entered into an exclusive license agreement with UHN. Under this agreement, UHN granted us an exclusive worldwide license under certain intellectual property rights and a non-exclusive worldwide license under certain know-how, in each case subject to certain retained rights, to develop, commercialize and sell products for use in the treatment of Fabry disease. Under the terms of the agreement, we paid to UHN a one-time upfront fee of C$75,000 and are obligated to pay an annual maintenance fee until the first sale of a licensed product in certain markets. We are also required to make payments to UHN in connection with the achievement of certain development and regulatory milestones in an aggregate amount of up to C$2.45 million, as well as royalties on a country-by-country basis of a low to midsingle digit percentage on annual sales of licensed products and a lower single digit royalty in certain circumstances. Additionally, we will pay a low double digit percentage of all sublicensing revenue. We also made a philanthropic commitment to donate funds to organizations for the benefit of the Canadian Fabry community in an amount equal to a low double digit percentage of our royalty payments and regulatory milestone payments, up to a maximum of C$500,000 in any calendar year. For the years ended December 31, 2016 and 2017, we paid $87,000 and $16,000 to UHN in connection with this agreement, respectively, which consisted of our license option fee, the upfront fee and maintenance fees. See “Business—License Agreements—Exclusive License Agreement with University Health Network” for further information regarding the 2016 Fabry license agreement with UHN. In connection with this agreement, we also entered into (i) a letter agreement with UHN on November 4, 2016, pursuant to which we agreed to provide certain funding and costs and expenses associated with a clinical trial conducted by UHN for the treatment of Fabry disease, and (ii) a letter agreement with UHN on June 2, 2017, pursuant to which we agreed to provide additional funding and costs and expenses associated with the clinical trial conducted by UHN for the treatment of Fabry disease.</w:t>
      </w:r>
    </w:p>
    <w:p>
      <w:pPr>
        <w:spacing w:after="0" w:line="17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32406B"/>
        </w:rPr>
        <w:t>In connection with the above agreements, we have also entered into two separate sponsored research agreements with UHN, one in March 2017 and one in July 2017. The March 2017 agreement was amended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144</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32406B"/>
        </w:rPr>
        <w:t>restated and subsequently amended in November 2017. Pursuant to each of these sponsored research agreements, we agreed to fund certain research projects related to IL-12 and Fabry disease, including salaries of certain researchers of up to C$200,000 and C$164,652 under the March 2017 and July 2017 agreements, respectively.</w:t>
      </w:r>
    </w:p>
    <w:p>
      <w:pPr>
        <w:spacing w:after="0" w:line="18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32406B"/>
        </w:rPr>
        <w:t>At the time we entered into each of the above agreements with UHN, UHN was a greater than 5% beneficial owner of our outstanding capital stock. Additionally, Christopher Paige is a senior scientist at UHN and is currently a member of our board of directors. As an inventor of certain of the intellectual property rights related to IL-12 that we license from UHN, Dr. Paige is entitled to a portion of the consideration that we pay to UHN pursuant to the IL-12 license agreement.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Private Placements of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Series Seed Preferred Stock Financing</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32406B"/>
        </w:rPr>
        <w:t>In January 2016, we sold an aggregate of 3,333,333 shares of our Series Seed preferred stock at a purchase price of $0.45 per share. The following table summarizes purchases of our Series Seed preferred stock by related persons: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32406B"/>
              </w:rPr>
              <w:t>SHARES OF</w:t>
            </w:r>
          </w:p>
        </w:tc>
        <w:tc>
          <w:tcPr>
            <w:tcW w:w="480" w:type="dxa"/>
            <w:vAlign w:val="bottom"/>
          </w:tcPr>
          <w:p>
            <w:pPr>
              <w:spacing w:after="0"/>
              <w:rPr>
                <w:sz w:val="14"/>
                <w:szCs w:val="14"/>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32406B"/>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8"/>
              </w:rPr>
              <w:t>SERIES SEED</w:t>
            </w:r>
          </w:p>
        </w:tc>
        <w:tc>
          <w:tcPr>
            <w:tcW w:w="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STOCKHOLDER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rPr>
              <w:t>PREFERRED</w:t>
            </w:r>
          </w:p>
        </w:tc>
        <w:tc>
          <w:tcPr>
            <w:tcW w:w="48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w w:val="99"/>
              </w:rPr>
              <w:t>PURCHASE</w:t>
            </w:r>
          </w:p>
        </w:tc>
        <w:tc>
          <w:tcPr>
            <w:tcW w:w="0" w:type="dxa"/>
            <w:vAlign w:val="bottom"/>
          </w:tcPr>
          <w:p>
            <w:pPr>
              <w:spacing w:after="0"/>
              <w:rPr>
                <w:sz w:val="1"/>
                <w:szCs w:val="1"/>
                <w:color w:val="auto"/>
              </w:rPr>
            </w:pPr>
          </w:p>
        </w:tc>
      </w:tr>
      <w:tr>
        <w:trPr>
          <w:trHeight w:val="171"/>
        </w:trPr>
        <w:tc>
          <w:tcPr>
            <w:tcW w:w="8480" w:type="dxa"/>
            <w:vAlign w:val="bottom"/>
            <w:gridSpan w:val="3"/>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32406B"/>
              </w:rPr>
              <w:t>STOCK</w:t>
            </w:r>
          </w:p>
        </w:tc>
        <w:tc>
          <w:tcPr>
            <w:tcW w:w="4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32406B"/>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32406B"/>
              </w:rPr>
              <w:t>3,333,333</w:t>
            </w: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32406B"/>
                <w:w w:val="92"/>
              </w:rPr>
              <w:t>$1,499,999.85</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32406B"/>
              </w:rPr>
              <w:t>Atlas Venture Fund X, L.P.</w:t>
            </w:r>
            <w:r>
              <w:rPr>
                <w:rFonts w:ascii="Arial" w:cs="Arial" w:eastAsia="Arial" w:hAnsi="Arial"/>
                <w:sz w:val="15"/>
                <w:szCs w:val="15"/>
                <w:color w:val="32406B"/>
              </w:rPr>
              <w:t>(1)</w:t>
            </w:r>
          </w:p>
        </w:tc>
        <w:tc>
          <w:tcPr>
            <w:tcW w:w="94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277" w:lineRule="auto"/>
        <w:tabs>
          <w:tab w:leader="none" w:pos="640" w:val="left"/>
        </w:tabs>
        <w:numPr>
          <w:ilvl w:val="0"/>
          <w:numId w:val="83"/>
        </w:numPr>
        <w:rPr>
          <w:rFonts w:ascii="Arial" w:cs="Arial" w:eastAsia="Arial" w:hAnsi="Arial"/>
          <w:sz w:val="18"/>
          <w:szCs w:val="18"/>
          <w:color w:val="32406B"/>
        </w:rPr>
      </w:pPr>
      <w:r>
        <w:rPr>
          <w:rFonts w:ascii="Arial" w:cs="Arial" w:eastAsia="Arial" w:hAnsi="Arial"/>
          <w:sz w:val="18"/>
          <w:szCs w:val="18"/>
          <w:color w:val="32406B"/>
        </w:rPr>
        <w:t>Bruce Booth, D.Phil., a partner at Atlas Venture, is a member of our board of directors. Atlas Venture is a holder of five percent or more of our capital stock.</w:t>
      </w:r>
    </w:p>
    <w:p>
      <w:pPr>
        <w:spacing w:after="0" w:line="278" w:lineRule="exact"/>
        <w:rPr>
          <w:rFonts w:ascii="Arial" w:cs="Arial" w:eastAsia="Arial" w:hAnsi="Arial"/>
          <w:sz w:val="18"/>
          <w:szCs w:val="18"/>
          <w:color w:val="32406B"/>
        </w:rPr>
      </w:pPr>
    </w:p>
    <w:p>
      <w:pPr>
        <w:ind w:left="640"/>
        <w:spacing w:after="0"/>
        <w:rPr>
          <w:rFonts w:ascii="Arial" w:cs="Arial" w:eastAsia="Arial" w:hAnsi="Arial"/>
          <w:sz w:val="18"/>
          <w:szCs w:val="18"/>
          <w:color w:val="32406B"/>
        </w:rPr>
      </w:pPr>
      <w:r>
        <w:rPr>
          <w:rFonts w:ascii="Arial" w:cs="Arial" w:eastAsia="Arial" w:hAnsi="Arial"/>
          <w:sz w:val="18"/>
          <w:szCs w:val="18"/>
          <w:b w:val="1"/>
          <w:bCs w:val="1"/>
          <w:i w:val="1"/>
          <w:iCs w:val="1"/>
          <w:color w:val="32406B"/>
        </w:rPr>
        <w:t>Series A Preferred Stock Financing</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In July 2016, we sold 5,714,286 shares of Series A preferred stock, at a price of $1.3125 per share, pursuant to a stock purchase agreement entered into with the investors. In March 2017, we amended certain provisions of our Series A preferred stock purchase agreement and issued a preferred stock dividend in the form of 3,720,864 additional shares of Series A preferred stock to such investors, which effectively repriced the outstanding shares of Series A preferred stock and changed the purchase price for future shares of Series A preferred stock to be sold under the Series A preferred stock purchase agreement to $0.7949 per share. Concurrent with the amendment, we issued 4,403,070 additional shares of Series A preferred stock at a purchase price of $0.7949 per share. In October 2017, we issued 17,612,279 additional shares of Series A preferred stock in a subsequent closing, at a purchase price of $0.7949 per share.</w:t>
      </w:r>
    </w:p>
    <w:p>
      <w:pPr>
        <w:spacing w:after="0" w:line="18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32406B"/>
        </w:rPr>
        <w:t>The following table summarizes purchases of our Series A preferred stock and the issuance of the preferred stock dividend referenced above by related persons: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32406B"/>
              </w:rPr>
              <w:t>SHARES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32406B"/>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rPr>
              <w:t>SERIES A</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STOCKHOLDER</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rPr>
              <w:t>PREFERRED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32406B"/>
              </w:rPr>
              <w:t>PURCHASE</w:t>
            </w:r>
          </w:p>
        </w:tc>
        <w:tc>
          <w:tcPr>
            <w:tcW w:w="0" w:type="dxa"/>
            <w:vAlign w:val="bottom"/>
          </w:tcPr>
          <w:p>
            <w:pPr>
              <w:spacing w:after="0"/>
              <w:rPr>
                <w:sz w:val="1"/>
                <w:szCs w:val="1"/>
                <w:color w:val="auto"/>
              </w:rPr>
            </w:pPr>
          </w:p>
        </w:tc>
      </w:tr>
      <w:tr>
        <w:trPr>
          <w:trHeight w:val="171"/>
        </w:trPr>
        <w:tc>
          <w:tcPr>
            <w:tcW w:w="8480" w:type="dxa"/>
            <w:vAlign w:val="bottom"/>
            <w:gridSpan w:val="3"/>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32406B"/>
              </w:rPr>
              <w:t>STOCK</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Atlas Venture Fund X, L.P.</w:t>
            </w:r>
            <w:r>
              <w:rPr>
                <w:rFonts w:ascii="Arial" w:cs="Arial" w:eastAsia="Arial" w:hAnsi="Arial"/>
                <w:sz w:val="15"/>
                <w:szCs w:val="15"/>
                <w:color w:val="32406B"/>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12,580,199</w:t>
            </w: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5"/>
              </w:rPr>
              <w:t>9,999,999.53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32406B"/>
              </w:rPr>
              <w:t>Entities affiliated with SV Life Sciences Fund</w:t>
            </w:r>
            <w:r>
              <w:rPr>
                <w:rFonts w:ascii="Arial" w:cs="Arial" w:eastAsia="Arial" w:hAnsi="Arial"/>
                <w:sz w:val="15"/>
                <w:szCs w:val="15"/>
                <w:color w:val="32406B"/>
              </w:rPr>
              <w:t>(2)(3)</w:t>
            </w:r>
          </w:p>
        </w:tc>
        <w:tc>
          <w:tcPr>
            <w:tcW w:w="960" w:type="dxa"/>
            <w:vAlign w:val="bottom"/>
          </w:tcPr>
          <w:p>
            <w:pPr>
              <w:jc w:val="right"/>
              <w:spacing w:after="0"/>
              <w:rPr>
                <w:sz w:val="20"/>
                <w:szCs w:val="20"/>
                <w:color w:val="auto"/>
              </w:rPr>
            </w:pPr>
            <w:r>
              <w:rPr>
                <w:rFonts w:ascii="Arial" w:cs="Arial" w:eastAsia="Arial" w:hAnsi="Arial"/>
                <w:sz w:val="18"/>
                <w:szCs w:val="18"/>
                <w:color w:val="32406B"/>
              </w:rPr>
              <w:t>9,435,150</w:t>
            </w:r>
          </w:p>
        </w:tc>
        <w:tc>
          <w:tcPr>
            <w:tcW w:w="50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020" w:type="dxa"/>
            <w:vAlign w:val="bottom"/>
          </w:tcPr>
          <w:p>
            <w:pPr>
              <w:jc w:val="right"/>
              <w:spacing w:after="0"/>
              <w:rPr>
                <w:sz w:val="20"/>
                <w:szCs w:val="20"/>
                <w:color w:val="auto"/>
              </w:rPr>
            </w:pPr>
            <w:r>
              <w:rPr>
                <w:rFonts w:ascii="Arial" w:cs="Arial" w:eastAsia="Arial" w:hAnsi="Arial"/>
                <w:sz w:val="18"/>
                <w:szCs w:val="18"/>
                <w:color w:val="32406B"/>
                <w:w w:val="95"/>
              </w:rPr>
              <w:t>7,500,000.91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Clarus Life Sciences III, L.P.</w:t>
            </w:r>
            <w:r>
              <w:rPr>
                <w:rFonts w:ascii="Arial" w:cs="Arial" w:eastAsia="Arial" w:hAnsi="Arial"/>
                <w:sz w:val="15"/>
                <w:szCs w:val="15"/>
                <w:color w:val="32406B"/>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9,435,150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5"/>
              </w:rPr>
              <w:t>7,500,000.91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258" w:lineRule="auto"/>
        <w:tabs>
          <w:tab w:leader="none" w:pos="64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Bruce Booth, D.Phil., a partner at Atlas Venture, is a member of our board of directors. Atlas Venture is a holder of five percent or more of our capital stock.</w:t>
      </w:r>
    </w:p>
    <w:p>
      <w:pPr>
        <w:spacing w:after="0" w:line="1" w:lineRule="exact"/>
        <w:rPr>
          <w:rFonts w:ascii="Arial" w:cs="Arial" w:eastAsia="Arial" w:hAnsi="Arial"/>
          <w:sz w:val="18"/>
          <w:szCs w:val="18"/>
          <w:color w:val="32406B"/>
        </w:rPr>
      </w:pPr>
    </w:p>
    <w:p>
      <w:pPr>
        <w:ind w:left="640" w:right="200" w:hanging="436"/>
        <w:spacing w:after="0" w:line="250" w:lineRule="auto"/>
        <w:tabs>
          <w:tab w:leader="none" w:pos="64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Joshua Resnick, M.D., a partner at SV Health Investors, is a member of our board of directors. SV Health Investors is a holder of five percent or more of our capital stock.</w:t>
      </w:r>
    </w:p>
    <w:p>
      <w:pPr>
        <w:ind w:left="640" w:right="160" w:hanging="436"/>
        <w:spacing w:after="0" w:line="261" w:lineRule="auto"/>
        <w:tabs>
          <w:tab w:leader="none" w:pos="64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Consists of (1) 9,122,809 shares of Series A preferred stock held by SV Life Sciences Fund VI, L.P. and (2) 312,341 shares of Series A preferred stock held by SV Life Sciences Fund VI, Strategic Partners L.P.</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145</w:t>
      </w:r>
    </w:p>
    <w:p>
      <w:pPr>
        <w:sectPr>
          <w:pgSz w:w="11900" w:h="16838" w:orient="portrait"/>
          <w:cols w:equalWidth="0" w:num="1">
            <w:col w:w="11240"/>
          </w:cols>
          <w:pgMar w:left="240" w:top="459" w:right="4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hanging="436"/>
        <w:spacing w:after="0" w:line="277" w:lineRule="auto"/>
        <w:tabs>
          <w:tab w:leader="none" w:pos="64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Scott G. Requadt, J.D., MBA, a Managing Director at Clarus, is a member of our board of directors. Clarus is a holder of five percent or more of our capital stock.</w:t>
      </w:r>
    </w:p>
    <w:p>
      <w:pPr>
        <w:spacing w:after="0" w:line="278" w:lineRule="exact"/>
        <w:rPr>
          <w:rFonts w:ascii="Arial" w:cs="Arial" w:eastAsia="Arial" w:hAnsi="Arial"/>
          <w:sz w:val="18"/>
          <w:szCs w:val="18"/>
          <w:color w:val="32406B"/>
        </w:rPr>
      </w:pPr>
    </w:p>
    <w:p>
      <w:pPr>
        <w:ind w:left="640"/>
        <w:spacing w:after="0"/>
        <w:rPr>
          <w:rFonts w:ascii="Arial" w:cs="Arial" w:eastAsia="Arial" w:hAnsi="Arial"/>
          <w:sz w:val="18"/>
          <w:szCs w:val="18"/>
          <w:color w:val="32406B"/>
        </w:rPr>
      </w:pPr>
      <w:r>
        <w:rPr>
          <w:rFonts w:ascii="Arial" w:cs="Arial" w:eastAsia="Arial" w:hAnsi="Arial"/>
          <w:sz w:val="18"/>
          <w:szCs w:val="18"/>
          <w:b w:val="1"/>
          <w:bCs w:val="1"/>
          <w:i w:val="1"/>
          <w:iCs w:val="1"/>
          <w:color w:val="32406B"/>
        </w:rPr>
        <w:t>Series B Preferred Stock Financing</w:t>
      </w:r>
    </w:p>
    <w:p>
      <w:pPr>
        <w:spacing w:after="0" w:line="117"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32406B"/>
        </w:rPr>
        <w:t>In January 2018, we sold an aggregate of 28,519,322 shares of our Series B preferred stock at a purchase price of $2.1389 per share, pursuant to agreements entered into with the investors. The following table summarizes purchases of our Series B preferred stock by related persons:</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32406B"/>
              </w:rPr>
              <w:t>SHARES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32406B"/>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7"/>
              </w:rPr>
              <w:t>SERIES B</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STOCKHOLDER</w:t>
            </w:r>
          </w:p>
        </w:tc>
        <w:tc>
          <w:tcPr>
            <w:tcW w:w="3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32406B"/>
              </w:rPr>
              <w:t>PREFERRED</w:t>
            </w:r>
          </w:p>
        </w:tc>
        <w:tc>
          <w:tcPr>
            <w:tcW w:w="50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32406B"/>
              </w:rPr>
              <w:t>PURCHASE</w:t>
            </w:r>
          </w:p>
        </w:tc>
        <w:tc>
          <w:tcPr>
            <w:tcW w:w="0" w:type="dxa"/>
            <w:vAlign w:val="bottom"/>
          </w:tcPr>
          <w:p>
            <w:pPr>
              <w:spacing w:after="0"/>
              <w:rPr>
                <w:sz w:val="1"/>
                <w:szCs w:val="1"/>
                <w:color w:val="auto"/>
              </w:rPr>
            </w:pPr>
          </w:p>
        </w:tc>
      </w:tr>
      <w:tr>
        <w:trPr>
          <w:trHeight w:val="171"/>
        </w:trPr>
        <w:tc>
          <w:tcPr>
            <w:tcW w:w="6220" w:type="dxa"/>
            <w:vAlign w:val="bottom"/>
            <w:gridSpan w:val="3"/>
            <w:vMerge w:val="continue"/>
          </w:tcPr>
          <w:p>
            <w:pPr>
              <w:spacing w:after="0"/>
              <w:rPr>
                <w:sz w:val="14"/>
                <w:szCs w:val="14"/>
                <w:color w:val="auto"/>
              </w:rPr>
            </w:pPr>
          </w:p>
        </w:tc>
        <w:tc>
          <w:tcPr>
            <w:tcW w:w="2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32406B"/>
              </w:rPr>
              <w:t>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2406B"/>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32406B"/>
              </w:rPr>
              <w:t>3,740,239</w:t>
            </w: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32406B"/>
                <w:w w:val="99"/>
              </w:rPr>
              <w:t>7,999,997</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32406B"/>
              </w:rPr>
              <w:t>Atlas Venture Fund X, L.P.</w:t>
            </w:r>
            <w:r>
              <w:rPr>
                <w:rFonts w:ascii="Arial" w:cs="Arial" w:eastAsia="Arial" w:hAnsi="Arial"/>
                <w:sz w:val="15"/>
                <w:szCs w:val="15"/>
                <w:color w:val="32406B"/>
              </w:rPr>
              <w:t>(1)</w:t>
            </w:r>
          </w:p>
        </w:tc>
        <w:tc>
          <w:tcPr>
            <w:tcW w:w="24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32406B"/>
              </w:rPr>
              <w:t>Entities affiliated with SV Life Sciences Fund</w:t>
            </w:r>
            <w:r>
              <w:rPr>
                <w:rFonts w:ascii="Arial" w:cs="Arial" w:eastAsia="Arial" w:hAnsi="Arial"/>
                <w:sz w:val="15"/>
                <w:szCs w:val="15"/>
                <w:color w:val="32406B"/>
              </w:rPr>
              <w:t>(2)(3)</w:t>
            </w:r>
          </w:p>
        </w:tc>
        <w:tc>
          <w:tcPr>
            <w:tcW w:w="3360" w:type="dxa"/>
            <w:vAlign w:val="bottom"/>
            <w:gridSpan w:val="2"/>
          </w:tcPr>
          <w:p>
            <w:pPr>
              <w:jc w:val="right"/>
              <w:spacing w:after="0"/>
              <w:rPr>
                <w:sz w:val="20"/>
                <w:szCs w:val="20"/>
                <w:color w:val="auto"/>
              </w:rPr>
            </w:pPr>
            <w:r>
              <w:rPr>
                <w:rFonts w:ascii="Arial" w:cs="Arial" w:eastAsia="Arial" w:hAnsi="Arial"/>
                <w:sz w:val="18"/>
                <w:szCs w:val="18"/>
                <w:color w:val="32406B"/>
              </w:rPr>
              <w:t>1,870,119</w:t>
            </w:r>
          </w:p>
        </w:tc>
        <w:tc>
          <w:tcPr>
            <w:tcW w:w="5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820" w:type="dxa"/>
            <w:vAlign w:val="bottom"/>
          </w:tcPr>
          <w:p>
            <w:pPr>
              <w:jc w:val="right"/>
              <w:spacing w:after="0"/>
              <w:rPr>
                <w:sz w:val="20"/>
                <w:szCs w:val="20"/>
                <w:color w:val="auto"/>
              </w:rPr>
            </w:pPr>
            <w:r>
              <w:rPr>
                <w:rFonts w:ascii="Arial" w:cs="Arial" w:eastAsia="Arial" w:hAnsi="Arial"/>
                <w:sz w:val="18"/>
                <w:szCs w:val="18"/>
                <w:color w:val="32406B"/>
                <w:w w:val="99"/>
              </w:rPr>
              <w:t>3,999,998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Clarus Life Sciences III, L.P.</w:t>
            </w:r>
            <w:r>
              <w:rPr>
                <w:rFonts w:ascii="Arial" w:cs="Arial" w:eastAsia="Arial" w:hAnsi="Arial"/>
                <w:sz w:val="15"/>
                <w:szCs w:val="15"/>
                <w:color w:val="32406B"/>
              </w:rPr>
              <w:t>(4)</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2,805,179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9"/>
              </w:rPr>
              <w:t>5,999,997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32406B"/>
              </w:rPr>
              <w:t>Citadel Multi-Strategy Equities Master Fund Ltd.</w:t>
            </w:r>
            <w:r>
              <w:rPr>
                <w:rFonts w:ascii="Arial" w:cs="Arial" w:eastAsia="Arial" w:hAnsi="Arial"/>
                <w:sz w:val="15"/>
                <w:szCs w:val="15"/>
                <w:color w:val="32406B"/>
              </w:rPr>
              <w:t>(5)</w:t>
            </w:r>
          </w:p>
        </w:tc>
        <w:tc>
          <w:tcPr>
            <w:tcW w:w="3360" w:type="dxa"/>
            <w:vAlign w:val="bottom"/>
            <w:gridSpan w:val="2"/>
          </w:tcPr>
          <w:p>
            <w:pPr>
              <w:jc w:val="right"/>
              <w:spacing w:after="0"/>
              <w:rPr>
                <w:sz w:val="20"/>
                <w:szCs w:val="20"/>
                <w:color w:val="auto"/>
              </w:rPr>
            </w:pPr>
            <w:r>
              <w:rPr>
                <w:rFonts w:ascii="Arial" w:cs="Arial" w:eastAsia="Arial" w:hAnsi="Arial"/>
                <w:sz w:val="18"/>
                <w:szCs w:val="18"/>
                <w:color w:val="32406B"/>
              </w:rPr>
              <w:t>5,610,360</w:t>
            </w:r>
          </w:p>
        </w:tc>
        <w:tc>
          <w:tcPr>
            <w:tcW w:w="5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820" w:type="dxa"/>
            <w:vAlign w:val="bottom"/>
          </w:tcPr>
          <w:p>
            <w:pPr>
              <w:jc w:val="right"/>
              <w:spacing w:after="0"/>
              <w:rPr>
                <w:sz w:val="20"/>
                <w:szCs w:val="20"/>
                <w:color w:val="auto"/>
              </w:rPr>
            </w:pPr>
            <w:r>
              <w:rPr>
                <w:rFonts w:ascii="Arial" w:cs="Arial" w:eastAsia="Arial" w:hAnsi="Arial"/>
                <w:sz w:val="18"/>
                <w:szCs w:val="18"/>
                <w:color w:val="32406B"/>
                <w:w w:val="88"/>
              </w:rPr>
              <w:t>11,999,999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Cormorant Private Healthcare Fund I, LP</w:t>
            </w:r>
            <w:r>
              <w:rPr>
                <w:rFonts w:ascii="Arial" w:cs="Arial" w:eastAsia="Arial" w:hAnsi="Arial"/>
                <w:sz w:val="15"/>
                <w:szCs w:val="15"/>
                <w:color w:val="32406B"/>
              </w:rPr>
              <w:t>(6)(7)</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5,610,360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8"/>
              </w:rPr>
              <w:t>11,999,999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258" w:lineRule="auto"/>
        <w:tabs>
          <w:tab w:leader="none" w:pos="64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Bruce Booth, D.Phil., a partner at Atlas Venture, is a member of our board of directors. Atlas Venture is a holder of five percent or more of our capital stock</w:t>
      </w:r>
    </w:p>
    <w:p>
      <w:pPr>
        <w:spacing w:after="0" w:line="1" w:lineRule="exact"/>
        <w:rPr>
          <w:rFonts w:ascii="Arial" w:cs="Arial" w:eastAsia="Arial" w:hAnsi="Arial"/>
          <w:sz w:val="18"/>
          <w:szCs w:val="18"/>
          <w:color w:val="32406B"/>
        </w:rPr>
      </w:pPr>
    </w:p>
    <w:p>
      <w:pPr>
        <w:ind w:left="640" w:right="160" w:hanging="436"/>
        <w:spacing w:after="0" w:line="250" w:lineRule="auto"/>
        <w:tabs>
          <w:tab w:leader="none" w:pos="64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Joshua Resnick, M.D., a partner at SV Health Investors, is a member of our board of directors. SV Health Investors, is a holder of five percent or more of our capital stock.</w:t>
      </w:r>
    </w:p>
    <w:p>
      <w:pPr>
        <w:ind w:left="640" w:right="280" w:hanging="436"/>
        <w:spacing w:after="0" w:line="250" w:lineRule="auto"/>
        <w:tabs>
          <w:tab w:leader="none" w:pos="64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Consists of (i) 1,808,211 shares of Series A preferred stock held by SV Life Sciences Fund VI, L.P. and (ii) 61,908 shares of Series A preferred stock held by SV Life Sciences Fund VI, Strategic Partners L.P.</w:t>
      </w:r>
    </w:p>
    <w:p>
      <w:pPr>
        <w:ind w:left="640" w:right="180" w:hanging="436"/>
        <w:spacing w:after="0" w:line="250" w:lineRule="auto"/>
        <w:tabs>
          <w:tab w:leader="none" w:pos="64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Scott G. Requadt, J.D., MBA, a Managing Director at Clarus, is a member of our board of directors. Clarus is a holder of five percent or more of our capital stock.</w:t>
      </w:r>
    </w:p>
    <w:p>
      <w:pPr>
        <w:ind w:left="640" w:hanging="436"/>
        <w:spacing w:after="0"/>
        <w:tabs>
          <w:tab w:leader="none" w:pos="64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Citadel Multi-Strategy Equities Master Fund Ltd is a holder of five percent or more of our capital stock</w:t>
      </w:r>
    </w:p>
    <w:p>
      <w:pPr>
        <w:spacing w:after="0" w:line="9" w:lineRule="exact"/>
        <w:rPr>
          <w:rFonts w:ascii="Arial" w:cs="Arial" w:eastAsia="Arial" w:hAnsi="Arial"/>
          <w:sz w:val="18"/>
          <w:szCs w:val="18"/>
          <w:color w:val="32406B"/>
        </w:rPr>
      </w:pPr>
    </w:p>
    <w:p>
      <w:pPr>
        <w:ind w:left="640" w:hanging="436"/>
        <w:spacing w:after="0"/>
        <w:tabs>
          <w:tab w:leader="none" w:pos="64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Cormorant Private Healthcare Fund I, LP is a holder of five percent or more of our capital stock</w:t>
      </w:r>
    </w:p>
    <w:p>
      <w:pPr>
        <w:spacing w:after="0" w:line="9" w:lineRule="exact"/>
        <w:rPr>
          <w:rFonts w:ascii="Arial" w:cs="Arial" w:eastAsia="Arial" w:hAnsi="Arial"/>
          <w:sz w:val="18"/>
          <w:szCs w:val="18"/>
          <w:color w:val="32406B"/>
        </w:rPr>
      </w:pPr>
    </w:p>
    <w:p>
      <w:pPr>
        <w:ind w:left="640" w:right="120" w:hanging="436"/>
        <w:spacing w:after="0" w:line="323" w:lineRule="auto"/>
        <w:tabs>
          <w:tab w:leader="none" w:pos="640" w:val="left"/>
        </w:tabs>
        <w:numPr>
          <w:ilvl w:val="0"/>
          <w:numId w:val="86"/>
        </w:numPr>
        <w:rPr>
          <w:rFonts w:ascii="Arial" w:cs="Arial" w:eastAsia="Arial" w:hAnsi="Arial"/>
          <w:sz w:val="16"/>
          <w:szCs w:val="16"/>
          <w:color w:val="32406B"/>
        </w:rPr>
      </w:pPr>
      <w:r>
        <w:rPr>
          <w:rFonts w:ascii="Arial" w:cs="Arial" w:eastAsia="Arial" w:hAnsi="Arial"/>
          <w:sz w:val="16"/>
          <w:szCs w:val="16"/>
          <w:color w:val="32406B"/>
        </w:rPr>
        <w:t>Consists of (i) 4,366,543 shares, all purchased and received by Cormorant Private Healthcare Fund I, L.P. (ii) 1,005,938 shares, all purchased and received by Cormorant Global Healthcare Master Fund, L.P. and (iii) 237,879 shares, all purchased and received by CRMA SPV, L.P.</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Strategic and Operational Services</w:t>
      </w:r>
    </w:p>
    <w:p>
      <w:pPr>
        <w:spacing w:after="0" w:line="22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32406B"/>
        </w:rPr>
        <w:t>Following the Series Seed preferred stock investment in our company by Atlas Venture X, L.P., or Atlas Venture, we were provided with certain services related to strategic and ordinary course business operations in connection with the incubation of our company during its early stages, including the use of office space provided by the management company for Atlas Venture. During the years ended December 31, 2016 and 2017, we paid to such management company fees in the amount of approximately $78,000 and $15,000, respectively. None of these fees were paid directly or indirectly to Bruce Booth, the chairman of our board of directors and a partner at Atlas Venture. In addition, the fees paid to such management company did not exceed 5% of the consolidated gross revenue of Atlas Venture during any of these fiscal years. Atlas Venture X, L.P. is a beneficial owner of more than 5% of our voting securities.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Agreements with Stockholders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In connection with our Series Seed, Series A and Series B preferred stock financings,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will terminate upon the closing of this offering, except for the registration rights granted under our investors’ rights agreement, as more fully described in “Description of Capital Stock—Registration Rights.”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146</w:t>
      </w:r>
    </w:p>
    <w:p>
      <w:pPr>
        <w:sectPr>
          <w:pgSz w:w="11900" w:h="16838" w:orient="portrait"/>
          <w:cols w:equalWidth="0" w:num="1">
            <w:col w:w="11240"/>
          </w:cols>
          <w:pgMar w:left="240" w:top="459" w:right="4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Participation in this Offering</w:t>
      </w:r>
    </w:p>
    <w:p>
      <w:pPr>
        <w:spacing w:after="0" w:line="121"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32406B"/>
        </w:rPr>
        <w:t>Certain of our existing stockholders, including certain affiliates of our directors, have agreed to purchase an aggregate of approximately $23 million of shares of our common stock in this offering at the initial public offering price.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Indemnification Agreements</w:t>
      </w:r>
    </w:p>
    <w:p>
      <w:pPr>
        <w:spacing w:after="0" w:line="121"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32406B"/>
        </w:rPr>
        <w:t>In connection with this offering, we intend to enter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Policies for Approval of Related Party Transactions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Our board of directors reviews and approves transactions with directors, officers and holders of five percent or more of our voting securities and their affiliates, each a related party. Prior to this offering, the 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In connection with this offering, we have adopted a written related party transactions policy that such transactions must be approved by our audit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committee. This policy became effective on the date on which the registration statement of which this prospectus is part is declared effective by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SEC. Pursuant to this policy, the audit committee has the primary responsibility for reviewing and approving or disapproving “related party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transactions,” which are transactions between us and related persons in which the aggregate amount involved exceeds or may be expected to exceed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$120,000 and in which a related person has or will have a direct or indirect material interest. For purposes of this policy, a related person will be defined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as a director, executive officer, nominee for director, or greater than 5% beneficial owner of our common stock, in each case since the beginning of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most recently completed year, and their immediate family members.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147</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PRINCIPAL STOCKHOLDERS</w:t>
      </w:r>
    </w:p>
    <w:p>
      <w:pPr>
        <w:spacing w:after="0" w:line="22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32406B"/>
        </w:rPr>
        <w:t>The following table sets forth certain information known to us regarding beneficial ownership of our capital stock as of June 1, 2018, as adjusted to reflect the sale of common stock offered by us in this offering, for:</w:t>
      </w:r>
    </w:p>
    <w:p>
      <w:pPr>
        <w:spacing w:after="0" w:line="76" w:lineRule="exact"/>
        <w:rPr>
          <w:sz w:val="20"/>
          <w:szCs w:val="20"/>
          <w:color w:val="auto"/>
        </w:rPr>
      </w:pPr>
    </w:p>
    <w:p>
      <w:pPr>
        <w:ind w:left="1060" w:hanging="424"/>
        <w:spacing w:after="0"/>
        <w:tabs>
          <w:tab w:leader="none" w:pos="106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each person or group of affiliated persons known by us to be the beneficial owner of more than five percent of our capital stock;</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each of our named executive officers;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each of our directors;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all of our executive officers and directors as a group.</w:t>
      </w:r>
    </w:p>
    <w:p>
      <w:pPr>
        <w:spacing w:after="0" w:line="22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and includes securities that the individual or entity has the right to acquire, such as through the exercise of stock options, within 60 days of June 1, 2018. Except as noted by footnote, and subject to community property laws where applicable, we believe, based on the information provided to us, that the persons and entities named in the table below have sole voting and investment power with respect to all common stock shown as beneficially owned by them.</w:t>
      </w:r>
    </w:p>
    <w:p>
      <w:pPr>
        <w:spacing w:after="0" w:line="193"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32406B"/>
        </w:rPr>
        <w:t>Certain of our existing stockholders, including certain affiliates of our directors, have agreed to purchase an aggregate of approximately $23 million of shares of our common stock in this offering at the initial public offering price. The table below does not give effect to the purchases by such stockholders in this offering.</w:t>
      </w:r>
    </w:p>
    <w:p>
      <w:pPr>
        <w:spacing w:after="0" w:line="181"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32406B"/>
        </w:rPr>
        <w:t>The percentage of beneficial ownership prior to this offering in the table below is based on 17,901,686 shares of common stock deemed to be outstanding as of June 1, 2018, assuming the conversion of all outstanding shares of our preferred stock upon the closing of this offering into an aggregate of 15,320,213 shares of common stock upon the completion of this offering, and the percentage of beneficial ownership at this offering in the table below is based on 23,149,644 shares of common stock assumed to be outstanding after the closing of the offering. The information in the table below assumes no exercise of the underwriters’ option to purchase additional shares.</w:t>
      </w:r>
    </w:p>
    <w:p>
      <w:pPr>
        <w:spacing w:after="0" w:line="17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32406B"/>
        </w:rPr>
        <w:t>Except as otherwise noted below, the address for persons listed in the table is c/o AVROBIO, Inc., One Kendall Square, Building 300, Suite 201, Cambridge, MA 02139.</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32406B"/>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32406B"/>
                <w:w w:val="99"/>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32406B"/>
              </w:rPr>
              <w:t>BENEFICIALLY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32406B"/>
              </w:rPr>
              <w:t>NUMBER OF SHARES</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32406B"/>
              </w:rPr>
              <w:t>OWNED</w:t>
            </w:r>
          </w:p>
        </w:tc>
        <w:tc>
          <w:tcPr>
            <w:tcW w:w="0" w:type="dxa"/>
            <w:vAlign w:val="bottom"/>
          </w:tcPr>
          <w:p>
            <w:pPr>
              <w:spacing w:after="0"/>
              <w:rPr>
                <w:sz w:val="1"/>
                <w:szCs w:val="1"/>
                <w:color w:val="auto"/>
              </w:rPr>
            </w:pPr>
          </w:p>
        </w:tc>
      </w:tr>
      <w:tr>
        <w:trPr>
          <w:trHeight w:val="119"/>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NAME AND ADDRESS OF BENEFICIAL OWNER</w:t>
            </w:r>
          </w:p>
        </w:tc>
        <w:tc>
          <w:tcPr>
            <w:tcW w:w="2920" w:type="dxa"/>
            <w:vAlign w:val="bottom"/>
            <w:gridSpan w:val="2"/>
          </w:tcPr>
          <w:p>
            <w:pPr>
              <w:jc w:val="center"/>
              <w:ind w:left="1153"/>
              <w:spacing w:after="0" w:line="119" w:lineRule="exact"/>
              <w:rPr>
                <w:sz w:val="20"/>
                <w:szCs w:val="20"/>
                <w:color w:val="auto"/>
              </w:rPr>
            </w:pPr>
            <w:r>
              <w:rPr>
                <w:rFonts w:ascii="Arial" w:cs="Arial" w:eastAsia="Arial" w:hAnsi="Arial"/>
                <w:sz w:val="13"/>
                <w:szCs w:val="13"/>
                <w:b w:val="1"/>
                <w:bCs w:val="1"/>
                <w:color w:val="32406B"/>
              </w:rPr>
              <w:t>BENEFICIALLY OWNED</w:t>
            </w:r>
          </w:p>
        </w:tc>
        <w:tc>
          <w:tcPr>
            <w:tcW w:w="760" w:type="dxa"/>
            <w:vAlign w:val="bottom"/>
          </w:tcPr>
          <w:p>
            <w:pPr>
              <w:spacing w:after="0"/>
              <w:rPr>
                <w:sz w:val="10"/>
                <w:szCs w:val="10"/>
                <w:color w:val="auto"/>
              </w:rPr>
            </w:pPr>
          </w:p>
        </w:tc>
        <w:tc>
          <w:tcPr>
            <w:tcW w:w="920" w:type="dxa"/>
            <w:vAlign w:val="bottom"/>
            <w:tcBorders>
              <w:top w:val="single" w:sz="8" w:color="auto"/>
            </w:tcBorders>
          </w:tcPr>
          <w:p>
            <w:pPr>
              <w:jc w:val="right"/>
              <w:ind w:right="162"/>
              <w:spacing w:after="0" w:line="119" w:lineRule="exact"/>
              <w:rPr>
                <w:sz w:val="20"/>
                <w:szCs w:val="20"/>
                <w:color w:val="auto"/>
              </w:rPr>
            </w:pPr>
            <w:r>
              <w:rPr>
                <w:rFonts w:ascii="Arial" w:cs="Arial" w:eastAsia="Arial" w:hAnsi="Arial"/>
                <w:sz w:val="13"/>
                <w:szCs w:val="13"/>
                <w:b w:val="1"/>
                <w:bCs w:val="1"/>
                <w:color w:val="32406B"/>
              </w:rPr>
              <w:t>BEFORE</w:t>
            </w:r>
          </w:p>
        </w:tc>
        <w:tc>
          <w:tcPr>
            <w:tcW w:w="1500" w:type="dxa"/>
            <w:vAlign w:val="bottom"/>
            <w:tcBorders>
              <w:top w:val="single" w:sz="8" w:color="auto"/>
            </w:tcBorders>
          </w:tcPr>
          <w:p>
            <w:pPr>
              <w:jc w:val="right"/>
              <w:ind w:right="56"/>
              <w:spacing w:after="0" w:line="119" w:lineRule="exact"/>
              <w:rPr>
                <w:sz w:val="20"/>
                <w:szCs w:val="20"/>
                <w:color w:val="auto"/>
              </w:rPr>
            </w:pPr>
            <w:r>
              <w:rPr>
                <w:rFonts w:ascii="Arial" w:cs="Arial" w:eastAsia="Arial" w:hAnsi="Arial"/>
                <w:sz w:val="13"/>
                <w:szCs w:val="13"/>
                <w:b w:val="1"/>
                <w:bCs w:val="1"/>
                <w:color w:val="32406B"/>
              </w:rPr>
              <w:t>AFTER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720" w:type="dxa"/>
            <w:vAlign w:val="bottom"/>
            <w:gridSpan w:val="3"/>
            <w:vMerge w:val="continue"/>
          </w:tcPr>
          <w:p>
            <w:pPr>
              <w:spacing w:after="0"/>
              <w:rPr>
                <w:sz w:val="15"/>
                <w:szCs w:val="15"/>
                <w:color w:val="auto"/>
              </w:rPr>
            </w:pPr>
          </w:p>
        </w:tc>
        <w:tc>
          <w:tcPr>
            <w:tcW w:w="124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32406B"/>
              </w:rPr>
              <w:t>PRIOR TO OFFERING</w:t>
            </w:r>
          </w:p>
        </w:tc>
        <w:tc>
          <w:tcPr>
            <w:tcW w:w="1680" w:type="dxa"/>
            <w:vAlign w:val="bottom"/>
            <w:gridSpan w:val="2"/>
          </w:tcPr>
          <w:p>
            <w:pPr>
              <w:jc w:val="right"/>
              <w:ind w:right="82"/>
              <w:spacing w:after="0"/>
              <w:rPr>
                <w:sz w:val="20"/>
                <w:szCs w:val="20"/>
                <w:color w:val="auto"/>
              </w:rPr>
            </w:pPr>
            <w:r>
              <w:rPr>
                <w:rFonts w:ascii="Arial" w:cs="Arial" w:eastAsia="Arial" w:hAnsi="Arial"/>
                <w:sz w:val="14"/>
                <w:szCs w:val="14"/>
                <w:b w:val="1"/>
                <w:bCs w:val="1"/>
                <w:color w:val="32406B"/>
              </w:rPr>
              <w:t>OFFERING</w:t>
            </w:r>
          </w:p>
        </w:tc>
        <w:tc>
          <w:tcPr>
            <w:tcW w:w="1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32406B"/>
              </w:rPr>
              <w:t>OFFERING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32406B"/>
              </w:rPr>
              <w:t>5% Stockholders:</w:t>
            </w:r>
          </w:p>
        </w:tc>
        <w:tc>
          <w:tcPr>
            <w:tcW w:w="14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Arial" w:cs="Arial" w:eastAsia="Arial" w:hAnsi="Arial"/>
                <w:sz w:val="18"/>
                <w:szCs w:val="18"/>
                <w:color w:val="32406B"/>
              </w:rPr>
              <w:t>Atlas Venture Fund X, L.P.</w:t>
            </w:r>
            <w:r>
              <w:rPr>
                <w:rFonts w:ascii="Arial" w:cs="Arial" w:eastAsia="Arial" w:hAnsi="Arial"/>
                <w:sz w:val="15"/>
                <w:szCs w:val="15"/>
                <w:color w:val="32406B"/>
              </w:rPr>
              <w:t>(1)</w:t>
            </w:r>
          </w:p>
        </w:tc>
        <w:tc>
          <w:tcPr>
            <w:tcW w:w="2920" w:type="dxa"/>
            <w:vAlign w:val="bottom"/>
            <w:gridSpan w:val="2"/>
          </w:tcPr>
          <w:p>
            <w:pPr>
              <w:jc w:val="right"/>
              <w:spacing w:after="0"/>
              <w:rPr>
                <w:sz w:val="20"/>
                <w:szCs w:val="20"/>
                <w:color w:val="auto"/>
              </w:rPr>
            </w:pPr>
            <w:r>
              <w:rPr>
                <w:rFonts w:ascii="Arial" w:cs="Arial" w:eastAsia="Arial" w:hAnsi="Arial"/>
                <w:sz w:val="18"/>
                <w:szCs w:val="18"/>
                <w:color w:val="32406B"/>
              </w:rPr>
              <w:t>4,756,478</w:t>
            </w:r>
          </w:p>
        </w:tc>
        <w:tc>
          <w:tcPr>
            <w:tcW w:w="1680" w:type="dxa"/>
            <w:vAlign w:val="bottom"/>
            <w:gridSpan w:val="2"/>
          </w:tcPr>
          <w:p>
            <w:pPr>
              <w:jc w:val="right"/>
              <w:spacing w:after="0"/>
              <w:rPr>
                <w:sz w:val="20"/>
                <w:szCs w:val="20"/>
                <w:color w:val="auto"/>
              </w:rPr>
            </w:pPr>
            <w:r>
              <w:rPr>
                <w:rFonts w:ascii="Arial" w:cs="Arial" w:eastAsia="Arial" w:hAnsi="Arial"/>
                <w:sz w:val="18"/>
                <w:szCs w:val="18"/>
                <w:color w:val="32406B"/>
              </w:rPr>
              <w:t>26.57%</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32406B"/>
              </w:rPr>
              <w:t>20.55%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Clarus Life Sciences III, L.P.</w:t>
            </w:r>
            <w:r>
              <w:rPr>
                <w:rFonts w:ascii="Arial" w:cs="Arial" w:eastAsia="Arial" w:hAnsi="Arial"/>
                <w:sz w:val="15"/>
                <w:szCs w:val="15"/>
                <w:color w:val="32406B"/>
              </w:rPr>
              <w:t>(2)</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2,962,325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16.55%</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Arial" w:cs="Arial" w:eastAsia="Arial" w:hAnsi="Arial"/>
                <w:sz w:val="18"/>
                <w:szCs w:val="18"/>
                <w:color w:val="32406B"/>
              </w:rPr>
              <w:t>Affiliates of SV Life Sciences Fund</w:t>
            </w:r>
            <w:r>
              <w:rPr>
                <w:rFonts w:ascii="Arial" w:cs="Arial" w:eastAsia="Arial" w:hAnsi="Arial"/>
                <w:sz w:val="15"/>
                <w:szCs w:val="15"/>
                <w:color w:val="32406B"/>
              </w:rPr>
              <w:t>(3)</w:t>
            </w:r>
          </w:p>
        </w:tc>
        <w:tc>
          <w:tcPr>
            <w:tcW w:w="2920" w:type="dxa"/>
            <w:vAlign w:val="bottom"/>
            <w:gridSpan w:val="2"/>
          </w:tcPr>
          <w:p>
            <w:pPr>
              <w:jc w:val="right"/>
              <w:spacing w:after="0"/>
              <w:rPr>
                <w:sz w:val="20"/>
                <w:szCs w:val="20"/>
                <w:color w:val="auto"/>
              </w:rPr>
            </w:pPr>
            <w:r>
              <w:rPr>
                <w:rFonts w:ascii="Arial" w:cs="Arial" w:eastAsia="Arial" w:hAnsi="Arial"/>
                <w:sz w:val="18"/>
                <w:szCs w:val="18"/>
                <w:color w:val="32406B"/>
              </w:rPr>
              <w:t>2,736,027</w:t>
            </w:r>
          </w:p>
        </w:tc>
        <w:tc>
          <w:tcPr>
            <w:tcW w:w="1680" w:type="dxa"/>
            <w:vAlign w:val="bottom"/>
            <w:gridSpan w:val="2"/>
          </w:tcPr>
          <w:p>
            <w:pPr>
              <w:jc w:val="right"/>
              <w:spacing w:after="0"/>
              <w:rPr>
                <w:sz w:val="20"/>
                <w:szCs w:val="20"/>
                <w:color w:val="auto"/>
              </w:rPr>
            </w:pPr>
            <w:r>
              <w:rPr>
                <w:rFonts w:ascii="Arial" w:cs="Arial" w:eastAsia="Arial" w:hAnsi="Arial"/>
                <w:sz w:val="18"/>
                <w:szCs w:val="18"/>
                <w:color w:val="32406B"/>
              </w:rPr>
              <w:t>15.28%</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32406B"/>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Citadel Multi-Strategy Equities Master Fund Ltd</w:t>
            </w:r>
            <w:r>
              <w:rPr>
                <w:rFonts w:ascii="Arial" w:cs="Arial" w:eastAsia="Arial" w:hAnsi="Arial"/>
                <w:sz w:val="15"/>
                <w:szCs w:val="15"/>
                <w:color w:val="32406B"/>
              </w:rPr>
              <w:t>(4)</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1,357,783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7.58%</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Arial" w:cs="Arial" w:eastAsia="Arial" w:hAnsi="Arial"/>
                <w:sz w:val="18"/>
                <w:szCs w:val="18"/>
                <w:color w:val="32406B"/>
              </w:rPr>
              <w:t>Affiliates of Cormorant</w:t>
            </w:r>
            <w:r>
              <w:rPr>
                <w:rFonts w:ascii="Arial" w:cs="Arial" w:eastAsia="Arial" w:hAnsi="Arial"/>
                <w:sz w:val="15"/>
                <w:szCs w:val="15"/>
                <w:color w:val="32406B"/>
              </w:rPr>
              <w:t>(5)</w:t>
            </w:r>
          </w:p>
        </w:tc>
        <w:tc>
          <w:tcPr>
            <w:tcW w:w="2920" w:type="dxa"/>
            <w:vAlign w:val="bottom"/>
            <w:gridSpan w:val="2"/>
          </w:tcPr>
          <w:p>
            <w:pPr>
              <w:jc w:val="right"/>
              <w:spacing w:after="0"/>
              <w:rPr>
                <w:sz w:val="20"/>
                <w:szCs w:val="20"/>
                <w:color w:val="auto"/>
              </w:rPr>
            </w:pPr>
            <w:r>
              <w:rPr>
                <w:rFonts w:ascii="Arial" w:cs="Arial" w:eastAsia="Arial" w:hAnsi="Arial"/>
                <w:sz w:val="18"/>
                <w:szCs w:val="18"/>
                <w:color w:val="32406B"/>
              </w:rPr>
              <w:t>1,357,781</w:t>
            </w:r>
          </w:p>
        </w:tc>
        <w:tc>
          <w:tcPr>
            <w:tcW w:w="1680" w:type="dxa"/>
            <w:vAlign w:val="bottom"/>
            <w:gridSpan w:val="2"/>
          </w:tcPr>
          <w:p>
            <w:pPr>
              <w:jc w:val="right"/>
              <w:spacing w:after="0"/>
              <w:rPr>
                <w:sz w:val="20"/>
                <w:szCs w:val="20"/>
                <w:color w:val="auto"/>
              </w:rPr>
            </w:pPr>
            <w:r>
              <w:rPr>
                <w:rFonts w:ascii="Arial" w:cs="Arial" w:eastAsia="Arial" w:hAnsi="Arial"/>
                <w:sz w:val="18"/>
                <w:szCs w:val="18"/>
                <w:color w:val="32406B"/>
              </w:rPr>
              <w:t>7.58%</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32406B"/>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Named Executive Officers and Directors:</w:t>
            </w: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Arial" w:cs="Arial" w:eastAsia="Arial" w:hAnsi="Arial"/>
                <w:sz w:val="18"/>
                <w:szCs w:val="18"/>
                <w:color w:val="32406B"/>
              </w:rPr>
              <w:t>Geoff MacKay</w:t>
            </w:r>
            <w:r>
              <w:rPr>
                <w:rFonts w:ascii="Arial" w:cs="Arial" w:eastAsia="Arial" w:hAnsi="Arial"/>
                <w:sz w:val="15"/>
                <w:szCs w:val="15"/>
                <w:color w:val="32406B"/>
              </w:rPr>
              <w:t>(6)</w:t>
            </w:r>
          </w:p>
        </w:tc>
        <w:tc>
          <w:tcPr>
            <w:tcW w:w="2920" w:type="dxa"/>
            <w:vAlign w:val="bottom"/>
            <w:gridSpan w:val="2"/>
          </w:tcPr>
          <w:p>
            <w:pPr>
              <w:jc w:val="right"/>
              <w:spacing w:after="0"/>
              <w:rPr>
                <w:sz w:val="20"/>
                <w:szCs w:val="20"/>
                <w:color w:val="auto"/>
              </w:rPr>
            </w:pPr>
            <w:r>
              <w:rPr>
                <w:rFonts w:ascii="Arial" w:cs="Arial" w:eastAsia="Arial" w:hAnsi="Arial"/>
                <w:sz w:val="18"/>
                <w:szCs w:val="18"/>
                <w:color w:val="32406B"/>
              </w:rPr>
              <w:t>687,069</w:t>
            </w:r>
          </w:p>
        </w:tc>
        <w:tc>
          <w:tcPr>
            <w:tcW w:w="1680" w:type="dxa"/>
            <w:vAlign w:val="bottom"/>
            <w:gridSpan w:val="2"/>
          </w:tcPr>
          <w:p>
            <w:pPr>
              <w:jc w:val="right"/>
              <w:spacing w:after="0"/>
              <w:rPr>
                <w:sz w:val="20"/>
                <w:szCs w:val="20"/>
                <w:color w:val="auto"/>
              </w:rPr>
            </w:pPr>
            <w:r>
              <w:rPr>
                <w:rFonts w:ascii="Arial" w:cs="Arial" w:eastAsia="Arial" w:hAnsi="Arial"/>
                <w:sz w:val="18"/>
                <w:szCs w:val="18"/>
                <w:color w:val="32406B"/>
              </w:rPr>
              <w:t>3.81%</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32406B"/>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Katina Dorton</w:t>
            </w: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32406B"/>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Arial" w:cs="Arial" w:eastAsia="Arial" w:hAnsi="Arial"/>
                <w:sz w:val="18"/>
                <w:szCs w:val="18"/>
                <w:color w:val="32406B"/>
              </w:rPr>
              <w:t>Nerissa Kreher, M.D.</w:t>
            </w:r>
            <w:r>
              <w:rPr>
                <w:rFonts w:ascii="Arial" w:cs="Arial" w:eastAsia="Arial" w:hAnsi="Arial"/>
                <w:sz w:val="15"/>
                <w:szCs w:val="15"/>
                <w:color w:val="32406B"/>
              </w:rPr>
              <w:t>(7)</w:t>
            </w:r>
          </w:p>
        </w:tc>
        <w:tc>
          <w:tcPr>
            <w:tcW w:w="2920" w:type="dxa"/>
            <w:vAlign w:val="bottom"/>
            <w:gridSpan w:val="2"/>
          </w:tcPr>
          <w:p>
            <w:pPr>
              <w:jc w:val="right"/>
              <w:spacing w:after="0"/>
              <w:rPr>
                <w:sz w:val="20"/>
                <w:szCs w:val="20"/>
                <w:color w:val="auto"/>
              </w:rPr>
            </w:pPr>
            <w:r>
              <w:rPr>
                <w:rFonts w:ascii="Arial" w:cs="Arial" w:eastAsia="Arial" w:hAnsi="Arial"/>
                <w:sz w:val="18"/>
                <w:szCs w:val="18"/>
                <w:color w:val="32406B"/>
              </w:rPr>
              <w:t>45,054</w:t>
            </w:r>
          </w:p>
        </w:tc>
        <w:tc>
          <w:tcPr>
            <w:tcW w:w="16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500" w:type="dxa"/>
            <w:vAlign w:val="bottom"/>
          </w:tcPr>
          <w:p>
            <w:pPr>
              <w:jc w:val="right"/>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Bruce Booth, D.Phil.</w:t>
            </w: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32406B"/>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jc w:val="right"/>
              <w:ind w:right="233"/>
              <w:spacing w:after="0"/>
              <w:rPr>
                <w:sz w:val="20"/>
                <w:szCs w:val="20"/>
                <w:color w:val="auto"/>
              </w:rPr>
            </w:pPr>
            <w:r>
              <w:rPr>
                <w:rFonts w:ascii="Arial" w:cs="Arial" w:eastAsia="Arial" w:hAnsi="Arial"/>
                <w:sz w:val="18"/>
                <w:szCs w:val="18"/>
                <w:color w:val="32406B"/>
              </w:rPr>
              <w:t>148</w:t>
            </w: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32406B"/>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3"/>
          </w:tcPr>
          <w:p>
            <w:pPr>
              <w:jc w:val="center"/>
              <w:ind w:right="1140"/>
              <w:spacing w:after="0" w:line="149" w:lineRule="exact"/>
              <w:rPr>
                <w:sz w:val="20"/>
                <w:szCs w:val="20"/>
                <w:color w:val="auto"/>
              </w:rPr>
            </w:pPr>
            <w:r>
              <w:rPr>
                <w:rFonts w:ascii="Arial" w:cs="Arial" w:eastAsia="Arial" w:hAnsi="Arial"/>
                <w:sz w:val="14"/>
                <w:szCs w:val="14"/>
                <w:b w:val="1"/>
                <w:bCs w:val="1"/>
                <w:color w:val="32406B"/>
                <w:w w:val="99"/>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32406B"/>
              </w:rPr>
              <w:t>BENEFICIALLY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32406B"/>
              </w:rPr>
              <w:t>NUMBER OF SHARES</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32406B"/>
              </w:rPr>
              <w:t>OWNED</w:t>
            </w:r>
          </w:p>
        </w:tc>
        <w:tc>
          <w:tcPr>
            <w:tcW w:w="0" w:type="dxa"/>
            <w:vAlign w:val="bottom"/>
          </w:tcPr>
          <w:p>
            <w:pPr>
              <w:spacing w:after="0"/>
              <w:rPr>
                <w:sz w:val="1"/>
                <w:szCs w:val="1"/>
                <w:color w:val="auto"/>
              </w:rPr>
            </w:pPr>
          </w:p>
        </w:tc>
      </w:tr>
      <w:tr>
        <w:trPr>
          <w:trHeight w:val="119"/>
        </w:trPr>
        <w:tc>
          <w:tcPr>
            <w:tcW w:w="530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NAME AND ADDRESS OF BENEFICIAL OWNER</w:t>
            </w:r>
          </w:p>
        </w:tc>
        <w:tc>
          <w:tcPr>
            <w:tcW w:w="2260" w:type="dxa"/>
            <w:vAlign w:val="bottom"/>
            <w:gridSpan w:val="2"/>
          </w:tcPr>
          <w:p>
            <w:pPr>
              <w:jc w:val="center"/>
              <w:ind w:left="498"/>
              <w:spacing w:after="0" w:line="119" w:lineRule="exact"/>
              <w:rPr>
                <w:sz w:val="20"/>
                <w:szCs w:val="20"/>
                <w:color w:val="auto"/>
              </w:rPr>
            </w:pPr>
            <w:r>
              <w:rPr>
                <w:rFonts w:ascii="Arial" w:cs="Arial" w:eastAsia="Arial" w:hAnsi="Arial"/>
                <w:sz w:val="13"/>
                <w:szCs w:val="13"/>
                <w:b w:val="1"/>
                <w:bCs w:val="1"/>
                <w:color w:val="32406B"/>
              </w:rPr>
              <w:t>BENEFICIALLY OWNED</w:t>
            </w:r>
          </w:p>
        </w:tc>
        <w:tc>
          <w:tcPr>
            <w:tcW w:w="80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240"/>
              <w:spacing w:after="0" w:line="119" w:lineRule="exact"/>
              <w:rPr>
                <w:sz w:val="20"/>
                <w:szCs w:val="20"/>
                <w:color w:val="auto"/>
              </w:rPr>
            </w:pPr>
            <w:r>
              <w:rPr>
                <w:rFonts w:ascii="Arial" w:cs="Arial" w:eastAsia="Arial" w:hAnsi="Arial"/>
                <w:sz w:val="13"/>
                <w:szCs w:val="13"/>
                <w:b w:val="1"/>
                <w:bCs w:val="1"/>
                <w:color w:val="32406B"/>
              </w:rPr>
              <w:t>BEFORE</w:t>
            </w:r>
          </w:p>
        </w:tc>
        <w:tc>
          <w:tcPr>
            <w:tcW w:w="7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32406B"/>
              </w:rPr>
              <w:t>AFTER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30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32406B"/>
              </w:rPr>
              <w:t>PRIOR TO OFFERING</w:t>
            </w:r>
          </w:p>
        </w:tc>
        <w:tc>
          <w:tcPr>
            <w:tcW w:w="1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32406B"/>
              </w:rPr>
              <w:t>OFFERING</w:t>
            </w:r>
          </w:p>
        </w:tc>
        <w:tc>
          <w:tcPr>
            <w:tcW w:w="1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32406B"/>
              </w:rPr>
              <w:t>OFFERING</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40" w:type="dxa"/>
            <w:vAlign w:val="bottom"/>
            <w:tcBorders>
              <w:top w:val="single" w:sz="8" w:color="auto"/>
            </w:tcBorders>
            <w:shd w:val="clear" w:color="auto" w:fill="CCEEFF"/>
          </w:tcPr>
          <w:p>
            <w:pPr>
              <w:ind w:left="340"/>
              <w:spacing w:after="0" w:line="189" w:lineRule="exact"/>
              <w:rPr>
                <w:sz w:val="20"/>
                <w:szCs w:val="20"/>
                <w:color w:val="auto"/>
              </w:rPr>
            </w:pPr>
            <w:r>
              <w:rPr>
                <w:rFonts w:ascii="Arial" w:cs="Arial" w:eastAsia="Arial" w:hAnsi="Arial"/>
                <w:sz w:val="18"/>
                <w:szCs w:val="18"/>
                <w:color w:val="32406B"/>
              </w:rPr>
              <w:t>Ian T. Clark</w:t>
            </w:r>
          </w:p>
        </w:tc>
        <w:tc>
          <w:tcPr>
            <w:tcW w:w="20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32406B"/>
              </w:rPr>
              <w:t>—</w:t>
            </w:r>
          </w:p>
        </w:tc>
        <w:tc>
          <w:tcPr>
            <w:tcW w:w="8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32406B"/>
              </w:rPr>
              <w:t>—</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32406B"/>
              </w:rPr>
              <w:t>—</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32406B"/>
              </w:rPr>
              <w:t>Phillip Donenberg</w:t>
            </w:r>
          </w:p>
        </w:tc>
        <w:tc>
          <w:tcPr>
            <w:tcW w:w="5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32406B"/>
              </w:rPr>
              <w:t>—</w:t>
            </w:r>
          </w:p>
        </w:tc>
        <w:tc>
          <w:tcPr>
            <w:tcW w:w="8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32406B"/>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Annalisa Jenkins, M.B.B.S., F.R.C.P.</w:t>
            </w: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w:t>
            </w: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32406B"/>
              </w:rPr>
              <w:t>Christopher Paige, Ph.D.</w:t>
            </w:r>
          </w:p>
        </w:tc>
        <w:tc>
          <w:tcPr>
            <w:tcW w:w="2260" w:type="dxa"/>
            <w:vAlign w:val="bottom"/>
            <w:gridSpan w:val="2"/>
          </w:tcPr>
          <w:p>
            <w:pPr>
              <w:jc w:val="right"/>
              <w:spacing w:after="0"/>
              <w:rPr>
                <w:sz w:val="20"/>
                <w:szCs w:val="20"/>
                <w:color w:val="auto"/>
              </w:rPr>
            </w:pPr>
            <w:r>
              <w:rPr>
                <w:rFonts w:ascii="Arial" w:cs="Arial" w:eastAsia="Arial" w:hAnsi="Arial"/>
                <w:sz w:val="18"/>
                <w:szCs w:val="18"/>
                <w:color w:val="32406B"/>
              </w:rPr>
              <w:t>287,512</w:t>
            </w: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32406B"/>
              </w:rPr>
              <w:t>1.61%</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32406B"/>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Scott G. Requadt</w:t>
            </w: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w:t>
            </w: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32406B"/>
              </w:rPr>
              <w:t>Joshua Resnick, M.D.</w:t>
            </w:r>
          </w:p>
        </w:tc>
        <w:tc>
          <w:tcPr>
            <w:tcW w:w="5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32406B"/>
              </w:rPr>
              <w:t>—</w:t>
            </w:r>
          </w:p>
        </w:tc>
        <w:tc>
          <w:tcPr>
            <w:tcW w:w="8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32406B"/>
              </w:rPr>
              <w:t>—</w:t>
            </w:r>
          </w:p>
        </w:tc>
        <w:tc>
          <w:tcPr>
            <w:tcW w:w="7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w w:val="99"/>
              </w:rPr>
              <w:t xml:space="preserve">All executive officers and directors as a group (10 persons) </w:t>
            </w:r>
            <w:r>
              <w:rPr>
                <w:rFonts w:ascii="Arial" w:cs="Arial" w:eastAsia="Arial" w:hAnsi="Arial"/>
                <w:sz w:val="15"/>
                <w:szCs w:val="15"/>
                <w:b w:val="1"/>
                <w:bCs w:val="1"/>
                <w:color w:val="32406B"/>
                <w:w w:val="99"/>
              </w:rPr>
              <w:t>(8)</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1,019,635</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5.64%</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4.40%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88"/>
        </w:numPr>
        <w:rPr>
          <w:rFonts w:ascii="Arial" w:cs="Arial" w:eastAsia="Arial" w:hAnsi="Arial"/>
          <w:sz w:val="18"/>
          <w:szCs w:val="18"/>
          <w:color w:val="32406B"/>
        </w:rPr>
      </w:pPr>
      <w:r>
        <w:rPr>
          <w:rFonts w:ascii="Arial" w:cs="Arial" w:eastAsia="Arial" w:hAnsi="Arial"/>
          <w:sz w:val="18"/>
          <w:szCs w:val="18"/>
          <w:color w:val="32406B"/>
        </w:rPr>
        <w:t>Less than 1%</w:t>
      </w:r>
    </w:p>
    <w:p>
      <w:pPr>
        <w:spacing w:after="0" w:line="23" w:lineRule="exact"/>
        <w:rPr>
          <w:sz w:val="20"/>
          <w:szCs w:val="20"/>
          <w:color w:val="auto"/>
        </w:rPr>
      </w:pPr>
    </w:p>
    <w:p>
      <w:pPr>
        <w:ind w:left="640" w:right="180" w:hanging="436"/>
        <w:spacing w:after="0" w:line="281" w:lineRule="auto"/>
        <w:tabs>
          <w:tab w:leader="none" w:pos="640" w:val="left"/>
        </w:tabs>
        <w:numPr>
          <w:ilvl w:val="0"/>
          <w:numId w:val="89"/>
        </w:numPr>
        <w:rPr>
          <w:rFonts w:ascii="Arial" w:cs="Arial" w:eastAsia="Arial" w:hAnsi="Arial"/>
          <w:sz w:val="16"/>
          <w:szCs w:val="16"/>
          <w:color w:val="32406B"/>
        </w:rPr>
      </w:pPr>
      <w:r>
        <w:rPr>
          <w:rFonts w:ascii="Arial" w:cs="Arial" w:eastAsia="Arial" w:hAnsi="Arial"/>
          <w:sz w:val="16"/>
          <w:szCs w:val="16"/>
          <w:color w:val="32406B"/>
        </w:rPr>
        <w:t>Consists of (i) 806,711 shares of common stock issuable upon conversion of Series Seed preferred stock, (ii) 3,044,578 shares of common stock issuable upon conversion of Series A preferred stock and (iii) 905,189 shares of common stock issuable upon conversion of Series B preferred stock. All shares are held directly by Atlas Venture Fund X, L.P., or Atlas Venture X. Atlas Venture Associates X, L.P., or AVA X LP, is the general partner of Atlas Venture X, and Atlas Venture Associates X, LLC, or AVA X LLC, is the general partner of AVA X LP. Bruce Booth is a member of AVA X LLC and a member of our board of directors. Dr. Booth disclaims beneficial ownership of such shares, except to the extent of his proportionate pecuniary interest therein, if any. The address for Atlas Venture X is 25 First Street, Suite 303, Cambridge, MA 02141.</w:t>
      </w:r>
    </w:p>
    <w:p>
      <w:pPr>
        <w:spacing w:after="0" w:line="4" w:lineRule="exact"/>
        <w:rPr>
          <w:rFonts w:ascii="Arial" w:cs="Arial" w:eastAsia="Arial" w:hAnsi="Arial"/>
          <w:sz w:val="16"/>
          <w:szCs w:val="16"/>
          <w:color w:val="32406B"/>
        </w:rPr>
      </w:pPr>
    </w:p>
    <w:p>
      <w:pPr>
        <w:ind w:left="640" w:right="20" w:hanging="436"/>
        <w:spacing w:after="0" w:line="265" w:lineRule="auto"/>
        <w:tabs>
          <w:tab w:leader="none" w:pos="640" w:val="left"/>
        </w:tabs>
        <w:numPr>
          <w:ilvl w:val="0"/>
          <w:numId w:val="89"/>
        </w:numPr>
        <w:rPr>
          <w:rFonts w:ascii="Arial" w:cs="Arial" w:eastAsia="Arial" w:hAnsi="Arial"/>
          <w:sz w:val="17"/>
          <w:szCs w:val="17"/>
          <w:color w:val="32406B"/>
        </w:rPr>
      </w:pPr>
      <w:r>
        <w:rPr>
          <w:rFonts w:ascii="Arial" w:cs="Arial" w:eastAsia="Arial" w:hAnsi="Arial"/>
          <w:sz w:val="17"/>
          <w:szCs w:val="17"/>
          <w:color w:val="32406B"/>
        </w:rPr>
        <w:t>Consists of (i) 2,283,434 shares of common stock issuable upon conversion of Series A preferred stock and (ii) 678,892 shares of common stock issuable upon conversion of Series B preferred stock. All shares are held directly by Clarus Lifesciences III, L.P., or Clarus. Clarus Ventures III GP, L.P., or the GPLP, as the sole general partner of Clarus, may be deemed to beneficially own certain of the shares held by Clarus. The GPLP disclaims beneficial ownership of all shares held by Clarus in which the GPLP does not have an actual pecuniary interest. Clarus Ventures III, LLC, or the GPLLC, as the sole general partner of the GPLP, may be deemed to beneficially own certain of the shares held by Clarus. The GPLLC disclaims beneficial ownership of all shares held by Clarus in which it does not have an actual pecuniary interest. Each of Nicholas Galakatos, Dennis Henner, Robert Liptak, Scott Requadt, Nicholas Simon, and Kurt Wheeler, as individual managing directors of the GPLLC, may be deemed to beneficially own certain of the shares held of record by Clarus. Each of Messrs. Galakatos, Henner, Liptak, Requadt, Simon and Wheeler disclaims beneficial ownership of all shares held of record by Clarus in which he does not have an actual pecuniary interest. Scott G. Requadt is a member of the GPLLC and a member of our board of directors. Mr. Requadt disclaims beneficial ownership of such shares, except to the extent of his proportionate pecuniary interest therein, if any. The address for the entities is 101 Main Street, Suite 1210, Cambridge, MA 02142.</w:t>
      </w:r>
    </w:p>
    <w:p>
      <w:pPr>
        <w:spacing w:after="0" w:line="2" w:lineRule="exact"/>
        <w:rPr>
          <w:rFonts w:ascii="Arial" w:cs="Arial" w:eastAsia="Arial" w:hAnsi="Arial"/>
          <w:sz w:val="17"/>
          <w:szCs w:val="17"/>
          <w:color w:val="32406B"/>
        </w:rPr>
      </w:pPr>
    </w:p>
    <w:p>
      <w:pPr>
        <w:ind w:left="640" w:right="40" w:hanging="436"/>
        <w:spacing w:after="0" w:line="267" w:lineRule="auto"/>
        <w:tabs>
          <w:tab w:leader="none" w:pos="640" w:val="left"/>
        </w:tabs>
        <w:numPr>
          <w:ilvl w:val="0"/>
          <w:numId w:val="89"/>
        </w:numPr>
        <w:rPr>
          <w:rFonts w:ascii="Arial" w:cs="Arial" w:eastAsia="Arial" w:hAnsi="Arial"/>
          <w:sz w:val="17"/>
          <w:szCs w:val="17"/>
          <w:color w:val="32406B"/>
        </w:rPr>
      </w:pPr>
      <w:r>
        <w:rPr>
          <w:rFonts w:ascii="Arial" w:cs="Arial" w:eastAsia="Arial" w:hAnsi="Arial"/>
          <w:sz w:val="17"/>
          <w:szCs w:val="17"/>
          <w:color w:val="32406B"/>
        </w:rPr>
        <w:t>Consists of (i) 2,207,843 shares of common stock issuable upon conversion of shares of Series A preferred stock held of record by SV Life Sciences Fund VI, L.P., (ii) 75,590 shares of common stock issuable upon conversion of shares of Series A preferred stock held of record by SV Life Sciences Fund VI, Strategic Partners L.P., (iii) 437,611 shares of common stock issuable upon conversion of shares of Series B preferred stock held of record by SV Life Sciences Fund VI, L.P. and (iv) 14,983 shares of common stock issuable upon conversion of shares of Series B preferred stock held of record by SV Life Sciences Fund VI, Strategic Partners L.P. SV Health Investors, LLC is the Manager of SV Life Sciences Fund VI, L.P. and SV Life Sciences Fund VI Strategic Partners, L.P. SV Life Sciences Fund VI (GP), LP, or SV Fund VI GP, is the general partner of SV Life Sciences Fund VI, L.P. and SV Life Sciences Fund VI Strategic Partners, L.P. The general partner of SV Fund VI GP is SVLSF VI, LLC. The members of the investment committee of SVLSF VI, LLC are Kate Bingham, Thomas Flynn, James Garvey, Eugene D. Hill, III, Paul LaViolette, and Michael Ross. Each of SV Fund VI GP, SVLSF VI, LLC and the SVLSF VI, LLC investment committee disclaims beneficial ownership of the shares owned directly by SV Life Sciences Fund VI, L.P. and SV Life Sciences Fund VI Strategic Partners, L.P. except to the extent of any pecuniary interest therein. The address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149</w:t>
      </w:r>
    </w:p>
    <w:p>
      <w:pPr>
        <w:sectPr>
          <w:pgSz w:w="11900" w:h="16838" w:orient="portrait"/>
          <w:cols w:equalWidth="0" w:num="1">
            <w:col w:w="11240"/>
          </w:cols>
          <w:pgMar w:left="240" w:top="459" w:right="4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for each of the entities and individuals listed above is One Boston Place, Suite 3900, 201 Washington Street, Boston, Massachusetts 02108.</w:t>
      </w:r>
    </w:p>
    <w:p>
      <w:pPr>
        <w:spacing w:after="0" w:line="35" w:lineRule="exact"/>
        <w:rPr>
          <w:sz w:val="20"/>
          <w:szCs w:val="20"/>
          <w:color w:val="auto"/>
        </w:rPr>
      </w:pPr>
    </w:p>
    <w:p>
      <w:pPr>
        <w:ind w:left="640" w:right="500" w:hanging="436"/>
        <w:spacing w:after="0" w:line="250" w:lineRule="auto"/>
        <w:tabs>
          <w:tab w:leader="none" w:pos="640" w:val="left"/>
        </w:tabs>
        <w:numPr>
          <w:ilvl w:val="0"/>
          <w:numId w:val="90"/>
        </w:numPr>
        <w:rPr>
          <w:rFonts w:ascii="Arial" w:cs="Arial" w:eastAsia="Arial" w:hAnsi="Arial"/>
          <w:sz w:val="18"/>
          <w:szCs w:val="18"/>
          <w:color w:val="32406B"/>
        </w:rPr>
      </w:pPr>
      <w:r>
        <w:rPr>
          <w:rFonts w:ascii="Arial" w:cs="Arial" w:eastAsia="Arial" w:hAnsi="Arial"/>
          <w:sz w:val="18"/>
          <w:szCs w:val="18"/>
          <w:color w:val="32406B"/>
        </w:rPr>
        <w:t>Consists of 1,357,783 shares of common stock issuable upon conversion of Series B preferred stock. The address for Citadel Multi-Strategy Equities Master Fund Ltd. is c/o Citadel Advisors LLC, 601 Lexington Avenue, New York, NY 10022.</w:t>
      </w:r>
    </w:p>
    <w:p>
      <w:pPr>
        <w:ind w:left="640" w:right="60" w:hanging="436"/>
        <w:spacing w:after="0" w:line="281" w:lineRule="auto"/>
        <w:tabs>
          <w:tab w:leader="none" w:pos="640" w:val="left"/>
        </w:tabs>
        <w:numPr>
          <w:ilvl w:val="0"/>
          <w:numId w:val="90"/>
        </w:numPr>
        <w:rPr>
          <w:rFonts w:ascii="Arial" w:cs="Arial" w:eastAsia="Arial" w:hAnsi="Arial"/>
          <w:sz w:val="16"/>
          <w:szCs w:val="16"/>
          <w:color w:val="32406B"/>
        </w:rPr>
      </w:pPr>
      <w:r>
        <w:rPr>
          <w:rFonts w:ascii="Arial" w:cs="Arial" w:eastAsia="Arial" w:hAnsi="Arial"/>
          <w:sz w:val="16"/>
          <w:szCs w:val="16"/>
          <w:color w:val="32406B"/>
        </w:rPr>
        <w:t>Consists of (i) 1,056,762 shares of common stock issuable upon conversion of shares of Series B preferred stock held of record by Cormorant Private Healthcare Fund I, LP, or Cormorant Private Fund, (ii) 243,450 shares of common stock issuable upon conversion of shares of Series B preferred stock held of record by Cormorant Global Healthcare Master Fund, LP, or Cormorant Master Fund and (iii) 57,569 shares of common stock issuable upon conversion of shares of Series B preferred stock held of record by CRMA SPV, L.P., or CRMA. The sole general partner of Cormorant Private Fund is Cormorant Private Healthcare GP, LLC and the sole general partner of Cormorant Master Fund is Cormorant Global Healthcare GP, LLC, and together Cormorant GP. Bihua Chen is the sole managing member of Cormorant GP, and may be deemed to have sole voting and investment power of the securities held by the Cormorant Private Fund and the Cormorant Master Fund. The sole investment manager of CRMA is Cormorant Asset Management, LLC, or the Manager. Bihua Chen is the sole managing member of the Manager, and may be deemed to have sole voting and investment power of the securities held by CRMA. The address of the Cormorant Private Fund, the Cormorant Master Fund and CRMA is 200 Clarendon Street, 52nd Floor, Boston, MA 02116.</w:t>
      </w:r>
    </w:p>
    <w:p>
      <w:pPr>
        <w:spacing w:after="0" w:line="6" w:lineRule="exact"/>
        <w:rPr>
          <w:rFonts w:ascii="Arial" w:cs="Arial" w:eastAsia="Arial" w:hAnsi="Arial"/>
          <w:sz w:val="16"/>
          <w:szCs w:val="16"/>
          <w:color w:val="32406B"/>
        </w:rPr>
      </w:pPr>
    </w:p>
    <w:p>
      <w:pPr>
        <w:ind w:left="640" w:hanging="436"/>
        <w:spacing w:after="0" w:line="250" w:lineRule="auto"/>
        <w:tabs>
          <w:tab w:leader="none" w:pos="640" w:val="left"/>
        </w:tabs>
        <w:numPr>
          <w:ilvl w:val="0"/>
          <w:numId w:val="90"/>
        </w:numPr>
        <w:rPr>
          <w:rFonts w:ascii="Arial" w:cs="Arial" w:eastAsia="Arial" w:hAnsi="Arial"/>
          <w:sz w:val="18"/>
          <w:szCs w:val="18"/>
          <w:color w:val="32406B"/>
        </w:rPr>
      </w:pPr>
      <w:r>
        <w:rPr>
          <w:rFonts w:ascii="Arial" w:cs="Arial" w:eastAsia="Arial" w:hAnsi="Arial"/>
          <w:sz w:val="18"/>
          <w:szCs w:val="18"/>
          <w:color w:val="32406B"/>
        </w:rPr>
        <w:t>Consists of (i) 423,523 shares of common stock, (ii) 72,604 shares of common stock held by Mac MacKay, (iii) 72,604 shares of common stock held by Kali MacKay and (iv) 118,338 shares of common stock issuable upon exercise of options within 60 days of June 1, 2018. Mr. MacKay is the father of Mac MacKay and Kali MacKay. Mr. MacKay may be deemed to have voting and investment power over shares held by Mac MacKay and Kali MacKay.</w:t>
      </w:r>
    </w:p>
    <w:p>
      <w:pPr>
        <w:spacing w:after="0" w:line="1" w:lineRule="exact"/>
        <w:rPr>
          <w:rFonts w:ascii="Arial" w:cs="Arial" w:eastAsia="Arial" w:hAnsi="Arial"/>
          <w:sz w:val="18"/>
          <w:szCs w:val="18"/>
          <w:color w:val="32406B"/>
        </w:rPr>
      </w:pPr>
    </w:p>
    <w:p>
      <w:pPr>
        <w:ind w:left="640" w:hanging="436"/>
        <w:spacing w:after="0"/>
        <w:tabs>
          <w:tab w:leader="none" w:pos="640" w:val="left"/>
        </w:tabs>
        <w:numPr>
          <w:ilvl w:val="0"/>
          <w:numId w:val="90"/>
        </w:numPr>
        <w:rPr>
          <w:rFonts w:ascii="Arial" w:cs="Arial" w:eastAsia="Arial" w:hAnsi="Arial"/>
          <w:sz w:val="18"/>
          <w:szCs w:val="18"/>
          <w:color w:val="32406B"/>
        </w:rPr>
      </w:pPr>
      <w:r>
        <w:rPr>
          <w:rFonts w:ascii="Arial" w:cs="Arial" w:eastAsia="Arial" w:hAnsi="Arial"/>
          <w:sz w:val="18"/>
          <w:szCs w:val="18"/>
          <w:color w:val="32406B"/>
        </w:rPr>
        <w:t>Includes 45,054 shares of common stock issuable upon exercise of options within 60 days of June 1, 2018.</w:t>
      </w:r>
    </w:p>
    <w:p>
      <w:pPr>
        <w:spacing w:after="0" w:line="9" w:lineRule="exact"/>
        <w:rPr>
          <w:rFonts w:ascii="Arial" w:cs="Arial" w:eastAsia="Arial" w:hAnsi="Arial"/>
          <w:sz w:val="18"/>
          <w:szCs w:val="18"/>
          <w:color w:val="32406B"/>
        </w:rPr>
      </w:pPr>
    </w:p>
    <w:p>
      <w:pPr>
        <w:ind w:left="640" w:right="80" w:hanging="436"/>
        <w:spacing w:after="0" w:line="261" w:lineRule="auto"/>
        <w:tabs>
          <w:tab w:leader="none" w:pos="640" w:val="left"/>
        </w:tabs>
        <w:numPr>
          <w:ilvl w:val="0"/>
          <w:numId w:val="90"/>
        </w:numPr>
        <w:rPr>
          <w:rFonts w:ascii="Arial" w:cs="Arial" w:eastAsia="Arial" w:hAnsi="Arial"/>
          <w:sz w:val="18"/>
          <w:szCs w:val="18"/>
          <w:color w:val="32406B"/>
        </w:rPr>
      </w:pPr>
      <w:r>
        <w:rPr>
          <w:rFonts w:ascii="Arial" w:cs="Arial" w:eastAsia="Arial" w:hAnsi="Arial"/>
          <w:sz w:val="18"/>
          <w:szCs w:val="18"/>
          <w:color w:val="32406B"/>
        </w:rPr>
        <w:t>Includes an aggregate of 139,887 shares issuable upon exercise of stock options within 60 days of June 1, 2018 held by our executive officers and directors as a group.</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150</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DESCRIPTION OF CAPITAL STOCK</w:t>
      </w:r>
    </w:p>
    <w:p>
      <w:pPr>
        <w:spacing w:after="0" w:line="22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i w:val="1"/>
          <w:iCs w:val="1"/>
          <w:color w:val="32406B"/>
        </w:rPr>
        <w:t>The following descriptions are summaries of the material terms of our amended and restated certificate of incorporation and amended and restated bylaws, which will be effective upon the closing of this offering. The descriptions of the common stock and preferred stock give effect to changes to our capital structure that will occur upon the completion of this offering. We refer in this section to our amended and restated certificate of incorporation as our certificate of incorporation, and we refer to our amended and restated bylaws as our bylaws.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General</w:t>
      </w:r>
    </w:p>
    <w:p>
      <w:pPr>
        <w:spacing w:after="0" w:line="121"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32406B"/>
        </w:rPr>
        <w:t>Upon completion of this offering, our authorized capital stock will consist of 150,000,000 shares of common stock, par value $0.0001 per share, and 10,000,000 shares of preferred stock, par value $0.0001 per share, all of which shares of preferred stock will be undesignated.</w:t>
      </w:r>
    </w:p>
    <w:p>
      <w:pPr>
        <w:spacing w:after="0" w:line="147" w:lineRule="exact"/>
        <w:rPr>
          <w:sz w:val="20"/>
          <w:szCs w:val="20"/>
          <w:color w:val="auto"/>
        </w:rPr>
      </w:pPr>
    </w:p>
    <w:p>
      <w:pPr>
        <w:ind w:left="200" w:right="340" w:firstLine="441"/>
        <w:spacing w:after="0" w:line="308" w:lineRule="auto"/>
        <w:rPr>
          <w:sz w:val="20"/>
          <w:szCs w:val="20"/>
          <w:color w:val="auto"/>
        </w:rPr>
      </w:pPr>
      <w:r>
        <w:rPr>
          <w:rFonts w:ascii="Arial" w:cs="Arial" w:eastAsia="Arial" w:hAnsi="Arial"/>
          <w:sz w:val="17"/>
          <w:szCs w:val="17"/>
          <w:color w:val="32406B"/>
        </w:rPr>
        <w:t>As of March 31, 2018, 2,581,474 shares of our common stock, 3,333,333 shares of Series Seed preferred stock, 31,450,499 shares of Series A preferred stock and 28,519,322 shares of Series B preferred stock were outstanding and held by 24 stockholders of record.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Common Stock</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32406B"/>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54"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32406B"/>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Preferred Stock</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Upon the completion of this offering, all outstanding shares of our preferred stock will be converted into shares of our common stock. Upon the consummation of this offering, 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Stock Options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As of March 31, 2018, there were outstanding options to purchase an aggregate of 1,788,750 shares of our common stock.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151</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Registration Rights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32406B"/>
        </w:rPr>
        <w:t>Upon the completion of this offering, the holders of 15,320,213 shares of our common stock, including those issuable upon the conversion of preferred stock, will be entitled to rights with respect to the registration of these securities under the Securities Act. These rights are provided under the terms of an investors’ rights agreement between us and holders of our preferred stock.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Demand Registration Rights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32406B"/>
        </w:rPr>
        <w:t>Beginning 180 days after the effective date of this registration statement, the holders of 15,320,213 shares of our common stock, including those issuable upon the conversion of preferred stock upon closing of this offering,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Short-Form Registration Rights</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32406B"/>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 month period pursuant to this provision of the investors’ rights agreement. The right to have such shares registered on Form S-3 is further subject to other specified conditions and limitations.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Piggyback Registration Rights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32406B"/>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Indemnification</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32406B"/>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Expiration of Registration Rights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The demand registration rights and short form registration rights granted under the investors’ rights agreement will terminate on the earliest of</w:t>
      </w:r>
    </w:p>
    <w:p>
      <w:pPr>
        <w:spacing w:after="0" w:line="46" w:lineRule="exact"/>
        <w:rPr>
          <w:sz w:val="20"/>
          <w:szCs w:val="20"/>
          <w:color w:val="auto"/>
        </w:rPr>
      </w:pPr>
    </w:p>
    <w:p>
      <w:pPr>
        <w:ind w:left="200" w:right="140" w:firstLine="4"/>
        <w:spacing w:after="0" w:line="290" w:lineRule="auto"/>
        <w:tabs>
          <w:tab w:leader="none" w:pos="415" w:val="left"/>
        </w:tabs>
        <w:numPr>
          <w:ilvl w:val="0"/>
          <w:numId w:val="91"/>
        </w:numPr>
        <w:rPr>
          <w:rFonts w:ascii="Arial" w:cs="Arial" w:eastAsia="Arial" w:hAnsi="Arial"/>
          <w:sz w:val="17"/>
          <w:szCs w:val="17"/>
          <w:color w:val="32406B"/>
        </w:rPr>
      </w:pPr>
      <w:r>
        <w:rPr>
          <w:rFonts w:ascii="Arial" w:cs="Arial" w:eastAsia="Arial" w:hAnsi="Arial"/>
          <w:sz w:val="17"/>
          <w:szCs w:val="17"/>
          <w:color w:val="32406B"/>
        </w:rPr>
        <w:t>a deemed liquidation event, as defined in the investors’ rights agreement, (ii) the fifth anniversary of the completion of this offering and (iii) at such time after this offering when the holders’ shares may be sold without restriction pursuant to Rule 144 within a three month period.</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Anti-Takeover Effects of our Certificate of Incorporation and Bylaws and Delaware Law</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32406B"/>
        </w:rPr>
        <w:t>Our amended and restated certificate of incorporation and amended and restated bylaws that will become effective upon the closing of this offering will include a number of provisions that may have the effect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152</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32406B"/>
        </w:rPr>
        <w:t>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Board Composition and Filling Vacancies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32406B"/>
        </w:rPr>
        <w:t>Our amended and restated certificate of incorporation that will become effective upon the closing of this offering will provide for the division of our board of directors into three classes serving staggered three-year terms, with one class being elected each year. Our amended and restated certificate of incorporation will also provide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No Written Consent of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32406B"/>
        </w:rPr>
        <w:t>Our amended and restated certificate of incorporation that will become effective upon the closing of this offering will provide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Meetings of Stockholders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32406B"/>
        </w:rPr>
        <w:t>Our amended and restated certificate of incorporation and amended and restated bylaws that will become effective upon the closing of this offering will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will limit the business that may be conducted at an annual meeting of stockholders to those matters properly brought before the meeting.</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Advance Notice Requirements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Our amended and restated bylaws that will become effective upon the closing of this offering will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Amendment to Certificate of Incorporation and Bylaws</w:t>
      </w:r>
    </w:p>
    <w:p>
      <w:pPr>
        <w:spacing w:after="0" w:line="117"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32406B"/>
        </w:rPr>
        <w:t>Any amendment of our amended and restated certificate of incorporation that will become effective upon the closing of this offering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153</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32406B"/>
        </w:rPr>
        <w:t>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Undesignated Preferred Stock</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Our amended and restated certificate of incorporation that will become effective upon the closing of this offering will provide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Choice of Forum</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32406B"/>
        </w:rPr>
        <w:t>Our amended and restated bylaws that will become effective upon the closing of this offering will provide that, unless we consent in writing to the selection of an alternative forum, the Court of Chancery of the State of Delaware will be the sole and exclusive forum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or our certificate of incorporation or bylaws; or (4) any action asserting a claim governed by the internal affairs doctrine. Our amended and restated bylaws also provide that any person or entity purchasing or otherwise acquiring any interest in shares of our capital stock will be deemed to have notice of and to have consented to this choice of forum provision.</w:t>
      </w:r>
    </w:p>
    <w:p>
      <w:pPr>
        <w:spacing w:after="0" w:line="19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32406B"/>
        </w:rPr>
        <w:t>In addition, our amended and restated bylaws that will become effective upon the closing of this offering will contain a provision by virtue of which unless we consent in writing to the selection of an alternative forum, the United States District Court for the District of Massachusetts will be the exclusive forum for resolving any complaint asserting a cause of action arising under the Securities Act. If any action the subject matter of which is within the scope of the preceding sentence is filed in a court other than the United States District Court for the District of Massachusetts, the plaintiff or plaintiffs shall be deemed by this provision of our amended and restated bylaws (i) to have consented to removal of the action by us to the United States District Court for the District of Massachusetts, in the case of an action filed in a state court, and (ii) to have consented to transfer of the action to the United States District Court for the District of Massachusetts. We have chosen the United States Court for the District of Massachusetts as the exclusive forum for such causes of action because our principal executive offices are located in Cambridge, Massachusetts. Some companies that have adopted similar federal district court forum selection provisions are currently subject to a suit in the Court of Chancery of the State of Delaware by stockholders who assert that the federal district court forum selection provision is not enforceable. We recognize that the federal district court forum selection clause may impose additional litigation costs on stockholders who assert the provision</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154</w:t>
      </w:r>
    </w:p>
    <w:p>
      <w:pPr>
        <w:sectPr>
          <w:pgSz w:w="11900" w:h="16838" w:orient="portrait"/>
          <w:cols w:equalWidth="0" w:num="1">
            <w:col w:w="11180"/>
          </w:cols>
          <w:pgMar w:left="24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32406B"/>
        </w:rPr>
        <w:t>is not enforceable and may impose more general additional litigation costs in pursuing any such claims, particularly if the stockholders do not reside in or near the Commonwealth of Massachusetts. Additionally, the forum selection clauses in our amended and restated bylaws may limit our stockholders’ ability to obtain a favorable judicial forum for disputes with us. Alternatively, if the federal district court forum selection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U.S. District Court in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Section 203 of the Delaware General Corporation Law</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Upon completion of this offering, we will be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94" w:lineRule="exact"/>
        <w:rPr>
          <w:sz w:val="20"/>
          <w:szCs w:val="20"/>
          <w:color w:val="auto"/>
        </w:rPr>
      </w:pPr>
    </w:p>
    <w:p>
      <w:pPr>
        <w:ind w:left="1060" w:right="60" w:hanging="424"/>
        <w:spacing w:after="0" w:line="277" w:lineRule="auto"/>
        <w:tabs>
          <w:tab w:leader="none" w:pos="106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before the stockholder became interested,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32406B"/>
        </w:rPr>
      </w:pPr>
    </w:p>
    <w:p>
      <w:pPr>
        <w:ind w:left="1060" w:right="140" w:hanging="424"/>
        <w:spacing w:after="0" w:line="279" w:lineRule="auto"/>
        <w:tabs>
          <w:tab w:leader="none" w:pos="1060" w:val="left"/>
        </w:tabs>
        <w:numPr>
          <w:ilvl w:val="0"/>
          <w:numId w:val="92"/>
        </w:numPr>
        <w:rPr>
          <w:rFonts w:ascii="Arial" w:cs="Arial" w:eastAsia="Arial" w:hAnsi="Arial"/>
          <w:sz w:val="17"/>
          <w:szCs w:val="17"/>
          <w:color w:val="32406B"/>
        </w:rPr>
      </w:pPr>
      <w:r>
        <w:rPr>
          <w:rFonts w:ascii="Arial" w:cs="Arial" w:eastAsia="Arial" w:hAnsi="Arial"/>
          <w:sz w:val="17"/>
          <w:szCs w:val="17"/>
          <w:color w:val="32406B"/>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32406B"/>
        </w:rPr>
      </w:pPr>
    </w:p>
    <w:p>
      <w:pPr>
        <w:ind w:left="1060" w:hanging="424"/>
        <w:spacing w:after="0" w:line="264" w:lineRule="auto"/>
        <w:tabs>
          <w:tab w:leader="none" w:pos="106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Section 203 defines a business combination to include:</w:t>
      </w:r>
    </w:p>
    <w:p>
      <w:pPr>
        <w:spacing w:after="0" w:line="131" w:lineRule="exact"/>
        <w:rPr>
          <w:sz w:val="20"/>
          <w:szCs w:val="20"/>
          <w:color w:val="auto"/>
        </w:rPr>
      </w:pPr>
    </w:p>
    <w:p>
      <w:pPr>
        <w:ind w:left="1060" w:hanging="424"/>
        <w:spacing w:after="0"/>
        <w:tabs>
          <w:tab w:leader="none" w:pos="1060" w:val="left"/>
        </w:tabs>
        <w:numPr>
          <w:ilvl w:val="0"/>
          <w:numId w:val="93"/>
        </w:numPr>
        <w:rPr>
          <w:rFonts w:ascii="Arial" w:cs="Arial" w:eastAsia="Arial" w:hAnsi="Arial"/>
          <w:sz w:val="18"/>
          <w:szCs w:val="18"/>
          <w:color w:val="32406B"/>
        </w:rPr>
      </w:pPr>
      <w:r>
        <w:rPr>
          <w:rFonts w:ascii="Arial" w:cs="Arial" w:eastAsia="Arial" w:hAnsi="Arial"/>
          <w:sz w:val="18"/>
          <w:szCs w:val="18"/>
          <w:color w:val="32406B"/>
        </w:rPr>
        <w:t>any merger or consolidation involving the corporation and the interested stockholder;</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93"/>
        </w:numPr>
        <w:rPr>
          <w:rFonts w:ascii="Arial" w:cs="Arial" w:eastAsia="Arial" w:hAnsi="Arial"/>
          <w:sz w:val="16"/>
          <w:szCs w:val="16"/>
          <w:color w:val="32406B"/>
        </w:rPr>
      </w:pPr>
      <w:r>
        <w:rPr>
          <w:rFonts w:ascii="Arial" w:cs="Arial" w:eastAsia="Arial" w:hAnsi="Arial"/>
          <w:sz w:val="16"/>
          <w:szCs w:val="16"/>
          <w:color w:val="32406B"/>
        </w:rPr>
        <w:t>any sale, transfer, lease, pledge or other disposition involving the interested stockholder of 10% or more of the assets of the corporation;</w:t>
      </w:r>
    </w:p>
    <w:p>
      <w:pPr>
        <w:spacing w:after="0" w:line="153" w:lineRule="exact"/>
        <w:rPr>
          <w:rFonts w:ascii="Arial" w:cs="Arial" w:eastAsia="Arial" w:hAnsi="Arial"/>
          <w:sz w:val="16"/>
          <w:szCs w:val="16"/>
          <w:color w:val="32406B"/>
        </w:rPr>
      </w:pPr>
    </w:p>
    <w:p>
      <w:pPr>
        <w:ind w:left="1060" w:right="600" w:hanging="424"/>
        <w:spacing w:after="0" w:line="277" w:lineRule="auto"/>
        <w:tabs>
          <w:tab w:leader="none" w:pos="1060" w:val="left"/>
        </w:tabs>
        <w:numPr>
          <w:ilvl w:val="0"/>
          <w:numId w:val="93"/>
        </w:numPr>
        <w:rPr>
          <w:rFonts w:ascii="Arial" w:cs="Arial" w:eastAsia="Arial" w:hAnsi="Arial"/>
          <w:sz w:val="18"/>
          <w:szCs w:val="18"/>
          <w:color w:val="32406B"/>
        </w:rPr>
      </w:pPr>
      <w:r>
        <w:rPr>
          <w:rFonts w:ascii="Arial" w:cs="Arial" w:eastAsia="Arial" w:hAnsi="Arial"/>
          <w:sz w:val="18"/>
          <w:szCs w:val="18"/>
          <w:color w:val="32406B"/>
        </w:rPr>
        <w:t>subject to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32406B"/>
        </w:rPr>
      </w:pPr>
    </w:p>
    <w:p>
      <w:pPr>
        <w:ind w:left="1060" w:right="140" w:hanging="424"/>
        <w:spacing w:after="0" w:line="277" w:lineRule="auto"/>
        <w:tabs>
          <w:tab w:leader="none" w:pos="1060" w:val="left"/>
        </w:tabs>
        <w:numPr>
          <w:ilvl w:val="0"/>
          <w:numId w:val="93"/>
        </w:numPr>
        <w:rPr>
          <w:rFonts w:ascii="Arial" w:cs="Arial" w:eastAsia="Arial" w:hAnsi="Arial"/>
          <w:sz w:val="18"/>
          <w:szCs w:val="18"/>
          <w:color w:val="32406B"/>
        </w:rPr>
      </w:pPr>
      <w:r>
        <w:rPr>
          <w:rFonts w:ascii="Arial" w:cs="Arial" w:eastAsia="Arial" w:hAnsi="Arial"/>
          <w:sz w:val="18"/>
          <w:szCs w:val="18"/>
          <w:color w:val="32406B"/>
        </w:rPr>
        <w:t>subject to exceptions, any transaction involving the corporation that has the effect of increasing the proportionate share of the stock of any class or series of the corporation beneficially owned by the interested stockholder; and</w:t>
      </w:r>
    </w:p>
    <w:p>
      <w:pPr>
        <w:spacing w:after="0" w:line="75" w:lineRule="exact"/>
        <w:rPr>
          <w:rFonts w:ascii="Arial" w:cs="Arial" w:eastAsia="Arial" w:hAnsi="Arial"/>
          <w:sz w:val="18"/>
          <w:szCs w:val="18"/>
          <w:color w:val="32406B"/>
        </w:rPr>
      </w:pPr>
    </w:p>
    <w:p>
      <w:pPr>
        <w:ind w:left="1060" w:right="40" w:hanging="424"/>
        <w:spacing w:after="0" w:line="277" w:lineRule="auto"/>
        <w:tabs>
          <w:tab w:leader="none" w:pos="1060" w:val="left"/>
        </w:tabs>
        <w:numPr>
          <w:ilvl w:val="0"/>
          <w:numId w:val="93"/>
        </w:numPr>
        <w:rPr>
          <w:rFonts w:ascii="Arial" w:cs="Arial" w:eastAsia="Arial" w:hAnsi="Arial"/>
          <w:sz w:val="18"/>
          <w:szCs w:val="18"/>
          <w:color w:val="32406B"/>
        </w:rPr>
      </w:pPr>
      <w:r>
        <w:rPr>
          <w:rFonts w:ascii="Arial" w:cs="Arial" w:eastAsia="Arial" w:hAnsi="Arial"/>
          <w:sz w:val="18"/>
          <w:szCs w:val="18"/>
          <w:color w:val="32406B"/>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32406B"/>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155</w:t>
      </w:r>
    </w:p>
    <w:p>
      <w:pPr>
        <w:sectPr>
          <w:pgSz w:w="11900" w:h="16838" w:orient="portrait"/>
          <w:cols w:equalWidth="0" w:num="1">
            <w:col w:w="11160"/>
          </w:cols>
          <w:pgMar w:left="24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Nasdaq Global Select Market 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We have been approved to list our common stock on The Nasdaq Global Select Market under the trading symbol “AVRO.”</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Transfer Agent and Registrar</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32406B"/>
        </w:rPr>
        <w:t>The transfer agent and registrar for our common stock will be Computershare Trust Company, N.A. The transfer agent and registrar’s address is 250 Royall Street, Canton, Massachusetts 02021, and its telephone number is (800) 962-4284.</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32406B"/>
        </w:rPr>
        <w:t>156</w:t>
      </w:r>
    </w:p>
    <w:p>
      <w:pPr>
        <w:sectPr>
          <w:pgSz w:w="11900" w:h="16838" w:orient="portrait"/>
          <w:cols w:equalWidth="0" w:num="1">
            <w:col w:w="11000"/>
          </w:cols>
          <w:pgMar w:left="240" w:top="459" w:right="6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SHARES ELIGIBLE FOR FUTURE SALE</w:t>
      </w:r>
    </w:p>
    <w:p>
      <w:pPr>
        <w:spacing w:after="0" w:line="229"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32406B"/>
        </w:rPr>
        <w:t>Prior to this offering, there has been no public market for shares of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32406B"/>
        </w:rPr>
        <w:t>Based on the number of shares outstanding as of March 31, 2018, upon the completion of this offering, 23,149,645 shares of our common stock will be outstanding, assuming no exercise of the underwriters’ option to purchase additional shares and no exercise of outstanding options. Of the outstanding shares, all of the shares sold in this offering will be freely tradable, except that any shares held by our affiliates, as that term is defined in Rule 144 under the Securities Act, may only be sold in compliance with the limitations described below, and shares of our common stock are restricted shares of common stock subject to time-based vesting terms. All remaining shares of common stock held by existing stockholders immediately prior to the completion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summarized below.</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Rule 144</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In general, a person who has beneficially owned restricted stock for at least six months would be entitled to sell their securities provided that</w:t>
      </w:r>
    </w:p>
    <w:p>
      <w:pPr>
        <w:spacing w:after="0" w:line="35" w:lineRule="exact"/>
        <w:rPr>
          <w:sz w:val="20"/>
          <w:szCs w:val="20"/>
          <w:color w:val="auto"/>
        </w:rPr>
      </w:pPr>
    </w:p>
    <w:p>
      <w:pPr>
        <w:ind w:left="200" w:right="80" w:firstLine="4"/>
        <w:spacing w:after="0" w:line="253" w:lineRule="auto"/>
        <w:tabs>
          <w:tab w:leader="none" w:pos="415" w:val="left"/>
        </w:tabs>
        <w:numPr>
          <w:ilvl w:val="0"/>
          <w:numId w:val="94"/>
        </w:numPr>
        <w:rPr>
          <w:rFonts w:ascii="Arial" w:cs="Arial" w:eastAsia="Arial" w:hAnsi="Arial"/>
          <w:sz w:val="18"/>
          <w:szCs w:val="18"/>
          <w:color w:val="32406B"/>
        </w:rPr>
      </w:pPr>
      <w:r>
        <w:rPr>
          <w:rFonts w:ascii="Arial" w:cs="Arial" w:eastAsia="Arial" w:hAnsi="Arial"/>
          <w:sz w:val="18"/>
          <w:szCs w:val="18"/>
          <w:color w:val="32406B"/>
        </w:rPr>
        <w:t>such person is not deemed to have been one of our affiliates at the time of, or at any time during the 90 days preceding, a sale and (ii) we are subject to the Securities Exchange Act of 1934, as amended, or the Exchange Act, periodic reporting requirements for at least 90 days before the sale. Persons who have beneficially owned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96" w:lineRule="exact"/>
        <w:rPr>
          <w:rFonts w:ascii="Arial" w:cs="Arial" w:eastAsia="Arial" w:hAnsi="Arial"/>
          <w:sz w:val="18"/>
          <w:szCs w:val="18"/>
          <w:color w:val="32406B"/>
        </w:rPr>
      </w:pPr>
    </w:p>
    <w:p>
      <w:pPr>
        <w:ind w:left="1060" w:right="140" w:hanging="424"/>
        <w:spacing w:after="0" w:line="342" w:lineRule="auto"/>
        <w:tabs>
          <w:tab w:leader="none" w:pos="1060" w:val="left"/>
        </w:tabs>
        <w:numPr>
          <w:ilvl w:val="1"/>
          <w:numId w:val="94"/>
        </w:numPr>
        <w:rPr>
          <w:rFonts w:ascii="Arial" w:cs="Arial" w:eastAsia="Arial" w:hAnsi="Arial"/>
          <w:sz w:val="16"/>
          <w:szCs w:val="16"/>
          <w:color w:val="32406B"/>
        </w:rPr>
      </w:pPr>
      <w:r>
        <w:rPr>
          <w:rFonts w:ascii="Arial" w:cs="Arial" w:eastAsia="Arial" w:hAnsi="Arial"/>
          <w:sz w:val="16"/>
          <w:szCs w:val="16"/>
          <w:color w:val="32406B"/>
        </w:rPr>
        <w:t>1% of the number of shares then outstanding, which will equal approximately 231,496 shares immediately after this offering, assuming no exercise of the underwriters’ option to purchase additional shares, based on the number of shares outstanding as of March 31, 2018; or</w:t>
      </w:r>
    </w:p>
    <w:p>
      <w:pPr>
        <w:spacing w:after="0" w:line="29" w:lineRule="exact"/>
        <w:rPr>
          <w:rFonts w:ascii="Arial" w:cs="Arial" w:eastAsia="Arial" w:hAnsi="Arial"/>
          <w:sz w:val="16"/>
          <w:szCs w:val="16"/>
          <w:color w:val="32406B"/>
        </w:rPr>
      </w:pPr>
    </w:p>
    <w:p>
      <w:pPr>
        <w:ind w:left="1060" w:hanging="424"/>
        <w:spacing w:after="0" w:line="277" w:lineRule="auto"/>
        <w:tabs>
          <w:tab w:leader="none" w:pos="1060" w:val="left"/>
        </w:tabs>
        <w:numPr>
          <w:ilvl w:val="1"/>
          <w:numId w:val="94"/>
        </w:numPr>
        <w:rPr>
          <w:rFonts w:ascii="Arial" w:cs="Arial" w:eastAsia="Arial" w:hAnsi="Arial"/>
          <w:sz w:val="18"/>
          <w:szCs w:val="18"/>
          <w:color w:val="32406B"/>
        </w:rPr>
      </w:pPr>
      <w:r>
        <w:rPr>
          <w:rFonts w:ascii="Arial" w:cs="Arial" w:eastAsia="Arial" w:hAnsi="Arial"/>
          <w:sz w:val="18"/>
          <w:szCs w:val="18"/>
          <w:color w:val="32406B"/>
        </w:rPr>
        <w:t>the average weekly trading volume of our common stock on The Nasdaq Global Select Market during the four calendar weeks preceding the filing of a notice on Form 144 with respect to the sale;</w:t>
      </w:r>
    </w:p>
    <w:p>
      <w:pPr>
        <w:spacing w:after="0" w:line="170" w:lineRule="exact"/>
        <w:rPr>
          <w:sz w:val="20"/>
          <w:szCs w:val="20"/>
          <w:color w:val="auto"/>
        </w:rPr>
      </w:pPr>
    </w:p>
    <w:p>
      <w:pPr>
        <w:ind w:left="200" w:right="180"/>
        <w:spacing w:after="0" w:line="308" w:lineRule="auto"/>
        <w:rPr>
          <w:sz w:val="20"/>
          <w:szCs w:val="20"/>
          <w:color w:val="auto"/>
        </w:rPr>
      </w:pPr>
      <w:r>
        <w:rPr>
          <w:rFonts w:ascii="Arial" w:cs="Arial" w:eastAsia="Arial" w:hAnsi="Arial"/>
          <w:sz w:val="17"/>
          <w:szCs w:val="17"/>
          <w:color w:val="32406B"/>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Rule 701</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32406B"/>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w:t>
      </w:r>
    </w:p>
    <w:p>
      <w:pPr>
        <w:spacing w:after="0" w:line="171"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32406B"/>
        </w:rPr>
        <w:t>However, substantially all Rule 701 shares are subject to lock-up agreements as described below and under “Underwriters” included elsewhere in this prospectus and will become eligible for sale upon the expiration of the restrictions set forth in those agreements.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157</w:t>
      </w:r>
    </w:p>
    <w:p>
      <w:pPr>
        <w:sectPr>
          <w:pgSz w:w="11900" w:h="16838" w:orient="portrait"/>
          <w:cols w:equalWidth="0" w:num="1">
            <w:col w:w="11180"/>
          </w:cols>
          <w:pgMar w:left="240" w:top="460"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Lock-Up Agreements</w:t>
      </w:r>
    </w:p>
    <w:p>
      <w:pPr>
        <w:spacing w:after="0" w:line="12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32406B"/>
        </w:rPr>
        <w:t>In connection with this offering, we and all of our directors, executive officers and substantially all of the holders of our stock and stock options have signed a lock-up agreement that prevents them from selling any of our common stock or any securities convertible into or exercisable or exchangeable for common stock for a period of not less than 180 days from the date of this prospectus without the prior written consent of Morgan Stanley &amp; Co. LLC and Cowen and Company, LLC, subject to certain exceptions. See the section entitled “Underwriters” appearing elsewhere in this prospectus for more information.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Registration Rights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See the section entitled “Description of Capital Stock—Registration Rights” appearing elsewhere in this prospectus for more information.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Equity Incentive Plans</w:t>
      </w:r>
    </w:p>
    <w:p>
      <w:pPr>
        <w:spacing w:after="0" w:line="12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32406B"/>
        </w:rPr>
        <w:t>We intend to file one or more registration statements on Form S-8 under the Securities Act to register our shares issued or reserved for issuance under our equity incentive plans. The first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 As of June 1, 2018, we estimate that such registration statement on Form S-8 will cover approximately 2,628,250 shares.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10b5-1 Plans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After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158</w:t>
      </w:r>
    </w:p>
    <w:p>
      <w:pPr>
        <w:sectPr>
          <w:pgSz w:w="11900" w:h="16838" w:orient="portrait"/>
          <w:cols w:equalWidth="0" w:num="1">
            <w:col w:w="11200"/>
          </w:cols>
          <w:pgMar w:left="240" w:top="460"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MATERIAL U.S. FEDERAL INCOME TAX CONSIDERATIONS FOR</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NON-U.S. HOLDERS OF COMMON STOCK</w:t>
      </w:r>
    </w:p>
    <w:p>
      <w:pPr>
        <w:spacing w:after="0" w:line="211" w:lineRule="exact"/>
        <w:rPr>
          <w:sz w:val="20"/>
          <w:szCs w:val="20"/>
          <w:color w:val="auto"/>
        </w:rPr>
      </w:pPr>
    </w:p>
    <w:p>
      <w:pPr>
        <w:jc w:val="both"/>
        <w:ind w:left="200" w:right="200" w:firstLine="441"/>
        <w:spacing w:after="0" w:line="286" w:lineRule="auto"/>
        <w:rPr>
          <w:sz w:val="20"/>
          <w:szCs w:val="20"/>
          <w:color w:val="auto"/>
        </w:rPr>
      </w:pPr>
      <w:r>
        <w:rPr>
          <w:rFonts w:ascii="Arial" w:cs="Arial" w:eastAsia="Arial" w:hAnsi="Arial"/>
          <w:sz w:val="17"/>
          <w:szCs w:val="17"/>
          <w:color w:val="32406B"/>
        </w:rPr>
        <w:t>The following discussion is a summary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71" w:lineRule="exact"/>
        <w:rPr>
          <w:sz w:val="20"/>
          <w:szCs w:val="20"/>
          <w:color w:val="auto"/>
        </w:rPr>
      </w:pPr>
    </w:p>
    <w:p>
      <w:pPr>
        <w:ind w:left="1060" w:hanging="424"/>
        <w:spacing w:after="0"/>
        <w:tabs>
          <w:tab w:leader="none" w:pos="1060" w:val="left"/>
        </w:tabs>
        <w:numPr>
          <w:ilvl w:val="0"/>
          <w:numId w:val="95"/>
        </w:numPr>
        <w:rPr>
          <w:rFonts w:ascii="Arial" w:cs="Arial" w:eastAsia="Arial" w:hAnsi="Arial"/>
          <w:sz w:val="18"/>
          <w:szCs w:val="18"/>
          <w:color w:val="32406B"/>
        </w:rPr>
      </w:pPr>
      <w:r>
        <w:rPr>
          <w:rFonts w:ascii="Arial" w:cs="Arial" w:eastAsia="Arial" w:hAnsi="Arial"/>
          <w:sz w:val="18"/>
          <w:szCs w:val="18"/>
          <w:color w:val="32406B"/>
        </w:rPr>
        <w:t>a non-resident alien individual;</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95"/>
        </w:numPr>
        <w:rPr>
          <w:rFonts w:ascii="Arial" w:cs="Arial" w:eastAsia="Arial" w:hAnsi="Arial"/>
          <w:sz w:val="18"/>
          <w:szCs w:val="18"/>
          <w:color w:val="32406B"/>
        </w:rPr>
      </w:pPr>
      <w:r>
        <w:rPr>
          <w:rFonts w:ascii="Arial" w:cs="Arial" w:eastAsia="Arial" w:hAnsi="Arial"/>
          <w:sz w:val="18"/>
          <w:szCs w:val="18"/>
          <w:color w:val="32406B"/>
        </w:rPr>
        <w:t>a foreign corporation or any other foreign organization taxable as a corporation for U.S. federal income tax purposes; or</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95"/>
        </w:numPr>
        <w:rPr>
          <w:rFonts w:ascii="Arial" w:cs="Arial" w:eastAsia="Arial" w:hAnsi="Arial"/>
          <w:sz w:val="18"/>
          <w:szCs w:val="18"/>
          <w:color w:val="32406B"/>
        </w:rPr>
      </w:pPr>
      <w:r>
        <w:rPr>
          <w:rFonts w:ascii="Arial" w:cs="Arial" w:eastAsia="Arial" w:hAnsi="Arial"/>
          <w:sz w:val="18"/>
          <w:szCs w:val="18"/>
          <w:color w:val="32406B"/>
        </w:rPr>
        <w:t>a foreign estate or trust, the income of which is not subject to U.S. federal income tax on a net income basis.</w:t>
      </w:r>
    </w:p>
    <w:p>
      <w:pPr>
        <w:spacing w:after="0" w:line="225"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32406B"/>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7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165"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32406B"/>
        </w:rPr>
        <w:t>This discussion does not address all aspects of U.S. federal income taxation that may be relevant to a particular non-U.S. holder in light of that non-U.S. holder’s individual circumstances nor does it address any aspects of any U.S. federal tax other than the income tax, U.S. state, local or non-U.S. taxes, the alternative minimum tax, rules regarding qualified small business stock within the meaning of Section 1202 of the Code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78" w:lineRule="exact"/>
        <w:rPr>
          <w:sz w:val="20"/>
          <w:szCs w:val="20"/>
          <w:color w:val="auto"/>
        </w:rPr>
      </w:pPr>
    </w:p>
    <w:p>
      <w:pPr>
        <w:ind w:left="1060" w:hanging="424"/>
        <w:spacing w:after="0"/>
        <w:tabs>
          <w:tab w:leader="none" w:pos="1060" w:val="left"/>
        </w:tabs>
        <w:numPr>
          <w:ilvl w:val="0"/>
          <w:numId w:val="96"/>
        </w:numPr>
        <w:rPr>
          <w:rFonts w:ascii="Arial" w:cs="Arial" w:eastAsia="Arial" w:hAnsi="Arial"/>
          <w:sz w:val="18"/>
          <w:szCs w:val="18"/>
          <w:color w:val="32406B"/>
        </w:rPr>
      </w:pPr>
      <w:r>
        <w:rPr>
          <w:rFonts w:ascii="Arial" w:cs="Arial" w:eastAsia="Arial" w:hAnsi="Arial"/>
          <w:sz w:val="18"/>
          <w:szCs w:val="18"/>
          <w:color w:val="32406B"/>
        </w:rPr>
        <w:t>insurance companies;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96"/>
        </w:numPr>
        <w:rPr>
          <w:rFonts w:ascii="Arial" w:cs="Arial" w:eastAsia="Arial" w:hAnsi="Arial"/>
          <w:sz w:val="18"/>
          <w:szCs w:val="18"/>
          <w:color w:val="32406B"/>
        </w:rPr>
      </w:pPr>
      <w:r>
        <w:rPr>
          <w:rFonts w:ascii="Arial" w:cs="Arial" w:eastAsia="Arial" w:hAnsi="Arial"/>
          <w:sz w:val="18"/>
          <w:szCs w:val="18"/>
          <w:color w:val="32406B"/>
        </w:rPr>
        <w:t>tax-exempt or governmental organizations;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96"/>
        </w:numPr>
        <w:rPr>
          <w:rFonts w:ascii="Arial" w:cs="Arial" w:eastAsia="Arial" w:hAnsi="Arial"/>
          <w:sz w:val="18"/>
          <w:szCs w:val="18"/>
          <w:color w:val="32406B"/>
        </w:rPr>
      </w:pPr>
      <w:r>
        <w:rPr>
          <w:rFonts w:ascii="Arial" w:cs="Arial" w:eastAsia="Arial" w:hAnsi="Arial"/>
          <w:sz w:val="18"/>
          <w:szCs w:val="18"/>
          <w:color w:val="32406B"/>
        </w:rPr>
        <w:t>financial institutions;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96"/>
        </w:numPr>
        <w:rPr>
          <w:rFonts w:ascii="Arial" w:cs="Arial" w:eastAsia="Arial" w:hAnsi="Arial"/>
          <w:sz w:val="18"/>
          <w:szCs w:val="18"/>
          <w:color w:val="32406B"/>
        </w:rPr>
      </w:pPr>
      <w:r>
        <w:rPr>
          <w:rFonts w:ascii="Arial" w:cs="Arial" w:eastAsia="Arial" w:hAnsi="Arial"/>
          <w:sz w:val="18"/>
          <w:szCs w:val="18"/>
          <w:color w:val="32406B"/>
        </w:rPr>
        <w:t>brokers or dealers in securities;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96"/>
        </w:numPr>
        <w:rPr>
          <w:rFonts w:ascii="Arial" w:cs="Arial" w:eastAsia="Arial" w:hAnsi="Arial"/>
          <w:sz w:val="18"/>
          <w:szCs w:val="18"/>
          <w:color w:val="32406B"/>
        </w:rPr>
      </w:pPr>
      <w:r>
        <w:rPr>
          <w:rFonts w:ascii="Arial" w:cs="Arial" w:eastAsia="Arial" w:hAnsi="Arial"/>
          <w:sz w:val="18"/>
          <w:szCs w:val="18"/>
          <w:color w:val="32406B"/>
        </w:rPr>
        <w:t>regulated investment companies;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96"/>
        </w:numPr>
        <w:rPr>
          <w:rFonts w:ascii="Arial" w:cs="Arial" w:eastAsia="Arial" w:hAnsi="Arial"/>
          <w:sz w:val="18"/>
          <w:szCs w:val="18"/>
          <w:color w:val="32406B"/>
        </w:rPr>
      </w:pPr>
      <w:r>
        <w:rPr>
          <w:rFonts w:ascii="Arial" w:cs="Arial" w:eastAsia="Arial" w:hAnsi="Arial"/>
          <w:sz w:val="18"/>
          <w:szCs w:val="18"/>
          <w:color w:val="32406B"/>
        </w:rPr>
        <w:t>pension plans;</w:t>
      </w:r>
    </w:p>
    <w:p>
      <w:pPr>
        <w:spacing w:after="0" w:line="130" w:lineRule="exact"/>
        <w:rPr>
          <w:rFonts w:ascii="Arial" w:cs="Arial" w:eastAsia="Arial" w:hAnsi="Arial"/>
          <w:sz w:val="18"/>
          <w:szCs w:val="18"/>
          <w:color w:val="32406B"/>
        </w:rPr>
      </w:pPr>
    </w:p>
    <w:p>
      <w:pPr>
        <w:ind w:left="1060" w:right="100" w:hanging="424"/>
        <w:spacing w:after="0" w:line="277" w:lineRule="auto"/>
        <w:tabs>
          <w:tab w:leader="none" w:pos="1060" w:val="left"/>
        </w:tabs>
        <w:numPr>
          <w:ilvl w:val="0"/>
          <w:numId w:val="96"/>
        </w:numPr>
        <w:rPr>
          <w:rFonts w:ascii="Arial" w:cs="Arial" w:eastAsia="Arial" w:hAnsi="Arial"/>
          <w:sz w:val="18"/>
          <w:szCs w:val="18"/>
          <w:color w:val="32406B"/>
        </w:rPr>
      </w:pPr>
      <w:r>
        <w:rPr>
          <w:rFonts w:ascii="Arial" w:cs="Arial" w:eastAsia="Arial" w:hAnsi="Arial"/>
          <w:sz w:val="18"/>
          <w:szCs w:val="18"/>
          <w:color w:val="32406B"/>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96"/>
        </w:numPr>
        <w:rPr>
          <w:rFonts w:ascii="Arial" w:cs="Arial" w:eastAsia="Arial" w:hAnsi="Arial"/>
          <w:sz w:val="18"/>
          <w:szCs w:val="18"/>
          <w:color w:val="32406B"/>
        </w:rPr>
      </w:pPr>
      <w:r>
        <w:rPr>
          <w:rFonts w:ascii="Arial" w:cs="Arial" w:eastAsia="Arial" w:hAnsi="Arial"/>
          <w:sz w:val="18"/>
          <w:szCs w:val="18"/>
          <w:color w:val="32406B"/>
        </w:rPr>
        <w:t>“qualified foreign pension funds,” or entities wholly owned by a “qualified foreign pension fund”;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96"/>
        </w:numPr>
        <w:rPr>
          <w:rFonts w:ascii="Arial" w:cs="Arial" w:eastAsia="Arial" w:hAnsi="Arial"/>
          <w:sz w:val="18"/>
          <w:szCs w:val="18"/>
          <w:color w:val="32406B"/>
        </w:rPr>
      </w:pPr>
      <w:r>
        <w:rPr>
          <w:rFonts w:ascii="Arial" w:cs="Arial" w:eastAsia="Arial" w:hAnsi="Arial"/>
          <w:sz w:val="18"/>
          <w:szCs w:val="18"/>
          <w:color w:val="32406B"/>
        </w:rPr>
        <w:t>persons that have a functional currency other than the U.S. dollar;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159</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97"/>
        </w:numPr>
        <w:rPr>
          <w:rFonts w:ascii="Arial" w:cs="Arial" w:eastAsia="Arial" w:hAnsi="Arial"/>
          <w:sz w:val="18"/>
          <w:szCs w:val="18"/>
          <w:color w:val="32406B"/>
        </w:rPr>
      </w:pPr>
      <w:r>
        <w:rPr>
          <w:rFonts w:ascii="Arial" w:cs="Arial" w:eastAsia="Arial" w:hAnsi="Arial"/>
          <w:sz w:val="18"/>
          <w:szCs w:val="18"/>
          <w:color w:val="32406B"/>
        </w:rPr>
        <w:t>persons deemed to sell our common stock under the constructive sale provisions of the Code;</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97"/>
        </w:numPr>
        <w:rPr>
          <w:rFonts w:ascii="Arial" w:cs="Arial" w:eastAsia="Arial" w:hAnsi="Arial"/>
          <w:sz w:val="16"/>
          <w:szCs w:val="16"/>
          <w:color w:val="32406B"/>
        </w:rPr>
      </w:pPr>
      <w:r>
        <w:rPr>
          <w:rFonts w:ascii="Arial" w:cs="Arial" w:eastAsia="Arial" w:hAnsi="Arial"/>
          <w:sz w:val="16"/>
          <w:szCs w:val="16"/>
          <w:color w:val="32406B"/>
        </w:rPr>
        <w:t>persons that hold our common stock as part of a straddle, hedge, conversion transaction, synthetic security or other integrated investment;</w:t>
      </w:r>
    </w:p>
    <w:p>
      <w:pPr>
        <w:spacing w:after="0" w:line="153" w:lineRule="exact"/>
        <w:rPr>
          <w:rFonts w:ascii="Arial" w:cs="Arial" w:eastAsia="Arial" w:hAnsi="Arial"/>
          <w:sz w:val="16"/>
          <w:szCs w:val="16"/>
          <w:color w:val="32406B"/>
        </w:rPr>
      </w:pPr>
    </w:p>
    <w:p>
      <w:pPr>
        <w:ind w:left="1060" w:hanging="424"/>
        <w:spacing w:after="0"/>
        <w:tabs>
          <w:tab w:leader="none" w:pos="1060" w:val="left"/>
        </w:tabs>
        <w:numPr>
          <w:ilvl w:val="0"/>
          <w:numId w:val="97"/>
        </w:numPr>
        <w:rPr>
          <w:rFonts w:ascii="Arial" w:cs="Arial" w:eastAsia="Arial" w:hAnsi="Arial"/>
          <w:sz w:val="16"/>
          <w:szCs w:val="16"/>
          <w:color w:val="32406B"/>
        </w:rPr>
      </w:pPr>
      <w:r>
        <w:rPr>
          <w:rFonts w:ascii="Arial" w:cs="Arial" w:eastAsia="Arial" w:hAnsi="Arial"/>
          <w:sz w:val="16"/>
          <w:szCs w:val="16"/>
          <w:color w:val="32406B"/>
        </w:rPr>
        <w:t>persons who hold or receive our common stock pursuant to the exercise of any employee stock option or otherwise as compensation; and</w:t>
      </w:r>
    </w:p>
    <w:p>
      <w:pPr>
        <w:spacing w:after="0" w:line="153" w:lineRule="exact"/>
        <w:rPr>
          <w:rFonts w:ascii="Arial" w:cs="Arial" w:eastAsia="Arial" w:hAnsi="Arial"/>
          <w:sz w:val="16"/>
          <w:szCs w:val="16"/>
          <w:color w:val="32406B"/>
        </w:rPr>
      </w:pPr>
    </w:p>
    <w:p>
      <w:pPr>
        <w:ind w:left="1060" w:hanging="424"/>
        <w:spacing w:after="0"/>
        <w:tabs>
          <w:tab w:leader="none" w:pos="1060" w:val="left"/>
        </w:tabs>
        <w:numPr>
          <w:ilvl w:val="0"/>
          <w:numId w:val="97"/>
        </w:numPr>
        <w:rPr>
          <w:rFonts w:ascii="Arial" w:cs="Arial" w:eastAsia="Arial" w:hAnsi="Arial"/>
          <w:sz w:val="18"/>
          <w:szCs w:val="18"/>
          <w:color w:val="32406B"/>
        </w:rPr>
      </w:pPr>
      <w:r>
        <w:rPr>
          <w:rFonts w:ascii="Arial" w:cs="Arial" w:eastAsia="Arial" w:hAnsi="Arial"/>
          <w:sz w:val="18"/>
          <w:szCs w:val="18"/>
          <w:color w:val="32406B"/>
        </w:rPr>
        <w:t>certain U.S. expatriates.</w:t>
      </w:r>
    </w:p>
    <w:p>
      <w:pPr>
        <w:spacing w:after="0" w:line="225"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32406B"/>
        </w:rPr>
        <w:t>This discussion is for general information only and is not tax advice. Accordingly, all prospective non-U.S. holders of our common stock should consult their tax advisors with respect to the U.S. federal, state, local and non-U.S. tax consequences of the purchase, ownership and disposition of our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Distributions on Our Common Stock</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32406B"/>
        </w:rPr>
        <w:t>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“Withholding and Information Reporting Requirements—FATCA.”</w:t>
      </w:r>
    </w:p>
    <w:p>
      <w:pPr>
        <w:spacing w:after="0" w:line="178"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32406B"/>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8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32406B"/>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8"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32406B"/>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Gain on Sale or Other Taxable Disposition of Our Common Stock</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32406B"/>
        </w:rPr>
        <w:t>Subject to the discussions below under “Backup Withholding and Information Reporting” and “Withholding and Information Reporting Requirements—FATCA,” a non-U.S. holder generally will not be subject to any U.S. federal income tax on any gain realized upon such holder’s sale or other taxable disposition of shares of our common stock unless:</w:t>
      </w:r>
    </w:p>
    <w:p>
      <w:pPr>
        <w:spacing w:after="0" w:line="87" w:lineRule="exact"/>
        <w:rPr>
          <w:sz w:val="20"/>
          <w:szCs w:val="20"/>
          <w:color w:val="auto"/>
        </w:rPr>
      </w:pPr>
    </w:p>
    <w:p>
      <w:pPr>
        <w:ind w:left="1060" w:right="320" w:hanging="424"/>
        <w:spacing w:after="0" w:line="277" w:lineRule="auto"/>
        <w:tabs>
          <w:tab w:leader="none" w:pos="1060" w:val="left"/>
        </w:tabs>
        <w:numPr>
          <w:ilvl w:val="0"/>
          <w:numId w:val="98"/>
        </w:numPr>
        <w:rPr>
          <w:rFonts w:ascii="Arial" w:cs="Arial" w:eastAsia="Arial" w:hAnsi="Arial"/>
          <w:sz w:val="18"/>
          <w:szCs w:val="18"/>
          <w:color w:val="32406B"/>
        </w:rPr>
      </w:pPr>
      <w:r>
        <w:rPr>
          <w:rFonts w:ascii="Arial" w:cs="Arial" w:eastAsia="Arial" w:hAnsi="Arial"/>
          <w:sz w:val="18"/>
          <w:szCs w:val="18"/>
          <w:color w:val="32406B"/>
        </w:rPr>
        <w:t>the gain is effectively connected with the non-U.S. holder’s conduct of a U.S. trade or business and, if an applicable income tax treaty so provides, is attributable to a permanent establishment or a fixed-base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160</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86" w:lineRule="auto"/>
        <w:rPr>
          <w:sz w:val="20"/>
          <w:szCs w:val="20"/>
          <w:color w:val="auto"/>
        </w:rPr>
      </w:pPr>
      <w:r>
        <w:rPr>
          <w:rFonts w:ascii="Arial" w:cs="Arial" w:eastAsia="Arial" w:hAnsi="Arial"/>
          <w:sz w:val="17"/>
          <w:szCs w:val="17"/>
          <w:color w:val="32406B"/>
        </w:rPr>
        <w:t>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71" w:lineRule="exact"/>
        <w:rPr>
          <w:sz w:val="20"/>
          <w:szCs w:val="20"/>
          <w:color w:val="auto"/>
        </w:rPr>
      </w:pPr>
    </w:p>
    <w:p>
      <w:pPr>
        <w:ind w:left="1060" w:right="100" w:hanging="424"/>
        <w:spacing w:after="0" w:line="255" w:lineRule="auto"/>
        <w:tabs>
          <w:tab w:leader="none" w:pos="1060" w:val="left"/>
        </w:tabs>
        <w:numPr>
          <w:ilvl w:val="0"/>
          <w:numId w:val="99"/>
        </w:numPr>
        <w:rPr>
          <w:rFonts w:ascii="Arial" w:cs="Arial" w:eastAsia="Arial" w:hAnsi="Arial"/>
          <w:sz w:val="18"/>
          <w:szCs w:val="18"/>
          <w:color w:val="32406B"/>
        </w:rPr>
      </w:pPr>
      <w:r>
        <w:rPr>
          <w:rFonts w:ascii="Arial" w:cs="Arial" w:eastAsia="Arial" w:hAnsi="Arial"/>
          <w:sz w:val="18"/>
          <w:szCs w:val="18"/>
          <w:color w:val="32406B"/>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98" w:lineRule="exact"/>
        <w:rPr>
          <w:rFonts w:ascii="Arial" w:cs="Arial" w:eastAsia="Arial" w:hAnsi="Arial"/>
          <w:sz w:val="18"/>
          <w:szCs w:val="18"/>
          <w:color w:val="32406B"/>
        </w:rPr>
      </w:pPr>
    </w:p>
    <w:p>
      <w:pPr>
        <w:ind w:left="1060" w:right="40" w:hanging="424"/>
        <w:spacing w:after="0" w:line="270" w:lineRule="auto"/>
        <w:tabs>
          <w:tab w:leader="none" w:pos="1060" w:val="left"/>
        </w:tabs>
        <w:numPr>
          <w:ilvl w:val="0"/>
          <w:numId w:val="99"/>
        </w:numPr>
        <w:rPr>
          <w:rFonts w:ascii="Arial" w:cs="Arial" w:eastAsia="Arial" w:hAnsi="Arial"/>
          <w:sz w:val="17"/>
          <w:szCs w:val="17"/>
          <w:color w:val="32406B"/>
        </w:rPr>
      </w:pPr>
      <w:r>
        <w:rPr>
          <w:rFonts w:ascii="Arial" w:cs="Arial" w:eastAsia="Arial" w:hAnsi="Arial"/>
          <w:sz w:val="17"/>
          <w:szCs w:val="17"/>
          <w:color w:val="32406B"/>
        </w:rPr>
        <w:t>we are, or have been, at any time during the five-year period preceding such sale of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Backup Withholding and Information Reporting</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32406B"/>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73"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32406B"/>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161</w:t>
      </w:r>
    </w:p>
    <w:p>
      <w:pPr>
        <w:sectPr>
          <w:pgSz w:w="11900" w:h="16838" w:orient="portrait"/>
          <w:cols w:equalWidth="0" w:num="1">
            <w:col w:w="11160"/>
          </w:cols>
          <w:pgMar w:left="240" w:top="460"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Withholding and Information Reporting Requirements—FATCA</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The Foreign Account Tax Compliance Act, or FATCA, generally imposes a U.S. federal withholding tax at a rate of 30% on payments of dividends on, or gross proceeds from the sale or other disposition of,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Under applicable U.S. Treasury regulations, withholding under FATCA currently applies to payments of dividends on our common stock, but will only apply to payments of gross proceeds from a sale or other disposition of our common stock made after December 31, 2018.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162</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UNDERWRITERS</w:t>
      </w:r>
    </w:p>
    <w:p>
      <w:pPr>
        <w:spacing w:after="0" w:line="229"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32406B"/>
        </w:rPr>
        <w:t>Under the terms and subject to the conditions in an underwriting agreement dated the date of this prospectus, the underwriters named below, for whom Morgan Stanley &amp; Co. LLC, Cowen and Company, LLC and Wells Fargo Securities, LLC are acting as representatives, have severally agreed to purchase, and we have agreed to sell to them, severally, the number of shares indicated below:</w:t>
      </w:r>
    </w:p>
    <w:p>
      <w:pPr>
        <w:spacing w:after="0" w:line="172"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Name</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94"/>
              </w:rPr>
              <w:t>Number of</w:t>
            </w:r>
          </w:p>
        </w:tc>
        <w:tc>
          <w:tcPr>
            <w:tcW w:w="0" w:type="dxa"/>
            <w:vAlign w:val="bottom"/>
          </w:tcPr>
          <w:p>
            <w:pPr>
              <w:spacing w:after="0"/>
              <w:rPr>
                <w:sz w:val="1"/>
                <w:szCs w:val="1"/>
                <w:color w:val="auto"/>
              </w:rPr>
            </w:pPr>
          </w:p>
        </w:tc>
      </w:tr>
      <w:tr>
        <w:trPr>
          <w:trHeight w:val="171"/>
        </w:trPr>
        <w:tc>
          <w:tcPr>
            <w:tcW w:w="7360" w:type="dxa"/>
            <w:vAlign w:val="bottom"/>
            <w:gridSpan w:val="2"/>
            <w:vMerge w:val="continue"/>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89"/>
              </w:rPr>
              <w:t>Shares</w:t>
            </w: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shd w:val="clear" w:color="auto" w:fill="000000"/>
          </w:tcPr>
          <w:p>
            <w:pPr>
              <w:spacing w:after="0" w:line="20" w:lineRule="exact"/>
              <w:rPr>
                <w:sz w:val="1"/>
                <w:szCs w:val="1"/>
                <w:color w:val="auto"/>
              </w:rPr>
            </w:pPr>
          </w:p>
        </w:tc>
        <w:tc>
          <w:tcPr>
            <w:tcW w:w="70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32406B"/>
              </w:rPr>
              <w:t>2,361,581</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32406B"/>
              </w:rPr>
              <w:t>Morgan Stanley &amp; Co. LLC</w:t>
            </w: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32406B"/>
              </w:rPr>
              <w:t>Cowen and Company, LLC</w:t>
            </w:r>
          </w:p>
        </w:tc>
        <w:tc>
          <w:tcPr>
            <w:tcW w:w="840" w:type="dxa"/>
            <w:vAlign w:val="bottom"/>
          </w:tcPr>
          <w:p>
            <w:pPr>
              <w:jc w:val="right"/>
              <w:spacing w:after="0"/>
              <w:rPr>
                <w:sz w:val="20"/>
                <w:szCs w:val="20"/>
                <w:color w:val="auto"/>
              </w:rPr>
            </w:pPr>
            <w:r>
              <w:rPr>
                <w:rFonts w:ascii="Arial" w:cs="Arial" w:eastAsia="Arial" w:hAnsi="Arial"/>
                <w:sz w:val="18"/>
                <w:szCs w:val="18"/>
                <w:color w:val="32406B"/>
              </w:rPr>
              <w:t>1,574,387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Wells Fargo Securities, LLC</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787,194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32406B"/>
              </w:rPr>
              <w:t>Wedbush Securities Inc.</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524,796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32406B"/>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5,247,958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32406B"/>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32406B"/>
        </w:rPr>
        <w:t>The underwriters initially propose to offer part of the shares of common stock directly to the public at the offering price listed on the cover page of this prospectus and part to certain dealers at a price that represents a concession not in excess of $0.798 per share under the public offering price. After the initial offering of the shares of common stock, the offering price and other selling terms may from time to time be varied by the representatives.</w:t>
      </w:r>
    </w:p>
    <w:p>
      <w:pPr>
        <w:spacing w:after="0" w:line="14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32406B"/>
        </w:rPr>
        <w:t>We have granted to the underwriters an option, exercisable for 30 days from the date of this prospectus, to purchase up to 787,193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32406B"/>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787,193 shares of common stock.</w:t>
      </w:r>
    </w:p>
    <w:p>
      <w:pPr>
        <w:spacing w:after="0" w:line="200"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32406B"/>
              </w:rPr>
              <w:t>Per</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32406B"/>
              </w:rPr>
              <w:t>Total</w:t>
            </w: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32406B"/>
                <w:w w:val="87"/>
              </w:rPr>
              <w:t>No Exercise</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32406B"/>
              </w:rPr>
              <w:t>Full Exercise</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32406B"/>
              </w:rPr>
              <w:t>Share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Public offering price</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8"/>
              </w:rPr>
              <w:t>19.00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6"/>
              </w:rPr>
              <w:t>99,711,202</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9"/>
              </w:rPr>
              <w:t>114,667,869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32406B"/>
                <w:w w:val="98"/>
              </w:rPr>
              <w:t>Underwriting discounts and commissions to be paid by us:</w:t>
            </w:r>
          </w:p>
        </w:tc>
        <w:tc>
          <w:tcPr>
            <w:tcW w:w="4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420" w:type="dxa"/>
            <w:vAlign w:val="bottom"/>
          </w:tcPr>
          <w:p>
            <w:pPr>
              <w:jc w:val="right"/>
              <w:spacing w:after="0"/>
              <w:rPr>
                <w:sz w:val="20"/>
                <w:szCs w:val="20"/>
                <w:color w:val="auto"/>
              </w:rPr>
            </w:pPr>
            <w:r>
              <w:rPr>
                <w:rFonts w:ascii="Arial" w:cs="Arial" w:eastAsia="Arial" w:hAnsi="Arial"/>
                <w:sz w:val="18"/>
                <w:szCs w:val="18"/>
                <w:color w:val="32406B"/>
              </w:rPr>
              <w:t>1.33</w:t>
            </w:r>
          </w:p>
        </w:tc>
        <w:tc>
          <w:tcPr>
            <w:tcW w:w="5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820" w:type="dxa"/>
            <w:vAlign w:val="bottom"/>
          </w:tcPr>
          <w:p>
            <w:pPr>
              <w:jc w:val="right"/>
              <w:spacing w:after="0"/>
              <w:rPr>
                <w:sz w:val="20"/>
                <w:szCs w:val="20"/>
                <w:color w:val="auto"/>
              </w:rPr>
            </w:pPr>
            <w:r>
              <w:rPr>
                <w:rFonts w:ascii="Arial" w:cs="Arial" w:eastAsia="Arial" w:hAnsi="Arial"/>
                <w:sz w:val="18"/>
                <w:szCs w:val="18"/>
                <w:color w:val="32406B"/>
                <w:w w:val="97"/>
              </w:rPr>
              <w:t>6,979,784</w:t>
            </w:r>
          </w:p>
        </w:tc>
        <w:tc>
          <w:tcPr>
            <w:tcW w:w="52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20" w:type="dxa"/>
            <w:vAlign w:val="bottom"/>
          </w:tcPr>
          <w:p>
            <w:pPr>
              <w:jc w:val="right"/>
              <w:spacing w:after="0"/>
              <w:rPr>
                <w:sz w:val="20"/>
                <w:szCs w:val="20"/>
                <w:color w:val="auto"/>
              </w:rPr>
            </w:pPr>
            <w:r>
              <w:rPr>
                <w:rFonts w:ascii="Arial" w:cs="Arial" w:eastAsia="Arial" w:hAnsi="Arial"/>
                <w:sz w:val="18"/>
                <w:szCs w:val="18"/>
                <w:color w:val="32406B"/>
              </w:rPr>
              <w:t>8,026,751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32406B"/>
              </w:rPr>
              <w:t>Proceeds, before expenses, to us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8"/>
              </w:rPr>
              <w:t>17.67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6"/>
              </w:rPr>
              <w:t>92,731,418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106,641,118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32406B"/>
        </w:rPr>
        <w:t>The estimated offering expenses payable by us, exclusive of the underwriting discounts and commissions, are approximately $2,276,000. We have agreed to reimburse the underwriters for expenses relating to clearance of this offering with the Financial Industry Regulatory Authority up to $30,000.</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163</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32406B"/>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We have been approved to list our common stock on The Nasdaq Global Select Market under the symbol “AVRO.”</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We and all of our directors and officers and the holders of substantially all of our outstanding stock and stock options have agreed that, without the prior written consent of Morgan Stanley &amp; Co. LLC and Cowen and Company, LLC, on behalf of the underwriters, we and they will not, during the period ending 180 days after the date of this prospectus (the “restricted period”):</w:t>
      </w:r>
    </w:p>
    <w:p>
      <w:pPr>
        <w:spacing w:after="0" w:line="87" w:lineRule="exact"/>
        <w:rPr>
          <w:sz w:val="20"/>
          <w:szCs w:val="20"/>
          <w:color w:val="auto"/>
        </w:rPr>
      </w:pPr>
    </w:p>
    <w:p>
      <w:pPr>
        <w:ind w:left="1060" w:right="40" w:hanging="424"/>
        <w:spacing w:after="0" w:line="264" w:lineRule="auto"/>
        <w:tabs>
          <w:tab w:leader="none" w:pos="1060" w:val="left"/>
        </w:tabs>
        <w:numPr>
          <w:ilvl w:val="0"/>
          <w:numId w:val="100"/>
        </w:numPr>
        <w:rPr>
          <w:rFonts w:ascii="Arial" w:cs="Arial" w:eastAsia="Arial" w:hAnsi="Arial"/>
          <w:sz w:val="18"/>
          <w:szCs w:val="18"/>
          <w:color w:val="32406B"/>
        </w:rPr>
      </w:pPr>
      <w:r>
        <w:rPr>
          <w:rFonts w:ascii="Arial" w:cs="Arial" w:eastAsia="Arial" w:hAnsi="Arial"/>
          <w:sz w:val="18"/>
          <w:szCs w:val="18"/>
          <w:color w:val="32406B"/>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32406B"/>
        </w:rPr>
      </w:pPr>
    </w:p>
    <w:p>
      <w:pPr>
        <w:ind w:left="1060" w:right="160" w:hanging="424"/>
        <w:spacing w:after="0" w:line="277" w:lineRule="auto"/>
        <w:tabs>
          <w:tab w:leader="none" w:pos="1060" w:val="left"/>
        </w:tabs>
        <w:numPr>
          <w:ilvl w:val="0"/>
          <w:numId w:val="100"/>
        </w:numPr>
        <w:rPr>
          <w:rFonts w:ascii="Arial" w:cs="Arial" w:eastAsia="Arial" w:hAnsi="Arial"/>
          <w:sz w:val="18"/>
          <w:szCs w:val="18"/>
          <w:color w:val="32406B"/>
        </w:rPr>
      </w:pPr>
      <w:r>
        <w:rPr>
          <w:rFonts w:ascii="Arial" w:cs="Arial" w:eastAsia="Arial" w:hAnsi="Arial"/>
          <w:sz w:val="18"/>
          <w:szCs w:val="18"/>
          <w:color w:val="32406B"/>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32406B"/>
        </w:rPr>
      </w:pPr>
    </w:p>
    <w:p>
      <w:pPr>
        <w:ind w:left="1060" w:right="260" w:hanging="424"/>
        <w:spacing w:after="0" w:line="277" w:lineRule="auto"/>
        <w:tabs>
          <w:tab w:leader="none" w:pos="1060" w:val="left"/>
        </w:tabs>
        <w:numPr>
          <w:ilvl w:val="0"/>
          <w:numId w:val="100"/>
        </w:numPr>
        <w:rPr>
          <w:rFonts w:ascii="Arial" w:cs="Arial" w:eastAsia="Arial" w:hAnsi="Arial"/>
          <w:sz w:val="18"/>
          <w:szCs w:val="18"/>
          <w:color w:val="32406B"/>
        </w:rPr>
      </w:pPr>
      <w:r>
        <w:rPr>
          <w:rFonts w:ascii="Arial" w:cs="Arial" w:eastAsia="Arial" w:hAnsi="Arial"/>
          <w:sz w:val="18"/>
          <w:szCs w:val="18"/>
          <w:color w:val="32406B"/>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32406B"/>
        </w:rPr>
        <w:t>whether any such transaction described above is to be settled by delivery of common stock or such other securities, in cash or otherwise. In addition, we and each such person agrees that, without the prior written consent of Morgan Stanley &amp; Co. LLC and Cowen and Company,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restrictions described in the immediately preceding paragraph to do not apply to:</w:t>
      </w:r>
    </w:p>
    <w:p>
      <w:pPr>
        <w:spacing w:after="0" w:line="131" w:lineRule="exact"/>
        <w:rPr>
          <w:sz w:val="20"/>
          <w:szCs w:val="20"/>
          <w:color w:val="auto"/>
        </w:rPr>
      </w:pPr>
    </w:p>
    <w:p>
      <w:pPr>
        <w:ind w:left="1060" w:right="40" w:hanging="424"/>
        <w:spacing w:after="0" w:line="277" w:lineRule="auto"/>
        <w:tabs>
          <w:tab w:leader="none" w:pos="106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transactions relating to shares of common stock or other securities acquired in this offering or acquired in open market transactions after this offering</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transfers of shares of common stock or any security convertible into common stock as a bona fide gift;</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01"/>
        </w:numPr>
        <w:rPr>
          <w:rFonts w:ascii="Arial" w:cs="Arial" w:eastAsia="Arial" w:hAnsi="Arial"/>
          <w:sz w:val="16"/>
          <w:szCs w:val="16"/>
          <w:color w:val="32406B"/>
        </w:rPr>
      </w:pPr>
      <w:r>
        <w:rPr>
          <w:rFonts w:ascii="Arial" w:cs="Arial" w:eastAsia="Arial" w:hAnsi="Arial"/>
          <w:sz w:val="16"/>
          <w:szCs w:val="16"/>
          <w:color w:val="32406B"/>
        </w:rPr>
        <w:t>distributions of shares of common stock or any security convertible into common stock to limited partners or stockholders of the signatory;</w:t>
      </w:r>
    </w:p>
    <w:p>
      <w:pPr>
        <w:spacing w:after="0" w:line="153" w:lineRule="exact"/>
        <w:rPr>
          <w:rFonts w:ascii="Arial" w:cs="Arial" w:eastAsia="Arial" w:hAnsi="Arial"/>
          <w:sz w:val="16"/>
          <w:szCs w:val="16"/>
          <w:color w:val="32406B"/>
        </w:rPr>
      </w:pPr>
    </w:p>
    <w:p>
      <w:pPr>
        <w:ind w:left="1060" w:right="260" w:hanging="424"/>
        <w:spacing w:after="0" w:line="277" w:lineRule="auto"/>
        <w:tabs>
          <w:tab w:leader="none" w:pos="106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the establishment of a trading plan pursuant to Rule 10b5-1 under the Exchange Act for the transfer of shares of common stock, provided that such plan does not provide for the transfer of shares of common stock during the restricted period;</w:t>
      </w:r>
    </w:p>
    <w:p>
      <w:pPr>
        <w:spacing w:after="0" w:line="75" w:lineRule="exact"/>
        <w:rPr>
          <w:rFonts w:ascii="Arial" w:cs="Arial" w:eastAsia="Arial" w:hAnsi="Arial"/>
          <w:sz w:val="18"/>
          <w:szCs w:val="18"/>
          <w:color w:val="32406B"/>
        </w:rPr>
      </w:pPr>
    </w:p>
    <w:p>
      <w:pPr>
        <w:ind w:left="1060" w:right="160" w:hanging="424"/>
        <w:spacing w:after="0" w:line="264" w:lineRule="auto"/>
        <w:tabs>
          <w:tab w:leader="none" w:pos="106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transfers or dispositions of shares of common stock or other securities to any member of the immediate family of the signatory or any trust for the direct or indirect benefit of the signatory or the immediate family of the signatory in a transaction not involving a disposition for value;</w:t>
      </w:r>
    </w:p>
    <w:p>
      <w:pPr>
        <w:spacing w:after="0" w:line="86" w:lineRule="exact"/>
        <w:rPr>
          <w:rFonts w:ascii="Arial" w:cs="Arial" w:eastAsia="Arial" w:hAnsi="Arial"/>
          <w:sz w:val="18"/>
          <w:szCs w:val="18"/>
          <w:color w:val="32406B"/>
        </w:rPr>
      </w:pPr>
    </w:p>
    <w:p>
      <w:pPr>
        <w:ind w:left="1060" w:right="320" w:hanging="424"/>
        <w:spacing w:after="0" w:line="277" w:lineRule="auto"/>
        <w:tabs>
          <w:tab w:leader="none" w:pos="106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transfers or dispositions of shares of common stock or other securities to any corporation, partnership, limited liability company or other entity controlled or managed by the signatory, in a transaction not involving a disposition for value;</w:t>
      </w:r>
    </w:p>
    <w:p>
      <w:pPr>
        <w:spacing w:after="0" w:line="75" w:lineRule="exact"/>
        <w:rPr>
          <w:rFonts w:ascii="Arial" w:cs="Arial" w:eastAsia="Arial" w:hAnsi="Arial"/>
          <w:sz w:val="18"/>
          <w:szCs w:val="18"/>
          <w:color w:val="32406B"/>
        </w:rPr>
      </w:pPr>
    </w:p>
    <w:p>
      <w:pPr>
        <w:ind w:left="1060" w:hanging="424"/>
        <w:spacing w:after="0" w:line="264" w:lineRule="auto"/>
        <w:tabs>
          <w:tab w:leader="none" w:pos="106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transfers or dispositions of shares for common stock or other securities (i) by will, other testamentary document or intestate succession to the legal representative, heir, beneficiary or a member of the immediate family of the signatory upon the death of the signatory, or (ii) by operation of law pursuant to a domestic order or negotiated divorce settlement;</w:t>
      </w:r>
    </w:p>
    <w:p>
      <w:pPr>
        <w:spacing w:after="0" w:line="86" w:lineRule="exact"/>
        <w:rPr>
          <w:rFonts w:ascii="Arial" w:cs="Arial" w:eastAsia="Arial" w:hAnsi="Arial"/>
          <w:sz w:val="18"/>
          <w:szCs w:val="18"/>
          <w:color w:val="32406B"/>
        </w:rPr>
      </w:pPr>
    </w:p>
    <w:p>
      <w:pPr>
        <w:ind w:left="1060" w:right="160" w:hanging="424"/>
        <w:spacing w:after="0" w:line="277" w:lineRule="auto"/>
        <w:tabs>
          <w:tab w:leader="none" w:pos="106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transfers or dispositions of common stock or any security convertible into or exercisable or exchangeable for common stock to us pursuant to any contractual arrangement in effect prior to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164</w:t>
      </w:r>
    </w:p>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91" w:lineRule="auto"/>
        <w:rPr>
          <w:sz w:val="20"/>
          <w:szCs w:val="20"/>
          <w:color w:val="auto"/>
        </w:rPr>
      </w:pPr>
      <w:r>
        <w:rPr>
          <w:rFonts w:ascii="Arial" w:cs="Arial" w:eastAsia="Arial" w:hAnsi="Arial"/>
          <w:sz w:val="16"/>
          <w:szCs w:val="16"/>
          <w:color w:val="32406B"/>
        </w:rPr>
        <w:t>date of this prospectus and disclosed to Morgan Stanley &amp; Co. LLC and Cowen and Company, LLC, that provides for the repurchase of common stock or other securities by us or in connection with the termination of employment with or service to us, provided that the repurchase price for any such shares of common stock or other securities shall not exceed the original purchase price (subject to appropriate adjustment in the event of any stock dividend, stock split, combination or other similar recapitalization) paid to us for such shares or securities, and, provided further that any public announcement or public filing under Section 16(a) of the Exchange Act required to be made during the restricted period in connection with such transfer or disposition shall clearly indicate in the footnotes thereto or comments section thereof that such transfer or disposition was made solely to us pursuant to the circumstances described above;</w:t>
      </w:r>
    </w:p>
    <w:p>
      <w:pPr>
        <w:spacing w:after="0" w:line="73" w:lineRule="exact"/>
        <w:rPr>
          <w:sz w:val="20"/>
          <w:szCs w:val="20"/>
          <w:color w:val="auto"/>
        </w:rPr>
      </w:pPr>
    </w:p>
    <w:p>
      <w:pPr>
        <w:ind w:left="1060" w:right="180" w:hanging="424"/>
        <w:spacing w:after="0" w:line="290" w:lineRule="auto"/>
        <w:tabs>
          <w:tab w:leader="none" w:pos="1060" w:val="left"/>
        </w:tabs>
        <w:numPr>
          <w:ilvl w:val="0"/>
          <w:numId w:val="102"/>
        </w:numPr>
        <w:rPr>
          <w:rFonts w:ascii="Arial" w:cs="Arial" w:eastAsia="Arial" w:hAnsi="Arial"/>
          <w:sz w:val="16"/>
          <w:szCs w:val="16"/>
          <w:color w:val="32406B"/>
        </w:rPr>
      </w:pPr>
      <w:r>
        <w:rPr>
          <w:rFonts w:ascii="Arial" w:cs="Arial" w:eastAsia="Arial" w:hAnsi="Arial"/>
          <w:sz w:val="16"/>
          <w:szCs w:val="16"/>
          <w:color w:val="32406B"/>
        </w:rPr>
        <w:t>the conversion of any convertible preferred stock described in this prospectus and outstanding as of the date of this prospectus into, or the exercise of any option or warrant described in the prospectus and outstanding as of the date hereof for, shares of common stock, provided that any such shares of common stock received by the signatory shall be subject to the terms of the lock-up agreement; provided, further, that any public filing or public announcement under Section 16(a) of the Exchange Act required during the restricted period in connection with the conversion of such preferred stock or the exercise of such stock option or warrant shall clearly indicate in the footnotes thereto or comments section thereof that the filing relates to the conversion of preferred stock or the exercise of a stock option or warrant, as the case may be, that no shares of common stock were sold by the reporting person and that the shares of common stock received upon exercise of the stock option or warrant are subject to a lock-up agreement with the underwriters of this offering;</w:t>
      </w:r>
    </w:p>
    <w:p>
      <w:pPr>
        <w:spacing w:after="0" w:line="71" w:lineRule="exact"/>
        <w:rPr>
          <w:rFonts w:ascii="Arial" w:cs="Arial" w:eastAsia="Arial" w:hAnsi="Arial"/>
          <w:sz w:val="16"/>
          <w:szCs w:val="16"/>
          <w:color w:val="32406B"/>
        </w:rPr>
      </w:pPr>
    </w:p>
    <w:p>
      <w:pPr>
        <w:jc w:val="both"/>
        <w:ind w:left="1060" w:right="80" w:hanging="424"/>
        <w:spacing w:after="0" w:line="286" w:lineRule="auto"/>
        <w:tabs>
          <w:tab w:leader="none" w:pos="1060" w:val="left"/>
        </w:tabs>
        <w:numPr>
          <w:ilvl w:val="0"/>
          <w:numId w:val="102"/>
        </w:numPr>
        <w:rPr>
          <w:rFonts w:ascii="Arial" w:cs="Arial" w:eastAsia="Arial" w:hAnsi="Arial"/>
          <w:sz w:val="17"/>
          <w:szCs w:val="17"/>
          <w:color w:val="32406B"/>
        </w:rPr>
      </w:pPr>
      <w:r>
        <w:rPr>
          <w:rFonts w:ascii="Arial" w:cs="Arial" w:eastAsia="Arial" w:hAnsi="Arial"/>
          <w:sz w:val="17"/>
          <w:szCs w:val="17"/>
          <w:color w:val="32406B"/>
        </w:rPr>
        <w:t>transfers or dispositions of title to (but not beneficial ownership of) shares of common stock or other securities to a nominee or custodian of a person or entity to whom a disposition or transfer would be permissible under any of the foregoing clauses; provided that any such shares of common stock or other securities shall remain subject to the terms of the lock-up agreement; or</w:t>
      </w:r>
    </w:p>
    <w:p>
      <w:pPr>
        <w:spacing w:after="0" w:line="70" w:lineRule="exact"/>
        <w:rPr>
          <w:rFonts w:ascii="Arial" w:cs="Arial" w:eastAsia="Arial" w:hAnsi="Arial"/>
          <w:sz w:val="17"/>
          <w:szCs w:val="17"/>
          <w:color w:val="32406B"/>
        </w:rPr>
      </w:pPr>
    </w:p>
    <w:p>
      <w:pPr>
        <w:ind w:left="1060" w:right="140" w:hanging="424"/>
        <w:spacing w:after="0" w:line="257" w:lineRule="auto"/>
        <w:tabs>
          <w:tab w:leader="none" w:pos="1060" w:val="left"/>
        </w:tabs>
        <w:numPr>
          <w:ilvl w:val="0"/>
          <w:numId w:val="102"/>
        </w:numPr>
        <w:rPr>
          <w:rFonts w:ascii="Arial" w:cs="Arial" w:eastAsia="Arial" w:hAnsi="Arial"/>
          <w:sz w:val="18"/>
          <w:szCs w:val="18"/>
          <w:color w:val="32406B"/>
        </w:rPr>
      </w:pPr>
      <w:r>
        <w:rPr>
          <w:rFonts w:ascii="Arial" w:cs="Arial" w:eastAsia="Arial" w:hAnsi="Arial"/>
          <w:sz w:val="18"/>
          <w:szCs w:val="18"/>
          <w:color w:val="32406B"/>
        </w:rPr>
        <w:t>transfers or dispositions of shares of common stock or such other securities pursuant to a bona fide tender offer for shares of our capital stock, merger, consolidation or other similar transaction made to all holders of our securities involving a change of control of us that has been approved by our board of directors, provided that, in the event that the change of control transaction is not consummated, this clause shall not be applicable to the lock-up signatory’s shares and other securities shall remain subject to the restrictions contained in the lock-up agreement;</w:t>
      </w:r>
    </w:p>
    <w:p>
      <w:pPr>
        <w:spacing w:after="0" w:line="188"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32406B"/>
        </w:rPr>
        <w:t>provided that, in the case of any transfer or distribution as described in the second, third, fifth, sixth or seventh bullet point above, the transferee or distributee shall agree to be subject to the restrictions described in the immediately preceding paragraph and (ii) in the case of any transfer or distribution described in the first, second, third, fourth, fifth, sixth, seventh or tenth bullet point above, no public announcement or public filing under Section 16(a) of the Exchange Act relating to such transfer or distribution shall be required or shall be voluntarily made during the restricted period.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In addition, the restrictions described in the paragraph above relating to us do not apply to:</w:t>
      </w:r>
    </w:p>
    <w:p>
      <w:pPr>
        <w:spacing w:after="0" w:line="131" w:lineRule="exact"/>
        <w:rPr>
          <w:sz w:val="20"/>
          <w:szCs w:val="20"/>
          <w:color w:val="auto"/>
        </w:rPr>
      </w:pPr>
    </w:p>
    <w:p>
      <w:pPr>
        <w:ind w:left="1060" w:hanging="424"/>
        <w:spacing w:after="0"/>
        <w:tabs>
          <w:tab w:leader="none" w:pos="106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the shares to be sold in this offering;</w:t>
      </w:r>
    </w:p>
    <w:p>
      <w:pPr>
        <w:spacing w:after="0" w:line="130" w:lineRule="exact"/>
        <w:rPr>
          <w:rFonts w:ascii="Arial" w:cs="Arial" w:eastAsia="Arial" w:hAnsi="Arial"/>
          <w:sz w:val="18"/>
          <w:szCs w:val="18"/>
          <w:color w:val="32406B"/>
        </w:rPr>
      </w:pPr>
    </w:p>
    <w:p>
      <w:pPr>
        <w:ind w:left="1060" w:right="120" w:hanging="424"/>
        <w:spacing w:after="0" w:line="277" w:lineRule="auto"/>
        <w:tabs>
          <w:tab w:leader="none" w:pos="106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our issuance of shares of common stock upon the exercise of an option or warrant or the conversion of a security outstanding on the date of this prospectus pursuant to stock plans disclosed in this prospectus; or</w:t>
      </w:r>
    </w:p>
    <w:p>
      <w:pPr>
        <w:spacing w:after="0" w:line="75" w:lineRule="exact"/>
        <w:rPr>
          <w:rFonts w:ascii="Arial" w:cs="Arial" w:eastAsia="Arial" w:hAnsi="Arial"/>
          <w:sz w:val="18"/>
          <w:szCs w:val="18"/>
          <w:color w:val="32406B"/>
        </w:rPr>
      </w:pPr>
    </w:p>
    <w:p>
      <w:pPr>
        <w:ind w:left="1060" w:right="20" w:hanging="424"/>
        <w:spacing w:after="0" w:line="257" w:lineRule="auto"/>
        <w:tabs>
          <w:tab w:leader="none" w:pos="106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the establishment of a trading plan pursuant to Rule 10b5-1 under the Exchange Act for the transfer of shares of common stock, provided that such plan does not provide for the transfer of shares of common stock during the restricted period and to the extent a public announcement or filing under the Exchange Act is required of or voluntarily made by the Company regarding the establishment of such plan, such announcement or filing shall include a statement to the effect that no transfer of shares of common stock may be made under such plan during the restricted period;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165</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32406B"/>
        </w:rPr>
        <w:t>Morgan Stanley &amp; Co. LLC and Cowen and Company, LLC,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32406B"/>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We and the underwriters have agreed to indemnify each other against certain liabilities, including liabilities under the Securities Act.</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32406B"/>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may, from time to time, perform various financial advisory and investment banking services for us, for which they will receive customary fees and expenses.</w:t>
      </w:r>
    </w:p>
    <w:p>
      <w:pPr>
        <w:spacing w:after="0" w:line="18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32406B"/>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Pricing of the Offering</w:t>
      </w:r>
    </w:p>
    <w:p>
      <w:pPr>
        <w:spacing w:after="0" w:line="121"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32406B"/>
        </w:rPr>
        <w:t>Prior to this offering, there has been no public market for our common stock. The initial public offering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166</w:t>
      </w:r>
    </w:p>
    <w:p>
      <w:pPr>
        <w:sectPr>
          <w:pgSz w:w="11900" w:h="16838" w:orient="portrait"/>
          <w:cols w:equalWidth="0" w:num="1">
            <w:col w:w="11180"/>
          </w:cols>
          <w:pgMar w:left="240" w:top="460"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ratios, market prices of securities, and certain financial and operating information of companies engaged in activities similar to ours.</w:t>
      </w:r>
    </w:p>
    <w:p>
      <w:pPr>
        <w:spacing w:after="0" w:line="329"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color w:val="32406B"/>
        </w:rPr>
        <w:t>Selling Restrictions</w:t>
      </w:r>
    </w:p>
    <w:p>
      <w:pPr>
        <w:spacing w:after="0" w:line="121" w:lineRule="exact"/>
        <w:rPr>
          <w:sz w:val="20"/>
          <w:szCs w:val="20"/>
          <w:color w:val="auto"/>
        </w:rPr>
      </w:pPr>
    </w:p>
    <w:p>
      <w:pPr>
        <w:jc w:val="center"/>
        <w:ind w:right="9360"/>
        <w:spacing w:after="0"/>
        <w:rPr>
          <w:sz w:val="20"/>
          <w:szCs w:val="20"/>
          <w:color w:val="auto"/>
        </w:rPr>
      </w:pPr>
      <w:r>
        <w:rPr>
          <w:rFonts w:ascii="Arial" w:cs="Arial" w:eastAsia="Arial" w:hAnsi="Arial"/>
          <w:sz w:val="18"/>
          <w:szCs w:val="18"/>
          <w:b w:val="1"/>
          <w:bCs w:val="1"/>
          <w:i w:val="1"/>
          <w:iCs w:val="1"/>
          <w:color w:val="32406B"/>
        </w:rPr>
        <w:t>Canada</w:t>
      </w:r>
    </w:p>
    <w:p>
      <w:pPr>
        <w:spacing w:after="0" w:line="117"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32406B"/>
        </w:rPr>
        <w:t xml:space="preserve">Shares of our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32406B"/>
        </w:rPr>
        <w:t>Prospectus Exemptions</w:t>
      </w:r>
      <w:r>
        <w:rPr>
          <w:rFonts w:ascii="Arial" w:cs="Arial" w:eastAsia="Arial" w:hAnsi="Arial"/>
          <w:sz w:val="16"/>
          <w:szCs w:val="16"/>
          <w:color w:val="32406B"/>
        </w:rPr>
        <w:t xml:space="preserve"> or subsection 73.3(1) of the </w:t>
      </w:r>
      <w:r>
        <w:rPr>
          <w:rFonts w:ascii="Arial" w:cs="Arial" w:eastAsia="Arial" w:hAnsi="Arial"/>
          <w:sz w:val="16"/>
          <w:szCs w:val="16"/>
          <w:i w:val="1"/>
          <w:iCs w:val="1"/>
          <w:color w:val="32406B"/>
        </w:rPr>
        <w:t>Securities Act</w:t>
      </w:r>
      <w:r>
        <w:rPr>
          <w:rFonts w:ascii="Arial" w:cs="Arial" w:eastAsia="Arial" w:hAnsi="Arial"/>
          <w:sz w:val="16"/>
          <w:szCs w:val="16"/>
          <w:color w:val="32406B"/>
        </w:rPr>
        <w:t xml:space="preserve"> (Ontario), and are permitted clients, as defined in National Instrument 31-103 </w:t>
      </w:r>
      <w:r>
        <w:rPr>
          <w:rFonts w:ascii="Arial" w:cs="Arial" w:eastAsia="Arial" w:hAnsi="Arial"/>
          <w:sz w:val="16"/>
          <w:szCs w:val="16"/>
          <w:i w:val="1"/>
          <w:iCs w:val="1"/>
          <w:color w:val="32406B"/>
        </w:rPr>
        <w:t>Registration Requirements, Exemptions and Ongoing Registrant Obligations</w:t>
      </w:r>
      <w:r>
        <w:rPr>
          <w:rFonts w:ascii="Arial" w:cs="Arial" w:eastAsia="Arial" w:hAnsi="Arial"/>
          <w:sz w:val="16"/>
          <w:szCs w:val="16"/>
          <w:color w:val="32406B"/>
        </w:rPr>
        <w:t>. Any resale of shares of our common stock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32406B"/>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32406B"/>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European Economic Area</w:t>
      </w:r>
    </w:p>
    <w:p>
      <w:pPr>
        <w:spacing w:after="0" w:line="11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32406B"/>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92" w:lineRule="exact"/>
        <w:rPr>
          <w:sz w:val="20"/>
          <w:szCs w:val="20"/>
          <w:color w:val="auto"/>
        </w:rPr>
      </w:pPr>
    </w:p>
    <w:p>
      <w:pPr>
        <w:ind w:left="1060" w:hanging="299"/>
        <w:spacing w:after="0"/>
        <w:tabs>
          <w:tab w:leader="none" w:pos="1060" w:val="left"/>
        </w:tabs>
        <w:numPr>
          <w:ilvl w:val="0"/>
          <w:numId w:val="104"/>
        </w:numPr>
        <w:rPr>
          <w:rFonts w:ascii="Arial" w:cs="Arial" w:eastAsia="Arial" w:hAnsi="Arial"/>
          <w:sz w:val="18"/>
          <w:szCs w:val="18"/>
          <w:color w:val="32406B"/>
        </w:rPr>
      </w:pPr>
      <w:r>
        <w:rPr>
          <w:rFonts w:ascii="Arial" w:cs="Arial" w:eastAsia="Arial" w:hAnsi="Arial"/>
          <w:sz w:val="18"/>
          <w:szCs w:val="18"/>
          <w:color w:val="32406B"/>
        </w:rPr>
        <w:t>to any legal entity which is a qualified investor as defined in the Prospectus Directive;</w:t>
      </w:r>
    </w:p>
    <w:p>
      <w:pPr>
        <w:spacing w:after="0" w:line="130" w:lineRule="exact"/>
        <w:rPr>
          <w:rFonts w:ascii="Arial" w:cs="Arial" w:eastAsia="Arial" w:hAnsi="Arial"/>
          <w:sz w:val="18"/>
          <w:szCs w:val="18"/>
          <w:color w:val="32406B"/>
        </w:rPr>
      </w:pPr>
    </w:p>
    <w:p>
      <w:pPr>
        <w:ind w:left="1060" w:hanging="310"/>
        <w:spacing w:after="0" w:line="264" w:lineRule="auto"/>
        <w:tabs>
          <w:tab w:leader="none" w:pos="1060" w:val="left"/>
        </w:tabs>
        <w:numPr>
          <w:ilvl w:val="0"/>
          <w:numId w:val="104"/>
        </w:numPr>
        <w:rPr>
          <w:rFonts w:ascii="Arial" w:cs="Arial" w:eastAsia="Arial" w:hAnsi="Arial"/>
          <w:sz w:val="18"/>
          <w:szCs w:val="18"/>
          <w:color w:val="32406B"/>
        </w:rPr>
      </w:pPr>
      <w:r>
        <w:rPr>
          <w:rFonts w:ascii="Arial" w:cs="Arial" w:eastAsia="Arial" w:hAnsi="Arial"/>
          <w:sz w:val="18"/>
          <w:szCs w:val="18"/>
          <w:color w:val="32406B"/>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32406B"/>
        </w:rPr>
      </w:pPr>
    </w:p>
    <w:p>
      <w:pPr>
        <w:ind w:left="1060" w:right="20" w:hanging="299"/>
        <w:spacing w:after="0" w:line="342" w:lineRule="auto"/>
        <w:tabs>
          <w:tab w:leader="none" w:pos="1060" w:val="left"/>
        </w:tabs>
        <w:numPr>
          <w:ilvl w:val="0"/>
          <w:numId w:val="104"/>
        </w:numPr>
        <w:rPr>
          <w:rFonts w:ascii="Arial" w:cs="Arial" w:eastAsia="Arial" w:hAnsi="Arial"/>
          <w:sz w:val="16"/>
          <w:szCs w:val="16"/>
          <w:color w:val="32406B"/>
        </w:rPr>
      </w:pPr>
      <w:r>
        <w:rPr>
          <w:rFonts w:ascii="Arial" w:cs="Arial" w:eastAsia="Arial" w:hAnsi="Arial"/>
          <w:sz w:val="16"/>
          <w:szCs w:val="16"/>
          <w:color w:val="32406B"/>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32406B"/>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167</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Each underwriter has represented and agreed that:</w:t>
      </w:r>
    </w:p>
    <w:p>
      <w:pPr>
        <w:spacing w:after="0" w:line="131" w:lineRule="exact"/>
        <w:rPr>
          <w:sz w:val="20"/>
          <w:szCs w:val="20"/>
          <w:color w:val="auto"/>
        </w:rPr>
      </w:pPr>
    </w:p>
    <w:p>
      <w:pPr>
        <w:ind w:left="1060" w:hanging="299"/>
        <w:spacing w:after="0" w:line="259" w:lineRule="auto"/>
        <w:tabs>
          <w:tab w:leader="none" w:pos="1060" w:val="left"/>
        </w:tabs>
        <w:numPr>
          <w:ilvl w:val="0"/>
          <w:numId w:val="105"/>
        </w:numPr>
        <w:rPr>
          <w:rFonts w:ascii="Arial" w:cs="Arial" w:eastAsia="Arial" w:hAnsi="Arial"/>
          <w:sz w:val="18"/>
          <w:szCs w:val="18"/>
          <w:color w:val="32406B"/>
        </w:rPr>
      </w:pPr>
      <w:r>
        <w:rPr>
          <w:rFonts w:ascii="Arial" w:cs="Arial" w:eastAsia="Arial" w:hAnsi="Arial"/>
          <w:sz w:val="18"/>
          <w:szCs w:val="18"/>
          <w:color w:val="32406B"/>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32406B"/>
        </w:rPr>
      </w:pPr>
    </w:p>
    <w:p>
      <w:pPr>
        <w:ind w:left="1060" w:right="80" w:hanging="310"/>
        <w:spacing w:after="0" w:line="277" w:lineRule="auto"/>
        <w:tabs>
          <w:tab w:leader="none" w:pos="1060" w:val="left"/>
        </w:tabs>
        <w:numPr>
          <w:ilvl w:val="0"/>
          <w:numId w:val="105"/>
        </w:numPr>
        <w:rPr>
          <w:rFonts w:ascii="Arial" w:cs="Arial" w:eastAsia="Arial" w:hAnsi="Arial"/>
          <w:sz w:val="18"/>
          <w:szCs w:val="18"/>
          <w:color w:val="32406B"/>
        </w:rPr>
      </w:pPr>
      <w:r>
        <w:rPr>
          <w:rFonts w:ascii="Arial" w:cs="Arial" w:eastAsia="Arial" w:hAnsi="Arial"/>
          <w:sz w:val="18"/>
          <w:szCs w:val="18"/>
          <w:color w:val="32406B"/>
        </w:rPr>
        <w:t>it has complied and will comply with all applicable provisions of the FSMA with respect to anything done by it in relation to the shares of our common stock in, from or otherwise involving the United Kingdom.</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32406B"/>
        </w:rPr>
        <w:t>168</w:t>
      </w:r>
    </w:p>
    <w:p>
      <w:pPr>
        <w:sectPr>
          <w:pgSz w:w="11900" w:h="16838" w:orient="portrait"/>
          <w:cols w:equalWidth="0" w:num="1">
            <w:col w:w="11100"/>
          </w:cols>
          <w:pgMar w:left="240" w:top="459" w:right="5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LEGAL MATTERS</w:t>
      </w:r>
    </w:p>
    <w:p>
      <w:pPr>
        <w:spacing w:after="0" w:line="229"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32406B"/>
        </w:rPr>
        <w:t>The validity of the shares of common stock offered by this prospectus will be passed upon for us by Goodwin Procter LLP, Boston, Massachusetts. Certain legal matters relating to this offering will be passed upon for the underwriters by Ropes &amp; Gray LLP, Boston, Massachusetts.</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EXPERTS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The consolidated financial statements of AVROBIO, Inc. at December 31, 2016 and 2017, and for the years then ended,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WHERE YOU CAN FIND MORE INFORMATION</w:t>
      </w:r>
    </w:p>
    <w:p>
      <w:pPr>
        <w:spacing w:after="0" w:line="229"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32406B"/>
        </w:rPr>
        <w:t>We have filed with the SEC a registration statement on Form S-1 (File Number 333-225213) under the Securities Act with respect to the common stock we are offering by this prospectus. This prospectus does not contain all of the information included in the registration statement. For further information pertaining to us and our common stock,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73"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32406B"/>
        </w:rPr>
        <w:t>Upon the completion of the offering, we will be subject to the informational requirements of the Exchange Act and will file annual, quarterly and current reports, proxy statements and other information with the SEC. You can read our SEC filings, including the registration statement, at the SEC’s website at www.sec.gov. You may also read and copy any document we file with the SEC at its public reference facility at 100 F Street, N.E.,</w:t>
      </w:r>
    </w:p>
    <w:p>
      <w:pPr>
        <w:ind w:left="200" w:right="20"/>
        <w:spacing w:after="0" w:line="255" w:lineRule="auto"/>
        <w:rPr>
          <w:sz w:val="20"/>
          <w:szCs w:val="20"/>
          <w:color w:val="auto"/>
        </w:rPr>
      </w:pPr>
      <w:r>
        <w:rPr>
          <w:rFonts w:ascii="Arial" w:cs="Arial" w:eastAsia="Arial" w:hAnsi="Arial"/>
          <w:sz w:val="18"/>
          <w:szCs w:val="18"/>
          <w:color w:val="32406B"/>
        </w:rPr>
        <w:t>Room 1580, Washington, D.C. 20549. We also maintain a website at www.avrobio.com. Upon completion of the offering, you may access, free of charge, our annual reports on Form 10-K, quarterly reports on Form 10-Q, current reports on Form 8-K and any amendments to those reports, as soon as reasonably practicable after such material is electronically filed with, or furnished to, the SEC.</w:t>
      </w:r>
    </w:p>
    <w:p>
      <w:pPr>
        <w:spacing w:after="0" w:line="190" w:lineRule="exact"/>
        <w:rPr>
          <w:sz w:val="20"/>
          <w:szCs w:val="20"/>
          <w:color w:val="auto"/>
        </w:rPr>
      </w:pPr>
    </w:p>
    <w:p>
      <w:pPr>
        <w:ind w:left="200" w:right="440" w:firstLine="441"/>
        <w:spacing w:after="0" w:line="342" w:lineRule="auto"/>
        <w:rPr>
          <w:sz w:val="20"/>
          <w:szCs w:val="20"/>
          <w:color w:val="auto"/>
        </w:rPr>
      </w:pPr>
      <w:r>
        <w:rPr>
          <w:rFonts w:ascii="Arial" w:cs="Arial" w:eastAsia="Arial" w:hAnsi="Arial"/>
          <w:sz w:val="16"/>
          <w:szCs w:val="16"/>
          <w:color w:val="32406B"/>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169</w:t>
      </w:r>
    </w:p>
    <w:p>
      <w:pPr>
        <w:sectPr>
          <w:pgSz w:w="11900" w:h="16838" w:orient="portrait"/>
          <w:cols w:equalWidth="0" w:num="1">
            <w:col w:w="11200"/>
          </w:cols>
          <w:pgMar w:left="240" w:top="460"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AVROBIO,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INDEX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32406B"/>
        </w:rPr>
        <w:t>Index to Consolidated Financial Statements as of December 31, 2016 and 2017 and for the Years Ended December 31, 2016 and 2017</w:t>
      </w: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7"/>
            <w:vMerge w:val="restart"/>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32406B"/>
            </w:tcBorders>
          </w:tcPr>
          <w:p>
            <w:pPr>
              <w:spacing w:after="0"/>
              <w:rPr>
                <w:sz w:val="20"/>
                <w:szCs w:val="20"/>
                <w:color w:val="auto"/>
              </w:rPr>
            </w:pPr>
            <w:r>
              <w:rPr>
                <w:rFonts w:ascii="Arial" w:cs="Arial" w:eastAsia="Arial" w:hAnsi="Arial"/>
                <w:sz w:val="14"/>
                <w:szCs w:val="14"/>
                <w:b w:val="1"/>
                <w:bCs w:val="1"/>
                <w:color w:val="32406B"/>
                <w:w w:val="89"/>
              </w:rPr>
              <w:t>Page</w:t>
            </w:r>
          </w:p>
        </w:tc>
        <w:tc>
          <w:tcPr>
            <w:tcW w:w="0" w:type="dxa"/>
            <w:vAlign w:val="bottom"/>
          </w:tcPr>
          <w:p>
            <w:pPr>
              <w:spacing w:after="0"/>
              <w:rPr>
                <w:sz w:val="1"/>
                <w:szCs w:val="1"/>
                <w:color w:val="auto"/>
              </w:rPr>
            </w:pPr>
          </w:p>
        </w:tc>
      </w:tr>
      <w:tr>
        <w:trPr>
          <w:trHeight w:val="169"/>
        </w:trPr>
        <w:tc>
          <w:tcPr>
            <w:tcW w:w="10660" w:type="dxa"/>
            <w:vAlign w:val="bottom"/>
            <w:gridSpan w:val="7"/>
            <w:vMerge w:val="continue"/>
          </w:tcPr>
          <w:p>
            <w:pPr>
              <w:spacing w:after="0"/>
              <w:rPr>
                <w:sz w:val="14"/>
                <w:szCs w:val="14"/>
                <w:color w:val="auto"/>
              </w:rPr>
            </w:pPr>
          </w:p>
        </w:tc>
        <w:tc>
          <w:tcPr>
            <w:tcW w:w="320" w:type="dxa"/>
            <w:vAlign w:val="bottom"/>
          </w:tcPr>
          <w:p>
            <w:pPr>
              <w:ind w:left="60"/>
              <w:spacing w:after="0" w:line="170" w:lineRule="exact"/>
              <w:rPr>
                <w:sz w:val="20"/>
                <w:szCs w:val="20"/>
                <w:color w:val="auto"/>
              </w:rPr>
            </w:pPr>
            <w:r>
              <w:rPr>
                <w:rFonts w:ascii="Arial" w:cs="Arial" w:eastAsia="Arial" w:hAnsi="Arial"/>
                <w:sz w:val="18"/>
                <w:szCs w:val="18"/>
                <w:color w:val="32406B"/>
                <w:w w:val="88"/>
              </w:rPr>
              <w:t>F-2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74">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17"/>
                <w:szCs w:val="17"/>
                <w:color w:val="auto"/>
              </w:rPr>
            </w:pPr>
          </w:p>
        </w:tc>
        <w:tc>
          <w:tcPr>
            <w:tcW w:w="644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32406B"/>
                <w:w w:val="88"/>
              </w:rPr>
              <w:t>F-3</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Consolidated Statements of Operations and Comprehensive Loss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32406B"/>
                <w:w w:val="88"/>
              </w:rPr>
              <w:t>F-4</w:t>
            </w:r>
          </w:p>
        </w:tc>
        <w:tc>
          <w:tcPr>
            <w:tcW w:w="0" w:type="dxa"/>
            <w:vAlign w:val="bottom"/>
          </w:tcPr>
          <w:p>
            <w:pPr>
              <w:spacing w:after="0"/>
              <w:rPr>
                <w:sz w:val="1"/>
                <w:szCs w:val="1"/>
                <w:color w:val="auto"/>
              </w:rPr>
            </w:pP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76">
              <w:r>
                <w:rPr>
                  <w:rFonts w:ascii="Arial" w:cs="Arial" w:eastAsia="Arial" w:hAnsi="Arial"/>
                  <w:sz w:val="18"/>
                  <w:szCs w:val="18"/>
                  <w:color w:val="0000EE"/>
                  <w:w w:val="90"/>
                </w:rPr>
                <w:t>Consolidated Statements of Redeemable Convertible Preferred Stock and Stockholders’ Deficit</w:t>
              </w:r>
            </w:hyperlink>
          </w:p>
        </w:tc>
        <w:tc>
          <w:tcPr>
            <w:tcW w:w="378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32406B"/>
                <w:w w:val="88"/>
              </w:rPr>
              <w:t>F-5</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77">
              <w:r>
                <w:rPr>
                  <w:rFonts w:ascii="Arial" w:cs="Arial" w:eastAsia="Arial" w:hAnsi="Arial"/>
                  <w:sz w:val="18"/>
                  <w:szCs w:val="18"/>
                  <w:color w:val="0000EE"/>
                  <w:w w:val="89"/>
                </w:rPr>
                <w:t>Consolidated Statements of Cash Flows</w:t>
              </w:r>
            </w:hyperlink>
          </w:p>
        </w:tc>
        <w:tc>
          <w:tcPr>
            <w:tcW w:w="7780" w:type="dxa"/>
            <w:vAlign w:val="bottom"/>
            <w:gridSpan w:val="5"/>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32406B"/>
                <w:w w:val="88"/>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78">
              <w:r>
                <w:rPr>
                  <w:rFonts w:ascii="Arial" w:cs="Arial" w:eastAsia="Arial" w:hAnsi="Arial"/>
                  <w:sz w:val="18"/>
                  <w:szCs w:val="18"/>
                  <w:color w:val="0000EE"/>
                  <w:w w:val="89"/>
                </w:rPr>
                <w:t>Notes to Consolidated Financial Statements</w:t>
              </w:r>
            </w:hyperlink>
          </w:p>
        </w:tc>
        <w:tc>
          <w:tcPr>
            <w:tcW w:w="7500" w:type="dxa"/>
            <w:vAlign w:val="bottom"/>
            <w:gridSpan w:val="4"/>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32406B"/>
                <w:w w:val="88"/>
              </w:rPr>
              <w:t>F-7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00" w:right="380"/>
        <w:spacing w:after="0" w:line="282" w:lineRule="auto"/>
        <w:rPr>
          <w:sz w:val="20"/>
          <w:szCs w:val="20"/>
          <w:color w:val="auto"/>
        </w:rPr>
      </w:pPr>
      <w:r>
        <w:rPr>
          <w:rFonts w:ascii="Arial" w:cs="Arial" w:eastAsia="Arial" w:hAnsi="Arial"/>
          <w:sz w:val="18"/>
          <w:szCs w:val="18"/>
          <w:b w:val="1"/>
          <w:bCs w:val="1"/>
          <w:color w:val="32406B"/>
        </w:rPr>
        <w:t>Index to Unaudited Interim Condensed Consolidated Financial Statements as of December 31, 2017 and March 31, 2018 and for the Three Month Periods Ended March 31, 2017 and 2018</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940" w:type="dxa"/>
            <w:vAlign w:val="bottom"/>
            <w:vMerge w:val="restart"/>
          </w:tcPr>
          <w:p>
            <w:pPr>
              <w:spacing w:after="0"/>
              <w:rPr>
                <w:rFonts w:ascii="Arial" w:cs="Arial" w:eastAsia="Arial" w:hAnsi="Arial"/>
                <w:sz w:val="18"/>
                <w:szCs w:val="18"/>
                <w:color w:val="0000EE"/>
                <w:w w:val="87"/>
              </w:rPr>
            </w:pPr>
            <w:hyperlink w:anchor="page209">
              <w:r>
                <w:rPr>
                  <w:rFonts w:ascii="Arial" w:cs="Arial" w:eastAsia="Arial" w:hAnsi="Arial"/>
                  <w:sz w:val="18"/>
                  <w:szCs w:val="18"/>
                  <w:color w:val="0000EE"/>
                  <w:w w:val="87"/>
                </w:rPr>
                <w:t>Condensed Consolidated Balance Sheets</w:t>
              </w:r>
            </w:hyperlink>
          </w:p>
        </w:tc>
        <w:tc>
          <w:tcPr>
            <w:tcW w:w="7640" w:type="dxa"/>
            <w:vAlign w:val="bottom"/>
            <w:gridSpan w:val="5"/>
            <w:vMerge w:val="restart"/>
          </w:tcPr>
          <w:p>
            <w:pPr>
              <w:spacing w:after="0"/>
              <w:rPr>
                <w:sz w:val="14"/>
                <w:szCs w:val="14"/>
                <w:color w:val="auto"/>
              </w:rPr>
            </w:pPr>
          </w:p>
        </w:tc>
        <w:tc>
          <w:tcPr>
            <w:tcW w:w="400" w:type="dxa"/>
            <w:vAlign w:val="bottom"/>
            <w:tcBorders>
              <w:bottom w:val="single" w:sz="8" w:color="32406B"/>
            </w:tcBorders>
          </w:tcPr>
          <w:p>
            <w:pPr>
              <w:ind w:left="40"/>
              <w:spacing w:after="0"/>
              <w:rPr>
                <w:sz w:val="20"/>
                <w:szCs w:val="20"/>
                <w:color w:val="auto"/>
              </w:rPr>
            </w:pPr>
            <w:r>
              <w:rPr>
                <w:rFonts w:ascii="Arial" w:cs="Arial" w:eastAsia="Arial" w:hAnsi="Arial"/>
                <w:sz w:val="14"/>
                <w:szCs w:val="14"/>
                <w:b w:val="1"/>
                <w:bCs w:val="1"/>
                <w:color w:val="32406B"/>
              </w:rPr>
              <w:t>Page</w:t>
            </w:r>
          </w:p>
        </w:tc>
        <w:tc>
          <w:tcPr>
            <w:tcW w:w="0" w:type="dxa"/>
            <w:vAlign w:val="bottom"/>
          </w:tcPr>
          <w:p>
            <w:pPr>
              <w:spacing w:after="0"/>
              <w:rPr>
                <w:sz w:val="1"/>
                <w:szCs w:val="1"/>
                <w:color w:val="auto"/>
              </w:rPr>
            </w:pPr>
          </w:p>
        </w:tc>
      </w:tr>
      <w:tr>
        <w:trPr>
          <w:trHeight w:val="174"/>
        </w:trPr>
        <w:tc>
          <w:tcPr>
            <w:tcW w:w="2940" w:type="dxa"/>
            <w:vAlign w:val="bottom"/>
            <w:tcBorders>
              <w:bottom w:val="single" w:sz="8" w:color="0000EE"/>
            </w:tcBorders>
            <w:vMerge w:val="continue"/>
          </w:tcPr>
          <w:p>
            <w:pPr>
              <w:spacing w:after="0"/>
              <w:rPr>
                <w:sz w:val="14"/>
                <w:szCs w:val="14"/>
                <w:color w:val="auto"/>
              </w:rPr>
            </w:pPr>
          </w:p>
        </w:tc>
        <w:tc>
          <w:tcPr>
            <w:tcW w:w="7640" w:type="dxa"/>
            <w:vAlign w:val="bottom"/>
            <w:gridSpan w:val="5"/>
            <w:vMerge w:val="continue"/>
          </w:tcPr>
          <w:p>
            <w:pPr>
              <w:spacing w:after="0"/>
              <w:rPr>
                <w:sz w:val="14"/>
                <w:szCs w:val="14"/>
                <w:color w:val="auto"/>
              </w:rPr>
            </w:pPr>
          </w:p>
        </w:tc>
        <w:tc>
          <w:tcPr>
            <w:tcW w:w="400" w:type="dxa"/>
            <w:vAlign w:val="bottom"/>
          </w:tcPr>
          <w:p>
            <w:pPr>
              <w:ind w:left="60"/>
              <w:spacing w:after="0" w:line="170" w:lineRule="exact"/>
              <w:rPr>
                <w:sz w:val="20"/>
                <w:szCs w:val="20"/>
                <w:color w:val="auto"/>
              </w:rPr>
            </w:pPr>
            <w:r>
              <w:rPr>
                <w:rFonts w:ascii="Arial" w:cs="Arial" w:eastAsia="Arial" w:hAnsi="Arial"/>
                <w:sz w:val="18"/>
                <w:szCs w:val="18"/>
                <w:color w:val="32406B"/>
                <w:w w:val="86"/>
              </w:rPr>
              <w:t>F-38</w:t>
            </w:r>
          </w:p>
        </w:tc>
        <w:tc>
          <w:tcPr>
            <w:tcW w:w="0" w:type="dxa"/>
            <w:vAlign w:val="bottom"/>
          </w:tcPr>
          <w:p>
            <w:pPr>
              <w:spacing w:after="0"/>
              <w:rPr>
                <w:sz w:val="1"/>
                <w:szCs w:val="1"/>
                <w:color w:val="auto"/>
              </w:rPr>
            </w:pPr>
          </w:p>
        </w:tc>
      </w:tr>
      <w:tr>
        <w:trPr>
          <w:trHeight w:val="196"/>
        </w:trPr>
        <w:tc>
          <w:tcPr>
            <w:tcW w:w="10580" w:type="dxa"/>
            <w:vAlign w:val="bottom"/>
            <w:gridSpan w:val="6"/>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Condensed Consolidated Statements of Operations and Comprehensive Loss</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32406B"/>
                <w:w w:val="86"/>
              </w:rPr>
              <w:t>F-39</w:t>
            </w:r>
          </w:p>
        </w:tc>
        <w:tc>
          <w:tcPr>
            <w:tcW w:w="0" w:type="dxa"/>
            <w:vAlign w:val="bottom"/>
          </w:tcPr>
          <w:p>
            <w:pPr>
              <w:spacing w:after="0"/>
              <w:rPr>
                <w:sz w:val="1"/>
                <w:szCs w:val="1"/>
                <w:color w:val="auto"/>
              </w:rPr>
            </w:pPr>
          </w:p>
        </w:tc>
      </w:tr>
      <w:tr>
        <w:trPr>
          <w:trHeight w:val="20"/>
        </w:trPr>
        <w:tc>
          <w:tcPr>
            <w:tcW w:w="37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6"/>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Condensed Consolidated Statements of Redeemable Convertible Preferred Stock and Stockholders’ (Deficit) Equity</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32406B"/>
                <w:w w:val="86"/>
              </w:rPr>
              <w:t>F-40</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212">
              <w:r>
                <w:rPr>
                  <w:rFonts w:ascii="Arial" w:cs="Arial" w:eastAsia="Arial" w:hAnsi="Arial"/>
                  <w:sz w:val="18"/>
                  <w:szCs w:val="18"/>
                  <w:color w:val="0000EE"/>
                  <w:w w:val="88"/>
                </w:rPr>
                <w:t>Condensed Consolidated Statements of Cash Flows</w:t>
              </w:r>
            </w:hyperlink>
          </w:p>
        </w:tc>
        <w:tc>
          <w:tcPr>
            <w:tcW w:w="4640" w:type="dxa"/>
            <w:vAlign w:val="bottom"/>
            <w:tcBorders>
              <w:top w:val="single" w:sz="8" w:color="0000EE"/>
            </w:tcBorders>
            <w:gridSpan w:val="3"/>
          </w:tcPr>
          <w:p>
            <w:pPr>
              <w:spacing w:after="0"/>
              <w:rPr>
                <w:sz w:val="17"/>
                <w:szCs w:val="17"/>
                <w:color w:val="auto"/>
              </w:rPr>
            </w:pPr>
          </w:p>
        </w:tc>
        <w:tc>
          <w:tcPr>
            <w:tcW w:w="2220" w:type="dxa"/>
            <w:vAlign w:val="bottom"/>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32406B"/>
                <w:w w:val="86"/>
              </w:rPr>
              <w:t>F-41</w:t>
            </w:r>
          </w:p>
        </w:tc>
        <w:tc>
          <w:tcPr>
            <w:tcW w:w="0" w:type="dxa"/>
            <w:vAlign w:val="bottom"/>
          </w:tcPr>
          <w:p>
            <w:pPr>
              <w:spacing w:after="0"/>
              <w:rPr>
                <w:sz w:val="1"/>
                <w:szCs w:val="1"/>
                <w:color w:val="auto"/>
              </w:rPr>
            </w:pPr>
          </w:p>
        </w:tc>
      </w:tr>
      <w:tr>
        <w:trPr>
          <w:trHeight w:val="196"/>
        </w:trPr>
        <w:tc>
          <w:tcPr>
            <w:tcW w:w="10580" w:type="dxa"/>
            <w:vAlign w:val="bottom"/>
            <w:gridSpan w:val="6"/>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Notes to Condensed Consolidated Financial Statements</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32406B"/>
                <w:w w:val="86"/>
              </w:rPr>
              <w:t>F-42</w:t>
            </w:r>
          </w:p>
        </w:tc>
        <w:tc>
          <w:tcPr>
            <w:tcW w:w="0" w:type="dxa"/>
            <w:vAlign w:val="bottom"/>
          </w:tcPr>
          <w:p>
            <w:pPr>
              <w:spacing w:after="0"/>
              <w:rPr>
                <w:sz w:val="1"/>
                <w:szCs w:val="1"/>
                <w:color w:val="auto"/>
              </w:rPr>
            </w:pPr>
          </w:p>
        </w:tc>
      </w:tr>
      <w:tr>
        <w:trPr>
          <w:trHeight w:val="385"/>
        </w:trPr>
        <w:tc>
          <w:tcPr>
            <w:tcW w:w="29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580" w:type="dxa"/>
            <w:vAlign w:val="bottom"/>
            <w:gridSpan w:val="3"/>
          </w:tcPr>
          <w:p>
            <w:pPr>
              <w:ind w:left="1380"/>
              <w:spacing w:after="0"/>
              <w:rPr>
                <w:sz w:val="20"/>
                <w:szCs w:val="20"/>
                <w:color w:val="auto"/>
              </w:rPr>
            </w:pPr>
            <w:r>
              <w:rPr>
                <w:rFonts w:ascii="Arial" w:cs="Arial" w:eastAsia="Arial" w:hAnsi="Arial"/>
                <w:sz w:val="18"/>
                <w:szCs w:val="18"/>
                <w:color w:val="32406B"/>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32406B"/>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To the Stockholders and Board of Directors of AVROBIO,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Opinion on the Financial Statements</w:t>
      </w:r>
    </w:p>
    <w:p>
      <w:pPr>
        <w:spacing w:after="0" w:line="121"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32406B"/>
        </w:rPr>
        <w:t>We have audited the accompanying consolidated balance sheets of AVROBIO, Inc. (the Company) as of December 31, 2016 and 2017,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2016 and 2017, and the results of its operations and its cash flows for the years then ended, in conformity with U.S. generally accepted accounting principles.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Basis for Opinion</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32406B"/>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32406B"/>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32406B"/>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We have served as the Company’s auditor since 2018.</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Boston, Massachusetts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April 6, 2018, except for Note 17(b),</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as to which the date is June 11, 2018</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F-2</w:t>
      </w:r>
    </w:p>
    <w:p>
      <w:pPr>
        <w:sectPr>
          <w:pgSz w:w="11900" w:h="16838" w:orient="portrait"/>
          <w:cols w:equalWidth="0" w:num="1">
            <w:col w:w="11200"/>
          </w:cols>
          <w:pgMar w:left="240" w:top="460"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32406B"/>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32406B"/>
                <w:w w:val="96"/>
              </w:rPr>
              <w:t>2016</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32406B"/>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32406B"/>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5,357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32406B"/>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5,376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6,308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32406B"/>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32406B"/>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32406B"/>
              </w:rPr>
              <w:t>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32406B"/>
              </w:rPr>
              <w:t>Total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7"/>
              </w:rPr>
              <w:t>5,400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Liabilities, redeemable convertible preferred stock and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32406B"/>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340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32406B"/>
              </w:rPr>
              <w:t>Accrued expenses and other 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551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32406B"/>
              </w:rPr>
              <w:t>Warrant to purchase redeemable convertible 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32406B"/>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Derivative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32406B"/>
              </w:rPr>
              <w:t>Deferred rent,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32406B"/>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Other long-term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32406B"/>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979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3,657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32406B"/>
              </w:rPr>
              <w:t>Commitments and contingencies (Note 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32406B"/>
              </w:rPr>
              <w:t>Redeemable convertible preferred stock (Note 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w w:val="97"/>
              </w:rPr>
              <w:t>9,000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w w:val="98"/>
              </w:rPr>
              <w:t>26,500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32406B"/>
              </w:rPr>
              <w:t>Stockholders’ (deficit)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32406B"/>
                <w:w w:val="98"/>
              </w:rPr>
              <w:t>Common stock, $0.0001 par value; 40,000,000 and 51,000,000 shares authorized as of December 31, 2016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520"/>
              <w:spacing w:after="0"/>
              <w:rPr>
                <w:sz w:val="20"/>
                <w:szCs w:val="20"/>
                <w:color w:val="auto"/>
              </w:rPr>
            </w:pPr>
            <w:r>
              <w:rPr>
                <w:rFonts w:ascii="Arial" w:cs="Arial" w:eastAsia="Arial" w:hAnsi="Arial"/>
                <w:sz w:val="18"/>
                <w:szCs w:val="18"/>
                <w:color w:val="32406B"/>
                <w:w w:val="94"/>
              </w:rPr>
              <w:t>2017, respectively; 2,581,474 shares issued as of December 31, 2016 and 2017; 2,172,068 and 2,305,173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520"/>
              <w:spacing w:after="0"/>
              <w:rPr>
                <w:sz w:val="20"/>
                <w:szCs w:val="20"/>
                <w:color w:val="auto"/>
              </w:rPr>
            </w:pPr>
            <w:r>
              <w:rPr>
                <w:rFonts w:ascii="Arial" w:cs="Arial" w:eastAsia="Arial" w:hAnsi="Arial"/>
                <w:sz w:val="18"/>
                <w:szCs w:val="18"/>
                <w:color w:val="32406B"/>
              </w:rPr>
              <w:t>outstanding as of December 31, 2016 and 2017,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32406B"/>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32406B"/>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32406B"/>
                <w:w w:val="87"/>
              </w:rPr>
              <w:t>(4,826)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w w:val="89"/>
              </w:rPr>
              <w:t>(23,474)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w w:val="87"/>
              </w:rPr>
              <w:t>(4,579)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89"/>
              </w:rPr>
              <w:t>(23,135)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32406B"/>
              </w:rPr>
              <w:t>Total liabilities, redeemable convertible preferred stock and stockholders’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5,400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F-3</w:t>
      </w:r>
    </w:p>
    <w:p>
      <w:pPr>
        <w:sectPr>
          <w:pgSz w:w="11900" w:h="16838" w:orient="portrait"/>
          <w:cols w:equalWidth="0" w:num="1">
            <w:col w:w="11240"/>
          </w:cols>
          <w:pgMar w:left="240" w:top="460" w:right="4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32406B"/>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32406B"/>
              </w:rPr>
              <w:t>2016</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32406B"/>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32406B"/>
              </w:rPr>
              <w:t>Operating expenses:</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32406B"/>
              </w:rPr>
              <w:t>Research and development</w:t>
            </w:r>
          </w:p>
        </w:tc>
        <w:tc>
          <w:tcPr>
            <w:tcW w:w="5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740" w:type="dxa"/>
            <w:vAlign w:val="bottom"/>
          </w:tcPr>
          <w:p>
            <w:pPr>
              <w:jc w:val="right"/>
              <w:spacing w:after="0"/>
              <w:rPr>
                <w:sz w:val="20"/>
                <w:szCs w:val="20"/>
                <w:color w:val="auto"/>
              </w:rPr>
            </w:pPr>
            <w:r>
              <w:rPr>
                <w:rFonts w:ascii="Arial" w:cs="Arial" w:eastAsia="Arial" w:hAnsi="Arial"/>
                <w:sz w:val="18"/>
                <w:szCs w:val="18"/>
                <w:color w:val="32406B"/>
              </w:rPr>
              <w:t>2,663</w:t>
            </w: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740" w:type="dxa"/>
            <w:vAlign w:val="bottom"/>
          </w:tcPr>
          <w:p>
            <w:pPr>
              <w:jc w:val="right"/>
              <w:spacing w:after="0"/>
              <w:rPr>
                <w:sz w:val="20"/>
                <w:szCs w:val="20"/>
                <w:color w:val="auto"/>
              </w:rPr>
            </w:pPr>
            <w:r>
              <w:rPr>
                <w:rFonts w:ascii="Arial" w:cs="Arial" w:eastAsia="Arial" w:hAnsi="Arial"/>
                <w:sz w:val="18"/>
                <w:szCs w:val="18"/>
                <w:color w:val="32406B"/>
              </w:rPr>
              <w:t>15,191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General and administrative</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1,962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32406B"/>
              </w:rPr>
              <w:t>Total operating expenses</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4,625</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18,386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32406B"/>
              </w:rPr>
              <w:t>Loss from operations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(4,625)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(18,386)</w:t>
            </w:r>
          </w:p>
        </w:tc>
        <w:tc>
          <w:tcPr>
            <w:tcW w:w="0" w:type="dxa"/>
            <w:vAlign w:val="bottom"/>
          </w:tcPr>
          <w:p>
            <w:pPr>
              <w:spacing w:after="0"/>
              <w:rPr>
                <w:sz w:val="1"/>
                <w:szCs w:val="1"/>
                <w:color w:val="auto"/>
              </w:rPr>
            </w:pP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32406B"/>
              </w:rPr>
              <w:t>Other income (expense):</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Interest income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32406B"/>
              </w:rPr>
              <w:t>Change in fair value of preferred stock warrant liability</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32406B"/>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Change in fair value of derivative liability</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32406B"/>
              </w:rPr>
              <w:t>Other expense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32406B"/>
              </w:rPr>
              <w:t>(6)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Total other expense, net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(262)</w:t>
            </w:r>
          </w:p>
        </w:tc>
        <w:tc>
          <w:tcPr>
            <w:tcW w:w="0" w:type="dxa"/>
            <w:vAlign w:val="bottom"/>
          </w:tcPr>
          <w:p>
            <w:pPr>
              <w:spacing w:after="0"/>
              <w:rPr>
                <w:sz w:val="1"/>
                <w:szCs w:val="1"/>
                <w:color w:val="auto"/>
              </w:rPr>
            </w:pP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32406B"/>
              </w:rPr>
              <w:t>Net loss</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(4,664)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(18,648)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32406B"/>
              </w:rPr>
              <w:t>Comprehensive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(4,664)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(18,648)</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32406B"/>
              </w:rPr>
              <w:t>Reconciliation of net loss to net loss attributable to common stockholders:</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32406B"/>
              </w:rPr>
              <w:t>Net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(4,664)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32406B"/>
              </w:rPr>
              <w:t>Accretion of issuance costs on redeemable convertible preferred stock</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32406B"/>
              </w:rPr>
              <w:t>(305)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32406B"/>
              </w:rPr>
              <w:t>Net loss attributable to common stockholders—basic and diluted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(4,969)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(18,733)</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32406B"/>
              </w:rPr>
              <w:t>Net loss per share attributable to common stockholders—basic and diluted (Note 13)</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(2.44)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5" w:lineRule="exact"/>
              <w:rPr>
                <w:sz w:val="20"/>
                <w:szCs w:val="20"/>
                <w:color w:val="auto"/>
              </w:rPr>
            </w:pPr>
            <w:r>
              <w:rPr>
                <w:rFonts w:ascii="Arial" w:cs="Arial" w:eastAsia="Arial" w:hAnsi="Arial"/>
                <w:sz w:val="18"/>
                <w:szCs w:val="18"/>
                <w:color w:val="32406B"/>
                <w:w w:val="94"/>
              </w:rPr>
              <w:t>Weighted-average number of common shares used in computing net loss per share attributable to common</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stockholders—basic and diluted</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2,038,025</w:t>
            </w: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2,235,865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32406B"/>
                <w:w w:val="95"/>
              </w:rPr>
              <w:t>Pro forma net loss per share attributable to common stockholders—basic and diluted (unaudited) (Note 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rPr>
              <w:t>(2.69)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5" w:lineRule="exact"/>
              <w:rPr>
                <w:sz w:val="20"/>
                <w:szCs w:val="20"/>
                <w:color w:val="auto"/>
              </w:rPr>
            </w:pPr>
            <w:r>
              <w:rPr>
                <w:rFonts w:ascii="Arial" w:cs="Arial" w:eastAsia="Arial" w:hAnsi="Arial"/>
                <w:sz w:val="18"/>
                <w:szCs w:val="18"/>
                <w:color w:val="32406B"/>
                <w:w w:val="97"/>
              </w:rPr>
              <w:t>Pro forma weighted-average number of common shares used in computing pro forma net loss per share</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attributable to common stockholders—basic and diluted (unaudited)</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6,922,173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F-4</w:t>
      </w:r>
    </w:p>
    <w:p>
      <w:pPr>
        <w:sectPr>
          <w:pgSz w:w="11900" w:h="16838" w:orient="portrait"/>
          <w:cols w:equalWidth="0" w:num="1">
            <w:col w:w="11240"/>
          </w:cols>
          <w:pgMar w:left="240" w:top="460" w:right="4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CONSOLIDATED STATEMENTS OF REDEEMABLE CONVERTIBLE PREFERRED STOCK AND STOCKHOLDERS’ DEFICIT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except share data)</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960" w:type="dxa"/>
            <w:vAlign w:val="bottom"/>
            <w:gridSpan w:val="3"/>
          </w:tcPr>
          <w:p>
            <w:pPr>
              <w:jc w:val="center"/>
              <w:ind w:left="250"/>
              <w:spacing w:after="0"/>
              <w:rPr>
                <w:sz w:val="20"/>
                <w:szCs w:val="20"/>
                <w:color w:val="auto"/>
              </w:rPr>
            </w:pPr>
            <w:r>
              <w:rPr>
                <w:rFonts w:ascii="Arial" w:cs="Arial" w:eastAsia="Arial" w:hAnsi="Arial"/>
                <w:sz w:val="13"/>
                <w:szCs w:val="13"/>
                <w:b w:val="1"/>
                <w:bCs w:val="1"/>
                <w:color w:val="32406B"/>
                <w:w w:val="81"/>
              </w:rPr>
              <w:t>Series Seed</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center"/>
              <w:ind w:left="331"/>
              <w:spacing w:after="0"/>
              <w:rPr>
                <w:sz w:val="20"/>
                <w:szCs w:val="20"/>
                <w:color w:val="auto"/>
              </w:rPr>
            </w:pPr>
            <w:r>
              <w:rPr>
                <w:rFonts w:ascii="Arial" w:cs="Arial" w:eastAsia="Arial" w:hAnsi="Arial"/>
                <w:sz w:val="13"/>
                <w:szCs w:val="13"/>
                <w:b w:val="1"/>
                <w:bCs w:val="1"/>
                <w:color w:val="32406B"/>
                <w:w w:val="84"/>
              </w:rPr>
              <w:t>Series A</w:t>
            </w:r>
          </w:p>
        </w:tc>
        <w:tc>
          <w:tcPr>
            <w:tcW w:w="420" w:type="dxa"/>
            <w:vAlign w:val="bottom"/>
          </w:tcPr>
          <w:p>
            <w:pPr>
              <w:spacing w:after="0"/>
              <w:rPr>
                <w:sz w:val="13"/>
                <w:szCs w:val="13"/>
                <w:color w:val="auto"/>
              </w:rPr>
            </w:pPr>
          </w:p>
        </w:tc>
        <w:tc>
          <w:tcPr>
            <w:tcW w:w="200" w:type="dxa"/>
            <w:vAlign w:val="bottom"/>
            <w:tcBorders>
              <w:right w:val="single" w:sz="8" w:color="32406B"/>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28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32406B"/>
                <w:w w:val="83"/>
              </w:rPr>
              <w:t>Redeemable</w:t>
            </w:r>
          </w:p>
        </w:tc>
        <w:tc>
          <w:tcPr>
            <w:tcW w:w="220" w:type="dxa"/>
            <w:vAlign w:val="bottom"/>
          </w:tcPr>
          <w:p>
            <w:pPr>
              <w:spacing w:after="0"/>
              <w:rPr>
                <w:sz w:val="11"/>
                <w:szCs w:val="11"/>
                <w:color w:val="auto"/>
              </w:rPr>
            </w:pPr>
          </w:p>
        </w:tc>
        <w:tc>
          <w:tcPr>
            <w:tcW w:w="126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32406B"/>
                <w:w w:val="86"/>
              </w:rPr>
              <w:t>Redeemable</w:t>
            </w:r>
          </w:p>
        </w:tc>
        <w:tc>
          <w:tcPr>
            <w:tcW w:w="200" w:type="dxa"/>
            <w:vAlign w:val="bottom"/>
            <w:tcBorders>
              <w:right w:val="single" w:sz="8" w:color="32406B"/>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60" w:type="dxa"/>
            <w:vAlign w:val="bottom"/>
            <w:gridSpan w:val="3"/>
          </w:tcPr>
          <w:p>
            <w:pPr>
              <w:jc w:val="center"/>
              <w:ind w:left="250"/>
              <w:spacing w:after="0" w:line="140" w:lineRule="exact"/>
              <w:rPr>
                <w:sz w:val="20"/>
                <w:szCs w:val="20"/>
                <w:color w:val="auto"/>
              </w:rPr>
            </w:pPr>
            <w:r>
              <w:rPr>
                <w:rFonts w:ascii="Arial" w:cs="Arial" w:eastAsia="Arial" w:hAnsi="Arial"/>
                <w:sz w:val="13"/>
                <w:szCs w:val="13"/>
                <w:b w:val="1"/>
                <w:bCs w:val="1"/>
                <w:color w:val="32406B"/>
                <w:w w:val="89"/>
              </w:rPr>
              <w:t>Convertible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tcPr>
          <w:p>
            <w:pPr>
              <w:jc w:val="center"/>
              <w:spacing w:after="0" w:line="140" w:lineRule="exact"/>
              <w:rPr>
                <w:sz w:val="20"/>
                <w:szCs w:val="20"/>
                <w:color w:val="auto"/>
              </w:rPr>
            </w:pPr>
            <w:r>
              <w:rPr>
                <w:rFonts w:ascii="Arial" w:cs="Arial" w:eastAsia="Arial" w:hAnsi="Arial"/>
                <w:sz w:val="13"/>
                <w:szCs w:val="13"/>
                <w:b w:val="1"/>
                <w:bCs w:val="1"/>
                <w:color w:val="32406B"/>
                <w:w w:val="89"/>
              </w:rPr>
              <w:t>Convertible</w:t>
            </w:r>
          </w:p>
        </w:tc>
        <w:tc>
          <w:tcPr>
            <w:tcW w:w="200" w:type="dxa"/>
            <w:vAlign w:val="bottom"/>
            <w:tcBorders>
              <w:right w:val="single" w:sz="8" w:color="32406B"/>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4"/>
          </w:tcPr>
          <w:p>
            <w:pPr>
              <w:jc w:val="right"/>
              <w:ind w:right="160"/>
              <w:spacing w:after="0" w:line="140" w:lineRule="exact"/>
              <w:rPr>
                <w:sz w:val="20"/>
                <w:szCs w:val="20"/>
                <w:color w:val="auto"/>
              </w:rPr>
            </w:pPr>
            <w:r>
              <w:rPr>
                <w:rFonts w:ascii="Arial" w:cs="Arial" w:eastAsia="Arial" w:hAnsi="Arial"/>
                <w:sz w:val="13"/>
                <w:szCs w:val="13"/>
                <w:b w:val="1"/>
                <w:bCs w:val="1"/>
                <w:color w:val="32406B"/>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32406B"/>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32406B"/>
                <w:w w:val="86"/>
              </w:rPr>
              <w:t>Preferred Stock</w:t>
            </w:r>
          </w:p>
        </w:tc>
        <w:tc>
          <w:tcPr>
            <w:tcW w:w="220" w:type="dxa"/>
            <w:vAlign w:val="bottom"/>
          </w:tcPr>
          <w:p>
            <w:pPr>
              <w:spacing w:after="0"/>
              <w:rPr>
                <w:sz w:val="12"/>
                <w:szCs w:val="12"/>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32406B"/>
                <w:w w:val="88"/>
              </w:rPr>
              <w:t>Preferred Stock</w:t>
            </w:r>
          </w:p>
        </w:tc>
        <w:tc>
          <w:tcPr>
            <w:tcW w:w="200" w:type="dxa"/>
            <w:vAlign w:val="bottom"/>
            <w:tcBorders>
              <w:right w:val="single" w:sz="8" w:color="32406B"/>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3"/>
                <w:szCs w:val="13"/>
                <w:b w:val="1"/>
                <w:bCs w:val="1"/>
                <w:color w:val="32406B"/>
              </w:rPr>
              <w:t>Common Stock</w:t>
            </w: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32406B"/>
                <w:w w:val="87"/>
              </w:rPr>
              <w:t>Paid-in</w:t>
            </w:r>
          </w:p>
        </w:tc>
        <w:tc>
          <w:tcPr>
            <w:tcW w:w="1000" w:type="dxa"/>
            <w:vAlign w:val="bottom"/>
            <w:gridSpan w:val="4"/>
          </w:tcPr>
          <w:p>
            <w:pPr>
              <w:ind w:left="120"/>
              <w:spacing w:after="0"/>
              <w:rPr>
                <w:sz w:val="20"/>
                <w:szCs w:val="20"/>
                <w:color w:val="auto"/>
              </w:rPr>
            </w:pPr>
            <w:r>
              <w:rPr>
                <w:rFonts w:ascii="Arial" w:cs="Arial" w:eastAsia="Arial" w:hAnsi="Arial"/>
                <w:sz w:val="13"/>
                <w:szCs w:val="13"/>
                <w:b w:val="1"/>
                <w:bCs w:val="1"/>
                <w:color w:val="32406B"/>
              </w:rPr>
              <w:t>Accumulated</w:t>
            </w:r>
          </w:p>
        </w:tc>
        <w:tc>
          <w:tcPr>
            <w:tcW w:w="96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32406B"/>
                <w:w w:val="86"/>
              </w:rPr>
              <w:t>Stockholders’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620" w:type="dxa"/>
            <w:vAlign w:val="bottom"/>
          </w:tcPr>
          <w:p>
            <w:pPr>
              <w:jc w:val="right"/>
              <w:ind w:right="70"/>
              <w:spacing w:after="0" w:line="129" w:lineRule="exact"/>
              <w:rPr>
                <w:sz w:val="20"/>
                <w:szCs w:val="20"/>
                <w:color w:val="auto"/>
              </w:rPr>
            </w:pPr>
            <w:r>
              <w:rPr>
                <w:rFonts w:ascii="Arial" w:cs="Arial" w:eastAsia="Arial" w:hAnsi="Arial"/>
                <w:sz w:val="13"/>
                <w:szCs w:val="13"/>
                <w:b w:val="1"/>
                <w:bCs w:val="1"/>
                <w:color w:val="32406B"/>
              </w:rPr>
              <w:t>Shares</w:t>
            </w:r>
          </w:p>
        </w:tc>
        <w:tc>
          <w:tcPr>
            <w:tcW w:w="660" w:type="dxa"/>
            <w:vAlign w:val="bottom"/>
            <w:gridSpan w:val="3"/>
          </w:tcPr>
          <w:p>
            <w:pPr>
              <w:ind w:left="220"/>
              <w:spacing w:after="0" w:line="129" w:lineRule="exact"/>
              <w:rPr>
                <w:sz w:val="20"/>
                <w:szCs w:val="20"/>
                <w:color w:val="auto"/>
              </w:rPr>
            </w:pPr>
            <w:r>
              <w:rPr>
                <w:rFonts w:ascii="Arial" w:cs="Arial" w:eastAsia="Arial" w:hAnsi="Arial"/>
                <w:sz w:val="13"/>
                <w:szCs w:val="13"/>
                <w:b w:val="1"/>
                <w:bCs w:val="1"/>
                <w:color w:val="32406B"/>
                <w:w w:val="85"/>
              </w:rPr>
              <w:t>Amount</w:t>
            </w:r>
          </w:p>
        </w:tc>
        <w:tc>
          <w:tcPr>
            <w:tcW w:w="220" w:type="dxa"/>
            <w:vAlign w:val="bottom"/>
          </w:tcPr>
          <w:p>
            <w:pPr>
              <w:spacing w:after="0"/>
              <w:rPr>
                <w:sz w:val="11"/>
                <w:szCs w:val="11"/>
                <w:color w:val="auto"/>
              </w:rPr>
            </w:pPr>
          </w:p>
        </w:tc>
        <w:tc>
          <w:tcPr>
            <w:tcW w:w="700" w:type="dxa"/>
            <w:vAlign w:val="bottom"/>
          </w:tcPr>
          <w:p>
            <w:pPr>
              <w:jc w:val="right"/>
              <w:ind w:right="111"/>
              <w:spacing w:after="0" w:line="129" w:lineRule="exact"/>
              <w:rPr>
                <w:sz w:val="20"/>
                <w:szCs w:val="20"/>
                <w:color w:val="auto"/>
              </w:rPr>
            </w:pPr>
            <w:r>
              <w:rPr>
                <w:rFonts w:ascii="Arial" w:cs="Arial" w:eastAsia="Arial" w:hAnsi="Arial"/>
                <w:sz w:val="13"/>
                <w:szCs w:val="13"/>
                <w:b w:val="1"/>
                <w:bCs w:val="1"/>
                <w:color w:val="32406B"/>
              </w:rPr>
              <w:t>Shares</w:t>
            </w:r>
          </w:p>
        </w:tc>
        <w:tc>
          <w:tcPr>
            <w:tcW w:w="80" w:type="dxa"/>
            <w:vAlign w:val="bottom"/>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32406B"/>
                <w:w w:val="85"/>
              </w:rPr>
              <w:t>Amount</w:t>
            </w:r>
          </w:p>
        </w:tc>
        <w:tc>
          <w:tcPr>
            <w:tcW w:w="200" w:type="dxa"/>
            <w:vAlign w:val="bottom"/>
            <w:tcBorders>
              <w:right w:val="single" w:sz="8" w:color="32406B"/>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300"/>
              <w:spacing w:after="0" w:line="129" w:lineRule="exact"/>
              <w:rPr>
                <w:sz w:val="20"/>
                <w:szCs w:val="20"/>
                <w:color w:val="auto"/>
              </w:rPr>
            </w:pPr>
            <w:r>
              <w:rPr>
                <w:rFonts w:ascii="Arial" w:cs="Arial" w:eastAsia="Arial" w:hAnsi="Arial"/>
                <w:sz w:val="13"/>
                <w:szCs w:val="13"/>
                <w:b w:val="1"/>
                <w:bCs w:val="1"/>
                <w:color w:val="32406B"/>
              </w:rPr>
              <w:t>Shares</w:t>
            </w:r>
          </w:p>
        </w:tc>
        <w:tc>
          <w:tcPr>
            <w:tcW w:w="560" w:type="dxa"/>
            <w:vAlign w:val="bottom"/>
            <w:gridSpan w:val="3"/>
          </w:tcPr>
          <w:p>
            <w:pPr>
              <w:jc w:val="right"/>
              <w:spacing w:after="0" w:line="129" w:lineRule="exact"/>
              <w:rPr>
                <w:sz w:val="20"/>
                <w:szCs w:val="20"/>
                <w:color w:val="auto"/>
              </w:rPr>
            </w:pPr>
            <w:r>
              <w:rPr>
                <w:rFonts w:ascii="Arial" w:cs="Arial" w:eastAsia="Arial" w:hAnsi="Arial"/>
                <w:sz w:val="13"/>
                <w:szCs w:val="13"/>
                <w:b w:val="1"/>
                <w:bCs w:val="1"/>
                <w:color w:val="32406B"/>
              </w:rPr>
              <w:t>Amount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40"/>
              <w:spacing w:after="0" w:line="129" w:lineRule="exact"/>
              <w:rPr>
                <w:sz w:val="20"/>
                <w:szCs w:val="20"/>
                <w:color w:val="auto"/>
              </w:rPr>
            </w:pPr>
            <w:r>
              <w:rPr>
                <w:rFonts w:ascii="Arial" w:cs="Arial" w:eastAsia="Arial" w:hAnsi="Arial"/>
                <w:sz w:val="13"/>
                <w:szCs w:val="13"/>
                <w:b w:val="1"/>
                <w:bCs w:val="1"/>
                <w:color w:val="32406B"/>
                <w:w w:val="87"/>
              </w:rPr>
              <w:t>Capital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3"/>
                <w:szCs w:val="13"/>
                <w:b w:val="1"/>
                <w:bCs w:val="1"/>
                <w:color w:val="32406B"/>
              </w:rPr>
              <w:t>Deficit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32406B"/>
                <w:w w:val="90"/>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Borders>
              <w:top w:val="single" w:sz="8" w:color="CCEEFF"/>
            </w:tcBorders>
            <w:shd w:val="clear" w:color="auto" w:fill="CCEEFF"/>
          </w:tcPr>
          <w:p>
            <w:pPr>
              <w:jc w:val="right"/>
              <w:ind w:right="1668"/>
              <w:spacing w:after="0" w:line="142" w:lineRule="exact"/>
              <w:rPr>
                <w:sz w:val="20"/>
                <w:szCs w:val="20"/>
                <w:color w:val="auto"/>
              </w:rPr>
            </w:pPr>
            <w:r>
              <w:rPr>
                <w:rFonts w:ascii="Arial" w:cs="Arial" w:eastAsia="Arial" w:hAnsi="Arial"/>
                <w:sz w:val="14"/>
                <w:szCs w:val="14"/>
                <w:color w:val="32406B"/>
                <w:w w:val="89"/>
              </w:rPr>
              <w:t>Balance as of December 31, 2015</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32406B"/>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w:t>
            </w: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w:t>
            </w:r>
          </w:p>
        </w:tc>
        <w:tc>
          <w:tcPr>
            <w:tcW w:w="200" w:type="dxa"/>
            <w:vAlign w:val="bottom"/>
            <w:tcBorders>
              <w:top w:val="single" w:sz="8" w:color="CCEEFF"/>
              <w:right w:val="single" w:sz="8" w:color="32406B"/>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w w:val="96"/>
              </w:rPr>
              <w:t>1,258,467</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32406B"/>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32406B"/>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(162)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32406B"/>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(162)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tcPr>
          <w:p>
            <w:pPr>
              <w:ind w:left="120"/>
              <w:spacing w:after="0" w:line="130" w:lineRule="exact"/>
              <w:rPr>
                <w:sz w:val="20"/>
                <w:szCs w:val="20"/>
                <w:color w:val="auto"/>
              </w:rPr>
            </w:pPr>
            <w:r>
              <w:rPr>
                <w:rFonts w:ascii="Arial" w:cs="Arial" w:eastAsia="Arial" w:hAnsi="Arial"/>
                <w:sz w:val="14"/>
                <w:szCs w:val="14"/>
                <w:color w:val="32406B"/>
                <w:w w:val="97"/>
              </w:rPr>
              <w:t>Issuance of series Seed redeemable convertible preferred</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right w:val="single" w:sz="8" w:color="32406B"/>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Pr>
          <w:p>
            <w:pPr>
              <w:ind w:left="280"/>
              <w:spacing w:after="0"/>
              <w:rPr>
                <w:sz w:val="20"/>
                <w:szCs w:val="20"/>
                <w:color w:val="auto"/>
              </w:rPr>
            </w:pPr>
            <w:r>
              <w:rPr>
                <w:rFonts w:ascii="Arial" w:cs="Arial" w:eastAsia="Arial" w:hAnsi="Arial"/>
                <w:sz w:val="14"/>
                <w:szCs w:val="14"/>
                <w:color w:val="32406B"/>
              </w:rPr>
              <w:t>stock, net of issuance costs of $102</w:t>
            </w:r>
          </w:p>
        </w:tc>
        <w:tc>
          <w:tcPr>
            <w:tcW w:w="620" w:type="dxa"/>
            <w:vAlign w:val="bottom"/>
          </w:tcPr>
          <w:p>
            <w:pPr>
              <w:jc w:val="right"/>
              <w:spacing w:after="0"/>
              <w:rPr>
                <w:sz w:val="20"/>
                <w:szCs w:val="20"/>
                <w:color w:val="auto"/>
              </w:rPr>
            </w:pPr>
            <w:r>
              <w:rPr>
                <w:rFonts w:ascii="Arial" w:cs="Arial" w:eastAsia="Arial" w:hAnsi="Arial"/>
                <w:sz w:val="14"/>
                <w:szCs w:val="14"/>
                <w:color w:val="32406B"/>
                <w:w w:val="96"/>
              </w:rPr>
              <w:t>3,333,333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32406B"/>
                <w:w w:val="85"/>
              </w:rPr>
              <w:t>1,398</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32406B"/>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32406B"/>
              </w:rPr>
              <w:t>—</w:t>
            </w:r>
          </w:p>
        </w:tc>
        <w:tc>
          <w:tcPr>
            <w:tcW w:w="200" w:type="dxa"/>
            <w:vAlign w:val="bottom"/>
            <w:tcBorders>
              <w:right w:val="single" w:sz="8" w:color="32406B"/>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32406B"/>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32406B"/>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32406B"/>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32406B"/>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2406B"/>
              </w:rPr>
              <w:t>Issuance of common stock</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00" w:type="dxa"/>
            <w:vAlign w:val="bottom"/>
            <w:tcBorders>
              <w:right w:val="single" w:sz="8" w:color="32406B"/>
            </w:tcBorders>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1,161,665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480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480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tcPr>
          <w:p>
            <w:pPr>
              <w:ind w:left="120"/>
              <w:spacing w:after="0" w:line="130" w:lineRule="exact"/>
              <w:rPr>
                <w:sz w:val="20"/>
                <w:szCs w:val="20"/>
                <w:color w:val="auto"/>
              </w:rPr>
            </w:pPr>
            <w:r>
              <w:rPr>
                <w:rFonts w:ascii="Arial" w:cs="Arial" w:eastAsia="Arial" w:hAnsi="Arial"/>
                <w:sz w:val="14"/>
                <w:szCs w:val="14"/>
                <w:color w:val="32406B"/>
              </w:rPr>
              <w:t>Modification of founders common stock to include</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right w:val="single" w:sz="8" w:color="32406B"/>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Pr>
          <w:p>
            <w:pPr>
              <w:ind w:left="280"/>
              <w:spacing w:after="0"/>
              <w:rPr>
                <w:sz w:val="20"/>
                <w:szCs w:val="20"/>
                <w:color w:val="auto"/>
              </w:rPr>
            </w:pPr>
            <w:r>
              <w:rPr>
                <w:rFonts w:ascii="Arial" w:cs="Arial" w:eastAsia="Arial" w:hAnsi="Arial"/>
                <w:sz w:val="14"/>
                <w:szCs w:val="14"/>
                <w:color w:val="32406B"/>
              </w:rPr>
              <w:t>certain time-based vesting restricitions</w:t>
            </w:r>
          </w:p>
        </w:tc>
        <w:tc>
          <w:tcPr>
            <w:tcW w:w="620" w:type="dxa"/>
            <w:vAlign w:val="bottom"/>
          </w:tcPr>
          <w:p>
            <w:pPr>
              <w:jc w:val="right"/>
              <w:spacing w:after="0"/>
              <w:rPr>
                <w:sz w:val="20"/>
                <w:szCs w:val="20"/>
                <w:color w:val="auto"/>
              </w:rPr>
            </w:pPr>
            <w:r>
              <w:rPr>
                <w:rFonts w:ascii="Arial" w:cs="Arial" w:eastAsia="Arial" w:hAnsi="Arial"/>
                <w:sz w:val="14"/>
                <w:szCs w:val="14"/>
                <w:color w:val="32406B"/>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32406B"/>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32406B"/>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32406B"/>
              </w:rPr>
              <w:t>—</w:t>
            </w:r>
          </w:p>
        </w:tc>
        <w:tc>
          <w:tcPr>
            <w:tcW w:w="200" w:type="dxa"/>
            <w:vAlign w:val="bottom"/>
            <w:tcBorders>
              <w:right w:val="single" w:sz="8" w:color="32406B"/>
            </w:tcBorders>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32406B"/>
              </w:rPr>
              <w:t>(330,750)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32406B"/>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32406B"/>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32406B"/>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2406B"/>
              </w:rPr>
              <w:t>Vesting of restricted stock awards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00" w:type="dxa"/>
            <w:vAlign w:val="bottom"/>
            <w:tcBorders>
              <w:right w:val="single" w:sz="8" w:color="32406B"/>
            </w:tcBorders>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82,686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tcPr>
          <w:p>
            <w:pPr>
              <w:ind w:left="120"/>
              <w:spacing w:after="0" w:line="130" w:lineRule="exact"/>
              <w:rPr>
                <w:sz w:val="20"/>
                <w:szCs w:val="20"/>
                <w:color w:val="auto"/>
              </w:rPr>
            </w:pPr>
            <w:r>
              <w:rPr>
                <w:rFonts w:ascii="Arial" w:cs="Arial" w:eastAsia="Arial" w:hAnsi="Arial"/>
                <w:sz w:val="14"/>
                <w:szCs w:val="14"/>
                <w:color w:val="32406B"/>
              </w:rPr>
              <w:t>Issuance of series A redeemable convertible preferred</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right w:val="single" w:sz="8" w:color="32406B"/>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Pr>
          <w:p>
            <w:pPr>
              <w:ind w:left="280"/>
              <w:spacing w:after="0"/>
              <w:rPr>
                <w:sz w:val="20"/>
                <w:szCs w:val="20"/>
                <w:color w:val="auto"/>
              </w:rPr>
            </w:pPr>
            <w:r>
              <w:rPr>
                <w:rFonts w:ascii="Arial" w:cs="Arial" w:eastAsia="Arial" w:hAnsi="Arial"/>
                <w:sz w:val="14"/>
                <w:szCs w:val="14"/>
                <w:color w:val="32406B"/>
              </w:rPr>
              <w:t>stock, net of issuance costs of $203</w:t>
            </w:r>
          </w:p>
        </w:tc>
        <w:tc>
          <w:tcPr>
            <w:tcW w:w="620" w:type="dxa"/>
            <w:vAlign w:val="bottom"/>
          </w:tcPr>
          <w:p>
            <w:pPr>
              <w:jc w:val="right"/>
              <w:spacing w:after="0"/>
              <w:rPr>
                <w:sz w:val="20"/>
                <w:szCs w:val="20"/>
                <w:color w:val="auto"/>
              </w:rPr>
            </w:pPr>
            <w:r>
              <w:rPr>
                <w:rFonts w:ascii="Arial" w:cs="Arial" w:eastAsia="Arial" w:hAnsi="Arial"/>
                <w:sz w:val="14"/>
                <w:szCs w:val="14"/>
                <w:color w:val="32406B"/>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32406B"/>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32406B"/>
              </w:rPr>
              <w:t>5,714,286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32406B"/>
              </w:rPr>
              <w:t>7,297</w:t>
            </w:r>
          </w:p>
        </w:tc>
        <w:tc>
          <w:tcPr>
            <w:tcW w:w="200" w:type="dxa"/>
            <w:vAlign w:val="bottom"/>
            <w:tcBorders>
              <w:right w:val="single" w:sz="8" w:color="32406B"/>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32406B"/>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32406B"/>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32406B"/>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32406B"/>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2406B"/>
              </w:rPr>
              <w:t>Stock-based compensation expense</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00" w:type="dxa"/>
            <w:vAlign w:val="bottom"/>
            <w:tcBorders>
              <w:right w:val="single" w:sz="8" w:color="32406B"/>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72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tcPr>
          <w:p>
            <w:pPr>
              <w:ind w:left="120"/>
              <w:spacing w:after="0" w:line="130" w:lineRule="exact"/>
              <w:rPr>
                <w:sz w:val="20"/>
                <w:szCs w:val="20"/>
                <w:color w:val="auto"/>
              </w:rPr>
            </w:pPr>
            <w:r>
              <w:rPr>
                <w:rFonts w:ascii="Arial" w:cs="Arial" w:eastAsia="Arial" w:hAnsi="Arial"/>
                <w:sz w:val="14"/>
                <w:szCs w:val="14"/>
                <w:color w:val="32406B"/>
              </w:rPr>
              <w:t>Accretion of issuance costs related to redeemable</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right w:val="single" w:sz="8" w:color="32406B"/>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Pr>
          <w:p>
            <w:pPr>
              <w:ind w:left="280"/>
              <w:spacing w:after="0"/>
              <w:rPr>
                <w:sz w:val="20"/>
                <w:szCs w:val="20"/>
                <w:color w:val="auto"/>
              </w:rPr>
            </w:pPr>
            <w:r>
              <w:rPr>
                <w:rFonts w:ascii="Arial" w:cs="Arial" w:eastAsia="Arial" w:hAnsi="Arial"/>
                <w:sz w:val="14"/>
                <w:szCs w:val="14"/>
                <w:color w:val="32406B"/>
              </w:rPr>
              <w:t>convertible preferred stock</w:t>
            </w:r>
          </w:p>
        </w:tc>
        <w:tc>
          <w:tcPr>
            <w:tcW w:w="620" w:type="dxa"/>
            <w:vAlign w:val="bottom"/>
          </w:tcPr>
          <w:p>
            <w:pPr>
              <w:jc w:val="right"/>
              <w:spacing w:after="0"/>
              <w:rPr>
                <w:sz w:val="20"/>
                <w:szCs w:val="20"/>
                <w:color w:val="auto"/>
              </w:rPr>
            </w:pPr>
            <w:r>
              <w:rPr>
                <w:rFonts w:ascii="Arial" w:cs="Arial" w:eastAsia="Arial" w:hAnsi="Arial"/>
                <w:sz w:val="14"/>
                <w:szCs w:val="14"/>
                <w:color w:val="32406B"/>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32406B"/>
              </w:rPr>
              <w:t>102</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32406B"/>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32406B"/>
              </w:rPr>
              <w:t>203</w:t>
            </w:r>
          </w:p>
        </w:tc>
        <w:tc>
          <w:tcPr>
            <w:tcW w:w="200" w:type="dxa"/>
            <w:vAlign w:val="bottom"/>
            <w:tcBorders>
              <w:right w:val="single" w:sz="8" w:color="32406B"/>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32406B"/>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32406B"/>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32406B"/>
              </w:rPr>
              <w:t>(305)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32406B"/>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32406B"/>
              </w:rPr>
              <w:t>(305)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2406B"/>
              </w:rPr>
              <w:t>Net loss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00" w:type="dxa"/>
            <w:vAlign w:val="bottom"/>
            <w:tcBorders>
              <w:right w:val="single" w:sz="8" w:color="32406B"/>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(4,664)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(4,664)</w:t>
            </w:r>
          </w:p>
        </w:tc>
        <w:tc>
          <w:tcPr>
            <w:tcW w:w="0" w:type="dxa"/>
            <w:vAlign w:val="bottom"/>
          </w:tcPr>
          <w:p>
            <w:pPr>
              <w:spacing w:after="0"/>
              <w:rPr>
                <w:sz w:val="1"/>
                <w:szCs w:val="1"/>
                <w:color w:val="auto"/>
              </w:rPr>
            </w:pPr>
          </w:p>
        </w:tc>
      </w:tr>
      <w:tr>
        <w:trPr>
          <w:trHeight w:val="156"/>
        </w:trPr>
        <w:tc>
          <w:tcPr>
            <w:tcW w:w="3680" w:type="dxa"/>
            <w:vAlign w:val="bottom"/>
            <w:gridSpan w:val="2"/>
          </w:tcPr>
          <w:p>
            <w:pPr>
              <w:jc w:val="right"/>
              <w:ind w:right="1668"/>
              <w:spacing w:after="0" w:line="155" w:lineRule="exact"/>
              <w:rPr>
                <w:sz w:val="20"/>
                <w:szCs w:val="20"/>
                <w:color w:val="auto"/>
              </w:rPr>
            </w:pPr>
            <w:r>
              <w:rPr>
                <w:rFonts w:ascii="Arial" w:cs="Arial" w:eastAsia="Arial" w:hAnsi="Arial"/>
                <w:sz w:val="14"/>
                <w:szCs w:val="14"/>
                <w:color w:val="32406B"/>
                <w:w w:val="90"/>
              </w:rPr>
              <w:t>Balance as of December 31, 2016</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w w:val="96"/>
              </w:rPr>
              <w:t>3,333,333</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w w:val="85"/>
              </w:rPr>
              <w:t>1,500</w:t>
            </w:r>
          </w:p>
        </w:tc>
        <w:tc>
          <w:tcPr>
            <w:tcW w:w="22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5,714,286</w:t>
            </w: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7,500</w:t>
            </w:r>
          </w:p>
        </w:tc>
        <w:tc>
          <w:tcPr>
            <w:tcW w:w="200" w:type="dxa"/>
            <w:vAlign w:val="bottom"/>
            <w:tcBorders>
              <w:right w:val="single" w:sz="8" w:color="32406B"/>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w w:val="96"/>
              </w:rPr>
              <w:t>2,172,068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247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(4,826)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(4,579)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32406B"/>
              </w:rPr>
              <w:t>Issuance of series A redeemable convertible preferred</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tcBorders>
              <w:right w:val="single" w:sz="8" w:color="32406B"/>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32406B"/>
              </w:rPr>
              <w:t>stock dividend</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32406B"/>
              </w:rPr>
              <w:t>3,720,864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200" w:type="dxa"/>
            <w:vAlign w:val="bottom"/>
            <w:tcBorders>
              <w:right w:val="single" w:sz="8" w:color="32406B"/>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tcPr>
          <w:p>
            <w:pPr>
              <w:ind w:left="120"/>
              <w:spacing w:after="0" w:line="130" w:lineRule="exact"/>
              <w:rPr>
                <w:sz w:val="20"/>
                <w:szCs w:val="20"/>
                <w:color w:val="auto"/>
              </w:rPr>
            </w:pPr>
            <w:r>
              <w:rPr>
                <w:rFonts w:ascii="Arial" w:cs="Arial" w:eastAsia="Arial" w:hAnsi="Arial"/>
                <w:sz w:val="14"/>
                <w:szCs w:val="14"/>
                <w:color w:val="32406B"/>
              </w:rPr>
              <w:t>Issuance of series A redeemable convertible preferred</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right w:val="single" w:sz="8" w:color="32406B"/>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Pr>
          <w:p>
            <w:pPr>
              <w:ind w:left="280"/>
              <w:spacing w:after="0"/>
              <w:rPr>
                <w:sz w:val="20"/>
                <w:szCs w:val="20"/>
                <w:color w:val="auto"/>
              </w:rPr>
            </w:pPr>
            <w:r>
              <w:rPr>
                <w:rFonts w:ascii="Arial" w:cs="Arial" w:eastAsia="Arial" w:hAnsi="Arial"/>
                <w:sz w:val="14"/>
                <w:szCs w:val="14"/>
                <w:color w:val="32406B"/>
              </w:rPr>
              <w:t>stock, net of issuance costs of $85</w:t>
            </w:r>
          </w:p>
        </w:tc>
        <w:tc>
          <w:tcPr>
            <w:tcW w:w="620" w:type="dxa"/>
            <w:vAlign w:val="bottom"/>
          </w:tcPr>
          <w:p>
            <w:pPr>
              <w:jc w:val="right"/>
              <w:spacing w:after="0"/>
              <w:rPr>
                <w:sz w:val="20"/>
                <w:szCs w:val="20"/>
                <w:color w:val="auto"/>
              </w:rPr>
            </w:pPr>
            <w:r>
              <w:rPr>
                <w:rFonts w:ascii="Arial" w:cs="Arial" w:eastAsia="Arial" w:hAnsi="Arial"/>
                <w:sz w:val="14"/>
                <w:szCs w:val="14"/>
                <w:color w:val="32406B"/>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32406B"/>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32406B"/>
              </w:rPr>
              <w:t>22,015,349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32406B"/>
                <w:w w:val="93"/>
              </w:rPr>
              <w:t>17,415</w:t>
            </w:r>
          </w:p>
        </w:tc>
        <w:tc>
          <w:tcPr>
            <w:tcW w:w="200" w:type="dxa"/>
            <w:vAlign w:val="bottom"/>
            <w:tcBorders>
              <w:right w:val="single" w:sz="8" w:color="32406B"/>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32406B"/>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32406B"/>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32406B"/>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32406B"/>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2406B"/>
              </w:rPr>
              <w:t>Vesting of restricted stock awards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00" w:type="dxa"/>
            <w:vAlign w:val="bottom"/>
            <w:tcBorders>
              <w:right w:val="single" w:sz="8" w:color="32406B"/>
            </w:tcBorders>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133,105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120"/>
              <w:spacing w:after="0" w:line="149" w:lineRule="exact"/>
              <w:rPr>
                <w:sz w:val="20"/>
                <w:szCs w:val="20"/>
                <w:color w:val="auto"/>
              </w:rPr>
            </w:pPr>
            <w:r>
              <w:rPr>
                <w:rFonts w:ascii="Arial" w:cs="Arial" w:eastAsia="Arial" w:hAnsi="Arial"/>
                <w:sz w:val="14"/>
                <w:szCs w:val="14"/>
                <w:color w:val="32406B"/>
              </w:rPr>
              <w:t>Stock-based compensation expense</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00" w:type="dxa"/>
            <w:vAlign w:val="bottom"/>
            <w:tcBorders>
              <w:right w:val="single" w:sz="8" w:color="32406B"/>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32406B"/>
              </w:rPr>
              <w:t>177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32406B"/>
              </w:rPr>
              <w:t>177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32406B"/>
              </w:rPr>
              <w:t>Accretion of issuance costs related to redeemable</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tcBorders>
              <w:right w:val="single" w:sz="8" w:color="32406B"/>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32406B"/>
              </w:rPr>
              <w:t>convertible preferred stock</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85</w:t>
            </w:r>
          </w:p>
        </w:tc>
        <w:tc>
          <w:tcPr>
            <w:tcW w:w="200" w:type="dxa"/>
            <w:vAlign w:val="bottom"/>
            <w:tcBorders>
              <w:right w:val="single" w:sz="8" w:color="32406B"/>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32406B"/>
              </w:rPr>
              <w:t>(85)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32406B"/>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120"/>
              <w:spacing w:after="0" w:line="149" w:lineRule="exact"/>
              <w:rPr>
                <w:sz w:val="20"/>
                <w:szCs w:val="20"/>
                <w:color w:val="auto"/>
              </w:rPr>
            </w:pPr>
            <w:r>
              <w:rPr>
                <w:rFonts w:ascii="Arial" w:cs="Arial" w:eastAsia="Arial" w:hAnsi="Arial"/>
                <w:sz w:val="14"/>
                <w:szCs w:val="14"/>
                <w:color w:val="32406B"/>
              </w:rPr>
              <w:t>Net loss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00" w:type="dxa"/>
            <w:vAlign w:val="bottom"/>
            <w:tcBorders>
              <w:right w:val="single" w:sz="8" w:color="32406B"/>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(18,648)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32406B"/>
              </w:rPr>
              <w:t>(18,648)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Borders>
              <w:right w:val="single" w:sz="8" w:color="32406B"/>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jc w:val="right"/>
              <w:ind w:right="1668"/>
              <w:spacing w:after="0" w:line="149" w:lineRule="exact"/>
              <w:rPr>
                <w:sz w:val="20"/>
                <w:szCs w:val="20"/>
                <w:color w:val="auto"/>
              </w:rPr>
            </w:pPr>
            <w:r>
              <w:rPr>
                <w:rFonts w:ascii="Arial" w:cs="Arial" w:eastAsia="Arial" w:hAnsi="Arial"/>
                <w:sz w:val="14"/>
                <w:szCs w:val="14"/>
                <w:color w:val="32406B"/>
                <w:w w:val="89"/>
              </w:rPr>
              <w:t>Balance as of December 31, 2017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w w:val="96"/>
              </w:rPr>
              <w:t>3,333,333</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32406B"/>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w w:val="85"/>
              </w:rPr>
              <w:t>1,500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31,450,499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w w:val="93"/>
              </w:rPr>
              <w:t>25,000</w:t>
            </w:r>
          </w:p>
        </w:tc>
        <w:tc>
          <w:tcPr>
            <w:tcW w:w="200" w:type="dxa"/>
            <w:vAlign w:val="bottom"/>
            <w:tcBorders>
              <w:right w:val="single" w:sz="8" w:color="32406B"/>
            </w:tcBorders>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2,305,173</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32406B"/>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339</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32406B"/>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(23,474)</w:t>
            </w:r>
          </w:p>
        </w:tc>
        <w:tc>
          <w:tcPr>
            <w:tcW w:w="2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32406B"/>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(23,135)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32406B"/>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F-5</w:t>
      </w:r>
    </w:p>
    <w:p>
      <w:pPr>
        <w:sectPr>
          <w:pgSz w:w="11900" w:h="16838" w:orient="portrait"/>
          <w:cols w:equalWidth="0" w:num="1">
            <w:col w:w="11240"/>
          </w:cols>
          <w:pgMar w:left="240" w:top="459" w:right="4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32406B"/>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32406B"/>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32406B"/>
                <w:w w:val="96"/>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32406B"/>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Cash flows from operating activities: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32406B"/>
              </w:rPr>
              <w:t>Net loss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32406B"/>
                <w:w w:val="87"/>
              </w:rPr>
              <w:t>(4,664)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w w:val="89"/>
              </w:rPr>
              <w:t>(18,648)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32406B"/>
              </w:rPr>
              <w:t>Adjustments to reconcile net loss to net cash used in operating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32406B"/>
              </w:rPr>
              <w:t>Stock-based compensation expense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rPr>
              <w:t>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177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Depreciation and amortization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32406B"/>
              </w:rPr>
              <w:t>Amortization of deferred offering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Non-cash license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32406B"/>
              </w:rPr>
              <w:t>Non-cash research and development expense related to derivative liability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rPr>
              <w:t>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Deferred rent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32406B"/>
              </w:rPr>
              <w:t>Change in fair value of preferred stock warrant liability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Change in fair value of derivative liability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32406B"/>
              </w:rPr>
              <w:t>Changes in operating assets and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Prepaid expenses and other current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32406B"/>
              </w:rPr>
              <w:t>Other assets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Accounts payable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32406B"/>
              </w:rPr>
              <w:t>Accrued expenses and other current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rPr>
              <w:t>551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1,454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Other long-term liability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32406B"/>
              </w:rPr>
              <w:t>Net cash used in operating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7"/>
              </w:rPr>
              <w:t>(3,314)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0"/>
              </w:rPr>
              <w:t>(16,382)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Cash flows from investing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32406B"/>
              </w:rPr>
              <w:t>Purchases of property and equipment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32406B"/>
              </w:rPr>
              <w:t>Changes in restricted cash</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32406B"/>
              </w:rPr>
              <w:t>Net cash used in investing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Cash flows from financing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32406B"/>
              </w:rPr>
              <w:t>Proceeds from issuance of redeemable convertible preferred stock, net of issuance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w w:val="97"/>
              </w:rPr>
              <w:t>8,695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w w:val="98"/>
              </w:rPr>
              <w:t>17,415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32406B"/>
              </w:rPr>
              <w:t>Payments of issuance costs on debt facility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32406B"/>
              </w:rPr>
              <w:t>Net cash provided by financing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8,695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17,371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increase in cash and cash equivalents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5,357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32406B"/>
              </w:rPr>
              <w:t>Cash and cash equivalents at beginning of period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5,357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 at end of period</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5,357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Supplemental disclosure of non-cash investing and financing activities:</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32406B"/>
              </w:rPr>
              <w:t>Purchases of property and equipment included in accounts payable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32406B"/>
              </w:rPr>
              <w:t>Issuance of warrants associated with debt facility</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560" w:type="dxa"/>
            <w:vAlign w:val="bottom"/>
          </w:tcPr>
          <w:p>
            <w:pPr>
              <w:jc w:val="right"/>
              <w:spacing w:after="0"/>
              <w:rPr>
                <w:sz w:val="20"/>
                <w:szCs w:val="20"/>
                <w:color w:val="auto"/>
              </w:rPr>
            </w:pPr>
            <w:r>
              <w:rPr>
                <w:rFonts w:ascii="Arial" w:cs="Arial" w:eastAsia="Arial" w:hAnsi="Arial"/>
                <w:sz w:val="18"/>
                <w:szCs w:val="18"/>
                <w:color w:val="32406B"/>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32406B"/>
              </w:rPr>
              <w:t>Deferred offering costs included in accrued expenses</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32406B"/>
              </w:rPr>
              <w:t>Accretion of issuance costs related to redeemable convertible preferred stock</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460" w:type="dxa"/>
            <w:vAlign w:val="bottom"/>
          </w:tcPr>
          <w:p>
            <w:pPr>
              <w:jc w:val="right"/>
              <w:spacing w:after="0"/>
              <w:rPr>
                <w:sz w:val="20"/>
                <w:szCs w:val="20"/>
                <w:color w:val="auto"/>
              </w:rPr>
            </w:pPr>
            <w:r>
              <w:rPr>
                <w:rFonts w:ascii="Arial" w:cs="Arial" w:eastAsia="Arial" w:hAnsi="Arial"/>
                <w:sz w:val="18"/>
                <w:szCs w:val="18"/>
                <w:color w:val="32406B"/>
              </w:rPr>
              <w:t>305</w:t>
            </w:r>
          </w:p>
        </w:tc>
        <w:tc>
          <w:tcPr>
            <w:tcW w:w="24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560" w:type="dxa"/>
            <w:vAlign w:val="bottom"/>
          </w:tcPr>
          <w:p>
            <w:pPr>
              <w:jc w:val="right"/>
              <w:spacing w:after="0"/>
              <w:rPr>
                <w:sz w:val="20"/>
                <w:szCs w:val="20"/>
                <w:color w:val="auto"/>
              </w:rPr>
            </w:pPr>
            <w:r>
              <w:rPr>
                <w:rFonts w:ascii="Arial" w:cs="Arial" w:eastAsia="Arial" w:hAnsi="Arial"/>
                <w:sz w:val="18"/>
                <w:szCs w:val="18"/>
                <w:color w:val="32406B"/>
              </w:rPr>
              <w:t>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F-6</w:t>
      </w:r>
    </w:p>
    <w:p>
      <w:pPr>
        <w:sectPr>
          <w:pgSz w:w="11900" w:h="16838" w:orient="portrait"/>
          <w:cols w:equalWidth="0" w:num="1">
            <w:col w:w="11240"/>
          </w:cols>
          <w:pgMar w:left="240" w:top="459" w:right="4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 Nature of the Business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32406B"/>
        </w:rPr>
        <w:t xml:space="preserve">AVROBIO, Inc. (the “Company” or “AVROBIO”) is a clinical stage gene therapy company focused on developing potentially curative </w:t>
      </w:r>
      <w:r>
        <w:rPr>
          <w:rFonts w:ascii="Arial" w:cs="Arial" w:eastAsia="Arial" w:hAnsi="Arial"/>
          <w:sz w:val="18"/>
          <w:szCs w:val="18"/>
          <w:i w:val="1"/>
          <w:iCs w:val="1"/>
          <w:color w:val="32406B"/>
        </w:rPr>
        <w:t>ex vivo</w:t>
      </w:r>
      <w:r>
        <w:rPr>
          <w:rFonts w:ascii="Arial" w:cs="Arial" w:eastAsia="Arial" w:hAnsi="Arial"/>
          <w:sz w:val="18"/>
          <w:szCs w:val="18"/>
          <w:color w:val="32406B"/>
        </w:rPr>
        <w:t xml:space="preserve"> lentiviral gene therapies to treat rare diseases following a single dose.</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32406B"/>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32406B"/>
        </w:rPr>
        <w:t>Through December 31, 2017, the Company has funded its operations primarily with proceeds from the sale of series Seed redeemable convertible preferred stock (the “Series Seed Preferred Stock”) and series A redeemable convertible preferred stock (the “Series A Preferred Stock”), (the Series Seed Preferred Stock and the Series A Preferred Stock are collectively referred to as the “Preferred Stock”). The Company has incurred recurring losses since its inception, including net losses of $4,664 and $18,648 for the years ended December 31, 2016 and 2017, respectively. In addition, as of December 31, 2017, the Company had an accumulated deficit of $23,475. The Company expects to continue to generate operating losses for the near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66"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32406B"/>
        </w:rPr>
        <w:t>The Company believes the cash and cash equivalents on hand as of December 31, 2017 of $5,963, together with the $60,500 of gross cash proceeds received from the Company’s sale of series B redeemable convertible preferred stock (the “Series B Preferred Stock”) in January 2018 (see Note 17) will be sufficient to fund its operations and capital expenditure requirements through at least April 6, 2019.</w:t>
      </w:r>
    </w:p>
    <w:p>
      <w:pPr>
        <w:spacing w:after="0" w:line="270" w:lineRule="exact"/>
        <w:rPr>
          <w:sz w:val="20"/>
          <w:szCs w:val="20"/>
          <w:color w:val="auto"/>
        </w:rPr>
      </w:pPr>
    </w:p>
    <w:p>
      <w:pPr>
        <w:ind w:left="640" w:right="7440" w:hanging="436"/>
        <w:spacing w:after="0" w:line="378" w:lineRule="auto"/>
        <w:tabs>
          <w:tab w:leader="none" w:pos="379" w:val="left"/>
        </w:tabs>
        <w:numPr>
          <w:ilvl w:val="0"/>
          <w:numId w:val="106"/>
        </w:numPr>
        <w:rPr>
          <w:rFonts w:ascii="Arial" w:cs="Arial" w:eastAsia="Arial" w:hAnsi="Arial"/>
          <w:sz w:val="18"/>
          <w:szCs w:val="18"/>
          <w:b w:val="1"/>
          <w:bCs w:val="1"/>
          <w:color w:val="32406B"/>
        </w:rPr>
      </w:pPr>
      <w:r>
        <w:rPr>
          <w:rFonts w:ascii="Arial" w:cs="Arial" w:eastAsia="Arial" w:hAnsi="Arial"/>
          <w:sz w:val="18"/>
          <w:szCs w:val="18"/>
          <w:b w:val="1"/>
          <w:bCs w:val="1"/>
          <w:color w:val="32406B"/>
        </w:rPr>
        <w:t xml:space="preserve">Summary of Significant Accounting Policies </w:t>
      </w:r>
      <w:r>
        <w:rPr>
          <w:rFonts w:ascii="Arial" w:cs="Arial" w:eastAsia="Arial" w:hAnsi="Arial"/>
          <w:sz w:val="18"/>
          <w:szCs w:val="18"/>
          <w:b w:val="1"/>
          <w:bCs w:val="1"/>
          <w:i w:val="1"/>
          <w:iCs w:val="1"/>
          <w:color w:val="32406B"/>
        </w:rPr>
        <w:t>Basis of Presentation</w:t>
      </w:r>
    </w:p>
    <w:p>
      <w:pPr>
        <w:ind w:left="200" w:right="40" w:firstLine="441"/>
        <w:spacing w:after="0" w:line="259" w:lineRule="auto"/>
        <w:rPr>
          <w:sz w:val="20"/>
          <w:szCs w:val="20"/>
          <w:color w:val="auto"/>
        </w:rPr>
      </w:pPr>
      <w:r>
        <w:rPr>
          <w:rFonts w:ascii="Arial" w:cs="Arial" w:eastAsia="Arial" w:hAnsi="Arial"/>
          <w:sz w:val="18"/>
          <w:szCs w:val="18"/>
          <w:color w:val="32406B"/>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Principles of Consolidation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32406B"/>
        </w:rPr>
        <w:t>The accompanying consolidated financial statements include the accounts of AVROBIO, Inc. and its wholly owned subsidiaries. All intercompany transactions and balances have been eliminated in consolidation.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F-7</w:t>
      </w:r>
    </w:p>
    <w:p>
      <w:pPr>
        <w:sectPr>
          <w:pgSz w:w="11900" w:h="16838" w:orient="portrait"/>
          <w:cols w:equalWidth="0" w:num="1">
            <w:col w:w="11200"/>
          </w:cols>
          <w:pgMar w:left="240" w:top="460"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Use of Estimates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estimates and assumptions reflected in these consolidated financial statements include, but are not limited to, the accrual for research and development expenses, stock-based compensation expense, the valuation of equity and derivative instruments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Unaudited Pro Forma Information</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In the accompanying consolidated statements of operations and comprehensive loss, the unaudited pro forma basic and diluted net loss per share attributable to common stockholders for the year ended December 31, 2017 has been computed using the weighted-average number of common shares outstanding after giving pro forma effect to the conversion of all outstanding shares of redeemable convertible preferred stock into 8,418,149 shares of common stock and the conversion of the outstanding warrant to purchase shares of redeemable convertible preferred stock as of December 31, 2017 into a warrant to purchase shares of common stock, as if such conversion had occurred at the beginning of the period presented or the date of original issuance, whichever is later. Accordingly, the effect of the accretion to redemption value of the redeemable convertible preferred stock has been excluded from the determination of pro forma basic and diluted loss per share attributable to common stockholders. Additionally, the changes in the fair value of the warrant to purchase redeemable convertible preferred stock has been excluded from the determination of pro forma basic and diluted net loss per share attributable to common stockholders as these instruments are not required be recorded at fair value once it become a warrant to purchase common stock.</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Cash and Cash Equivalents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32406B"/>
        </w:rPr>
        <w:t>The Company considers all highly liquid investments purchased with original maturities of 90 days or less at acquisition to be cash equivalents. Cash and cash equivalents include cash held in banks and amounts held in interest-bearing money market accounts. Cash equivalents are carried at cost, which approximates their fair market value.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Restricted Cash</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32406B"/>
        </w:rPr>
        <w:t>As of December 31, 2016 and 2017, restricted cash consisted of $24 used to secure a letter of credit for the benefit of the landlord in connection with the Company’s lease agreement (Note 14). These amounts are classified as other assets in the Company’s consolidated balance sheets.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Concentrations of Credit Risk</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32406B"/>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F-8</w:t>
      </w:r>
    </w:p>
    <w:p>
      <w:pPr>
        <w:sectPr>
          <w:pgSz w:w="11900" w:h="16838" w:orient="portrait"/>
          <w:cols w:equalWidth="0" w:num="1">
            <w:col w:w="11200"/>
          </w:cols>
          <w:pgMar w:left="240" w:top="460"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2. Summary of Significant Accounting Policies (continued)</w:t>
      </w:r>
    </w:p>
    <w:p>
      <w:pPr>
        <w:spacing w:after="0" w:line="135"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32406B"/>
        </w:rPr>
        <w:t>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Deferred Issuance Costs</w:t>
      </w:r>
    </w:p>
    <w:p>
      <w:pPr>
        <w:spacing w:after="0" w:line="11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32406B"/>
        </w:rPr>
        <w:t>The Company capitalizes certain legal, professional accounting and other third-party fees that are directly associated with in-process equity financings as deferred issuance costs until such financings are consummated. After consummation of the equity financing, these costs are recorded as a reduction of the proceeds generated as a result of the offering. Should the planned equity financing be abandoned, the deferred issuance costs will be expensed immediately as a charge to operating expenses in the consolidated statements of operations. As of December 31, 2017, the Company recorded deferred issuance costs of $85 within other assets on the consolidated balance sheet related to the Series B Preferred Stock offering which was consummated in January 2018 (Note 17). There were no amounts deferred as of December 31, 2016.</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Property and Equipment</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32406B"/>
        </w:rPr>
        <w:t>Property and equipment are recorded at cost. Depreciation and amortization is calculated using the straight-line method over the following estimated useful lives of the assets: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2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94"/>
              </w:rPr>
              <w:t>Estimated Useful Life</w:t>
            </w: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32406B"/>
              </w:rPr>
              <w:t>Laboratory and office equipment</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8"/>
              </w:rPr>
              <w:t>5 years</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32406B"/>
              </w:rPr>
              <w:t>Computer equipment and software</w:t>
            </w:r>
          </w:p>
        </w:tc>
        <w:tc>
          <w:tcPr>
            <w:tcW w:w="1760" w:type="dxa"/>
            <w:vAlign w:val="bottom"/>
          </w:tcPr>
          <w:p>
            <w:pPr>
              <w:jc w:val="center"/>
              <w:spacing w:after="0"/>
              <w:rPr>
                <w:sz w:val="20"/>
                <w:szCs w:val="20"/>
                <w:color w:val="auto"/>
              </w:rPr>
            </w:pPr>
            <w:r>
              <w:rPr>
                <w:rFonts w:ascii="Arial" w:cs="Arial" w:eastAsia="Arial" w:hAnsi="Arial"/>
                <w:sz w:val="18"/>
                <w:szCs w:val="18"/>
                <w:color w:val="32406B"/>
                <w:w w:val="88"/>
              </w:rPr>
              <w:t>2 years</w:t>
            </w: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Leasehold improvements</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32406B"/>
                <w:w w:val="89"/>
              </w:rPr>
              <w:t>Lesser of lease term or</w:t>
            </w: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spacing w:after="0"/>
              <w:rPr>
                <w:sz w:val="20"/>
                <w:szCs w:val="20"/>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6"/>
              </w:rPr>
              <w:t>10 years</w:t>
            </w:r>
          </w:p>
        </w:tc>
      </w:tr>
    </w:tbl>
    <w:p>
      <w:pPr>
        <w:spacing w:after="0" w:line="20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32406B"/>
        </w:rPr>
        <w:t>Upon disposal, retirement or sale, the cost of assets disposed of and the related accumulated depreciation are removed from the accounts and any resulting gain or loss is included in the results of operations. Expenditures for repairs and maintenance that do not improve or extend the lives of the respective assets are charged to expense as incurred.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Impairment of Long-Lived Assets</w:t>
      </w:r>
    </w:p>
    <w:p>
      <w:pPr>
        <w:spacing w:after="0" w:line="117"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32406B"/>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To date, the Company has not recorded any impairment losses on long-lived assets.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F-9</w:t>
      </w:r>
    </w:p>
    <w:p>
      <w:pPr>
        <w:sectPr>
          <w:pgSz w:w="11900" w:h="16838" w:orient="portrait"/>
          <w:cols w:equalWidth="0" w:num="1">
            <w:col w:w="11240"/>
          </w:cols>
          <w:pgMar w:left="240" w:top="460"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Fair Value Measurements</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32406B"/>
        </w:rPr>
        <w:t>Certain assets and liabilities of the Company are carried at fair value under GAAP (see Note 3).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4" w:lineRule="exact"/>
        <w:rPr>
          <w:sz w:val="20"/>
          <w:szCs w:val="20"/>
          <w:color w:val="auto"/>
        </w:rPr>
      </w:pPr>
    </w:p>
    <w:p>
      <w:pPr>
        <w:ind w:left="1060" w:hanging="424"/>
        <w:spacing w:after="0"/>
        <w:tabs>
          <w:tab w:leader="none" w:pos="1060" w:val="left"/>
        </w:tabs>
        <w:numPr>
          <w:ilvl w:val="0"/>
          <w:numId w:val="107"/>
        </w:numPr>
        <w:rPr>
          <w:rFonts w:ascii="Arial" w:cs="Arial" w:eastAsia="Arial" w:hAnsi="Arial"/>
          <w:sz w:val="18"/>
          <w:szCs w:val="18"/>
          <w:color w:val="32406B"/>
        </w:rPr>
      </w:pPr>
      <w:r>
        <w:rPr>
          <w:rFonts w:ascii="Arial" w:cs="Arial" w:eastAsia="Arial" w:hAnsi="Arial"/>
          <w:sz w:val="18"/>
          <w:szCs w:val="18"/>
          <w:color w:val="32406B"/>
        </w:rPr>
        <w:t>Level 1—Quoted prices in active markets for identical assets or liabilities.</w:t>
      </w:r>
    </w:p>
    <w:p>
      <w:pPr>
        <w:spacing w:after="0" w:line="130" w:lineRule="exact"/>
        <w:rPr>
          <w:rFonts w:ascii="Arial" w:cs="Arial" w:eastAsia="Arial" w:hAnsi="Arial"/>
          <w:sz w:val="18"/>
          <w:szCs w:val="18"/>
          <w:color w:val="32406B"/>
        </w:rPr>
      </w:pPr>
    </w:p>
    <w:p>
      <w:pPr>
        <w:ind w:left="1060" w:right="500" w:hanging="424"/>
        <w:spacing w:after="0" w:line="264" w:lineRule="auto"/>
        <w:tabs>
          <w:tab w:leader="none" w:pos="1060" w:val="left"/>
        </w:tabs>
        <w:numPr>
          <w:ilvl w:val="0"/>
          <w:numId w:val="107"/>
        </w:numPr>
        <w:rPr>
          <w:rFonts w:ascii="Arial" w:cs="Arial" w:eastAsia="Arial" w:hAnsi="Arial"/>
          <w:sz w:val="18"/>
          <w:szCs w:val="18"/>
          <w:color w:val="32406B"/>
        </w:rPr>
      </w:pPr>
      <w:r>
        <w:rPr>
          <w:rFonts w:ascii="Arial" w:cs="Arial" w:eastAsia="Arial" w:hAnsi="Arial"/>
          <w:sz w:val="18"/>
          <w:szCs w:val="18"/>
          <w:color w:val="32406B"/>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6" w:lineRule="exact"/>
        <w:rPr>
          <w:rFonts w:ascii="Arial" w:cs="Arial" w:eastAsia="Arial" w:hAnsi="Arial"/>
          <w:sz w:val="18"/>
          <w:szCs w:val="18"/>
          <w:color w:val="32406B"/>
        </w:rPr>
      </w:pPr>
    </w:p>
    <w:p>
      <w:pPr>
        <w:ind w:left="1060" w:right="40" w:hanging="424"/>
        <w:spacing w:after="0" w:line="277" w:lineRule="auto"/>
        <w:tabs>
          <w:tab w:leader="none" w:pos="1060" w:val="left"/>
        </w:tabs>
        <w:numPr>
          <w:ilvl w:val="0"/>
          <w:numId w:val="107"/>
        </w:numPr>
        <w:rPr>
          <w:rFonts w:ascii="Arial" w:cs="Arial" w:eastAsia="Arial" w:hAnsi="Arial"/>
          <w:sz w:val="18"/>
          <w:szCs w:val="18"/>
          <w:color w:val="32406B"/>
        </w:rPr>
      </w:pPr>
      <w:r>
        <w:rPr>
          <w:rFonts w:ascii="Arial" w:cs="Arial" w:eastAsia="Arial" w:hAnsi="Arial"/>
          <w:sz w:val="18"/>
          <w:szCs w:val="18"/>
          <w:color w:val="32406B"/>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Segment Information</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32406B"/>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Research and Development Costs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32406B"/>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78"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32406B"/>
        </w:rPr>
        <w:t>The Company has entered into various research and development related contracts with parties both inside and outside of the United States. The payments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F-10</w:t>
      </w:r>
    </w:p>
    <w:p>
      <w:pPr>
        <w:sectPr>
          <w:pgSz w:w="11900" w:h="16838" w:orient="portrait"/>
          <w:cols w:equalWidth="0" w:num="1">
            <w:col w:w="11200"/>
          </w:cols>
          <w:pgMar w:left="24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Stock-Based Compensation</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32406B"/>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73"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32406B"/>
        </w:rPr>
        <w:t>Stock-based awards issued to non-employees are recorded at their fair values, and are periodically revalued as the awards vest and are recognized as expense over the related service period. For stock-based awards granted to non-employees subject to graded vesting that only contain service conditions, the Company has elected to recognize stock-based compensation expense using the straight-line recognition method.</w:t>
      </w:r>
    </w:p>
    <w:p>
      <w:pPr>
        <w:spacing w:after="0" w:line="166"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32406B"/>
        </w:rPr>
        <w:t>The Company classifies stock-based compensation expense in its consolidated statements of operations and comprehensive loss in the same manner in which the award recipient’s cash compensation costs are classified.</w:t>
      </w:r>
    </w:p>
    <w:p>
      <w:pPr>
        <w:spacing w:after="0" w:line="170"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32406B"/>
        </w:rPr>
        <w:t xml:space="preserve">Given the absence of an active market for the Company’s common stock, the Company and the Board, the members of which the Company believes have extensive business, finance, and venture capital experience, were required to estimate the fair value of the Company’s common stock at the time of each grant of a stock-based award. The Company and the Board determined the estimated fair value of the Company’s equity instruments based on a number of factors, including external market conditions affecting the biotechnology industry sector. The Company and the Board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32406B"/>
        </w:rPr>
        <w:t>Valuation of Privately-Held Company Equity Securities Issued as Compensation</w:t>
      </w:r>
      <w:r>
        <w:rPr>
          <w:rFonts w:ascii="Arial" w:cs="Arial" w:eastAsia="Arial" w:hAnsi="Arial"/>
          <w:sz w:val="17"/>
          <w:szCs w:val="17"/>
          <w:color w:val="32406B"/>
        </w:rPr>
        <w:t>, to estimate the fair value of its common stock. Each valuation</w:t>
      </w:r>
      <w:r>
        <w:rPr>
          <w:rFonts w:ascii="Arial" w:cs="Arial" w:eastAsia="Arial" w:hAnsi="Arial"/>
          <w:sz w:val="17"/>
          <w:szCs w:val="17"/>
          <w:i w:val="1"/>
          <w:iCs w:val="1"/>
          <w:color w:val="32406B"/>
        </w:rPr>
        <w:t xml:space="preserve"> </w:t>
      </w:r>
      <w:r>
        <w:rPr>
          <w:rFonts w:ascii="Arial" w:cs="Arial" w:eastAsia="Arial" w:hAnsi="Arial"/>
          <w:sz w:val="17"/>
          <w:szCs w:val="17"/>
          <w:color w:val="32406B"/>
        </w:rPr>
        <w:t>methodology includes estimates and assumptions that require the Company’s judgment. These estimates and assumptions include a number of objective and subjective factors in determining the value of the Company’s common stock at each grant date, including: (1) prices paid for the Company’s redeemable convertible preferred stock, which the Company had sold to outside investors in arm’s-length transactions, and the rights, preferences, and privileges of the Company’s redeemable convertible preferred stock and common stock; (2) valuations performed by an independent valuation specialist; (3) the Company’s stage of development; (4) the fact that the grants of stock-based awards involved illiquid securities in a private company; and (5) the likelihood of achieving a liquidity event for the common stock underlying the stock-based awards, such as an IPO or sale of the Company, given prevailing market conditions.</w:t>
      </w:r>
    </w:p>
    <w:p>
      <w:pPr>
        <w:spacing w:after="0" w:line="18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32406B"/>
        </w:rPr>
        <w:t>The fair value of each stock option award is estimated on the date of grant using the Black-Scholes option pricing model. As there is no public market for its common stock,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F-11</w:t>
      </w:r>
    </w:p>
    <w:p>
      <w:pPr>
        <w:sectPr>
          <w:pgSz w:w="11900" w:h="16838" w:orient="portrait"/>
          <w:cols w:equalWidth="0" w:num="1">
            <w:col w:w="11160"/>
          </w:cols>
          <w:pgMar w:left="240" w:top="460"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2. Summary of Significant Accounting Policies (continued)</w:t>
      </w:r>
    </w:p>
    <w:p>
      <w:pPr>
        <w:spacing w:after="0" w:line="135" w:lineRule="exact"/>
        <w:rPr>
          <w:sz w:val="20"/>
          <w:szCs w:val="20"/>
          <w:color w:val="auto"/>
        </w:rPr>
      </w:pPr>
    </w:p>
    <w:p>
      <w:pPr>
        <w:ind w:left="200" w:right="640" w:firstLine="441"/>
        <w:spacing w:after="0" w:line="342" w:lineRule="auto"/>
        <w:rPr>
          <w:sz w:val="20"/>
          <w:szCs w:val="20"/>
          <w:color w:val="auto"/>
        </w:rPr>
      </w:pPr>
      <w:r>
        <w:rPr>
          <w:rFonts w:ascii="Arial" w:cs="Arial" w:eastAsia="Arial" w:hAnsi="Arial"/>
          <w:sz w:val="16"/>
          <w:szCs w:val="16"/>
          <w:color w:val="32406B"/>
        </w:rPr>
        <w:t>See Note 10 for the assumptions used by the Company in determining the grant date fair value of stock-based awards granted, as well as a summary of the stock-based award activity under the Company’s stock-based compensation plan for the year ended December 31, 2017.</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Warrant to Purchase Preferred Stock</w:t>
      </w:r>
    </w:p>
    <w:p>
      <w:pPr>
        <w:spacing w:after="0" w:line="117"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32406B"/>
        </w:rPr>
        <w:t>The Company classifies the warrant for the purchase of shares of its redeemable convertible preferred stock (see Note 7) as a liability on its consolidated balance sheets as the warrant is a free-standing financial instrument that may require the Company to transfer assets upon exercise. The preferred stock warrant liability was initially recorded at fair value upon the date of issuance and is subsequently remeasured to fair value at each reporting date. Changes in the fair value of the warrant to purchase preferred stock are recognized as a component of other income (expense), net in the consolidated statements of operations and comprehensive loss. Changes in the fair value of the warrant to purchase preferred stock will continue to be recognized until the warrant is exercised, expires or qualifies for equity classification.</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The Company utilizes the Black-Scholes option-pricing model, which incorporates assumptions and estimates, to value the warrant. The Company assesses these assumptions and estimates on a quarterly basis as additional information impacting the assumptions is obtained. Estimates and assumptions impacting the fair value measurement include the fair value per share of the underlying redeemable convertible preferred stock issuable upon exercise of the warrant, the remaining contractual term of the warrant, the risk-free interest rate, the expected dividend yield and the expected volatility of the price of the underlying redeemable convertible preferred stock.</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Comprehensive Income (Loss)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32406B"/>
        </w:rPr>
        <w:t>Comprehensive income (loss) is defined as the change in stockholders’ equity of a business enterprise during a period from transactions and other events and circumstances from non-owner sources. Comprehensive income (loss) includes net income (loss) as well as other changes in stockholders’ (deficit) equity which includes certain changes in equity that are excluded from net income (loss). Comprehensive loss has been disclosed in the accompanying statements of operations and comprehensive loss and equals the Company’s net loss for all periods presented.</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Foreign Currency Translation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32406B"/>
        </w:rPr>
        <w:t>The functional currency of the Company’s international operations in Canada and Australia is the U.S. dollar. Accordingly, all operating assets and liabilities of these international subsidiaries are remeasured into U.S. dollars using the exchange rates in effect at the balance sheet date or historical rates, as appropriate, while expenses are remeasured into U.S. dollars at the average rates in effect during the period. Any differences resulting from the remeasurement of assets, liabilities, and operations of the Canadian and Australian subsidiaries are recorded within other income (expense), net in the consolidated statements of operations and comprehensive loss. During the years ended December 31, 2016 and 2017, the Company recorded foreign exchange losses of $6 and $19, respectively, in other expense.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Income Taxes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32406B"/>
        </w:rPr>
        <w:t>Deferred tax assets and liabilities are determined on the basis of the differences between the consolidated financial statements and tax basis of assets and liabilities using enacted tax rates in effect for the year in which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F-12</w:t>
      </w:r>
    </w:p>
    <w:p>
      <w:pPr>
        <w:sectPr>
          <w:pgSz w:w="11900" w:h="16838" w:orient="portrait"/>
          <w:cols w:equalWidth="0" w:num="1">
            <w:col w:w="11220"/>
          </w:cols>
          <w:pgMar w:left="240" w:top="460"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2. Summary of Significant Accounting Policies (continued)</w:t>
      </w:r>
    </w:p>
    <w:p>
      <w:pPr>
        <w:spacing w:after="0" w:line="135"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color w:val="32406B"/>
        </w:rPr>
        <w:t>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Leases</w:t>
      </w:r>
    </w:p>
    <w:p>
      <w:pPr>
        <w:spacing w:after="0" w:line="11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32406B"/>
        </w:rPr>
        <w:t>The Company categorizes leases at their inception as either operating or capital leases. On certain lease arrangements, the Company may receive rent holidays or other incentives. The Company recognizes lease costs on a straight-line basis once control of the space is achieved, without regard to deferred payment terms, such as rent holidays, that defer the commencement date of required payments or escalating payment amounts. The difference between required lease payments and rent expense has been recorded as deferred rent and other accrued expenses and other current liabilities in the accompanying consolidated balance sheets. Additionally, incentives received are treated as a reduction of costs over the term of the agreement, as they are considered an inseparable part of the lease agreement.</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Net Income (Loss) per Share Attributable to Common Stockholders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32406B"/>
        </w:rPr>
        <w:t>Net income (loss) per share attributable to common stockholders is determined using the two-class method, which includes the weighted-average number of shares of common stock outstanding during the period and other securities that participate in dividends (a participating security). In periods of income, the redeemable convertible preferred stock would be considered participating securities because the shares include rights to participate in dividends with the common stock; however, the redeemable convertible preferred stock is not considered a participating security in periods of loss as they do not have an obligation to share in the Company’s net losses.</w:t>
      </w:r>
    </w:p>
    <w:p>
      <w:pPr>
        <w:spacing w:after="0" w:line="18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32406B"/>
        </w:rPr>
        <w:t>Under the two-class method, basic net income (loss) per share attributable to common stockholders is computed by dividing the net income (loss) attributable to common stockholders by the weighted-average number of shares of common stock outstanding during the period. Diluted net income (loss) per share attributable to common stockholders is computed using the more dilutive of (1) the two-class method or (2) the if-converted method. The Company allocates net income first to the holders of Preferred Stock based on dividend rights under the Company’s certificate of incorporation and then to preferred and common stockholders based on ownership interests.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Subsequent Event Considerations</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32406B"/>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17.</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F-13</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Emerging Growth Company Status</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32406B"/>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Recently Issued Accounting Pronouncements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 xml:space="preserve">In July 2017, the FASB issued ASU 2017-11, </w:t>
      </w:r>
      <w:r>
        <w:rPr>
          <w:rFonts w:ascii="Arial" w:cs="Arial" w:eastAsia="Arial" w:hAnsi="Arial"/>
          <w:sz w:val="17"/>
          <w:szCs w:val="17"/>
          <w:i w:val="1"/>
          <w:iCs w:val="1"/>
          <w:color w:val="32406B"/>
        </w:rPr>
        <w:t>Earnings Per Share (Topic 260), Distinguishing Liabilities from Equity (Topic 480), Derivatives and</w:t>
      </w:r>
      <w:r>
        <w:rPr>
          <w:rFonts w:ascii="Arial" w:cs="Arial" w:eastAsia="Arial" w:hAnsi="Arial"/>
          <w:sz w:val="17"/>
          <w:szCs w:val="17"/>
          <w:color w:val="32406B"/>
        </w:rPr>
        <w:t xml:space="preserve"> </w:t>
      </w:r>
      <w:r>
        <w:rPr>
          <w:rFonts w:ascii="Arial" w:cs="Arial" w:eastAsia="Arial" w:hAnsi="Arial"/>
          <w:sz w:val="17"/>
          <w:szCs w:val="17"/>
          <w:i w:val="1"/>
          <w:iCs w:val="1"/>
          <w:color w:val="32406B"/>
        </w:rPr>
        <w:t>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b w:val="1"/>
          <w:bCs w:val="1"/>
          <w:i w:val="1"/>
          <w:iCs w:val="1"/>
          <w:color w:val="32406B"/>
        </w:rPr>
        <w:t>.</w:t>
      </w:r>
      <w:r>
        <w:rPr>
          <w:rFonts w:ascii="Arial" w:cs="Arial" w:eastAsia="Arial" w:hAnsi="Arial"/>
          <w:sz w:val="17"/>
          <w:szCs w:val="17"/>
          <w:i w:val="1"/>
          <w:iCs w:val="1"/>
          <w:color w:val="32406B"/>
        </w:rPr>
        <w:t xml:space="preserve"> </w:t>
      </w:r>
      <w:r>
        <w:rPr>
          <w:rFonts w:ascii="Arial" w:cs="Arial" w:eastAsia="Arial" w:hAnsi="Arial"/>
          <w:sz w:val="17"/>
          <w:szCs w:val="17"/>
          <w:color w:val="32406B"/>
        </w:rPr>
        <w:t>Part I applies to entities that issue financial instruments such as warrants, convertible debt or convertible preferred stock that contain</w:t>
      </w:r>
      <w:r>
        <w:rPr>
          <w:rFonts w:ascii="Arial" w:cs="Arial" w:eastAsia="Arial" w:hAnsi="Arial"/>
          <w:sz w:val="17"/>
          <w:szCs w:val="17"/>
          <w:i w:val="1"/>
          <w:iCs w:val="1"/>
          <w:color w:val="32406B"/>
        </w:rPr>
        <w:t xml:space="preserve"> </w:t>
      </w:r>
      <w:r>
        <w:rPr>
          <w:rFonts w:ascii="Arial" w:cs="Arial" w:eastAsia="Arial" w:hAnsi="Arial"/>
          <w:sz w:val="17"/>
          <w:szCs w:val="17"/>
          <w:color w:val="32406B"/>
        </w:rPr>
        <w:t>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 impact that the adoption of ASU 2017-11 will have on its consolidated financial statements.</w:t>
      </w:r>
    </w:p>
    <w:p>
      <w:pPr>
        <w:spacing w:after="0" w:line="18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32406B"/>
        </w:rPr>
        <w:t xml:space="preserve">In May 2017, the FASB issued ASU No. 2017-09, </w:t>
      </w:r>
      <w:r>
        <w:rPr>
          <w:rFonts w:ascii="Arial" w:cs="Arial" w:eastAsia="Arial" w:hAnsi="Arial"/>
          <w:sz w:val="16"/>
          <w:szCs w:val="16"/>
          <w:i w:val="1"/>
          <w:iCs w:val="1"/>
          <w:color w:val="32406B"/>
        </w:rPr>
        <w:t>Compensation—Stock Compensation (Topic 718): Scope of Modification Accounting</w:t>
      </w:r>
      <w:r>
        <w:rPr>
          <w:rFonts w:ascii="Arial" w:cs="Arial" w:eastAsia="Arial" w:hAnsi="Arial"/>
          <w:sz w:val="16"/>
          <w:szCs w:val="16"/>
          <w:color w:val="32406B"/>
        </w:rPr>
        <w:t xml:space="preserve"> (“ASU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is currently evaluating the impact that the adoption of ASU 2017-09 will have on its consolidated financial statements.</w:t>
      </w:r>
    </w:p>
    <w:p>
      <w:pPr>
        <w:spacing w:after="0" w:line="16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32406B"/>
        </w:rPr>
        <w:t xml:space="preserve">In November 2016, the FASB issued ASU No. 2016-18, </w:t>
      </w:r>
      <w:r>
        <w:rPr>
          <w:rFonts w:ascii="Arial" w:cs="Arial" w:eastAsia="Arial" w:hAnsi="Arial"/>
          <w:sz w:val="16"/>
          <w:szCs w:val="16"/>
          <w:i w:val="1"/>
          <w:iCs w:val="1"/>
          <w:color w:val="32406B"/>
        </w:rPr>
        <w:t>Statement of Cash Flows (Topic 230): Restricted Cash</w:t>
      </w:r>
      <w:r>
        <w:rPr>
          <w:rFonts w:ascii="Arial" w:cs="Arial" w:eastAsia="Arial" w:hAnsi="Arial"/>
          <w:sz w:val="16"/>
          <w:szCs w:val="16"/>
          <w:color w:val="32406B"/>
        </w:rPr>
        <w:t xml:space="preserve"> (“ASU 2016-18”), which requires restricted cash to be presented with cash and cash equivalents on the statement of cash flows and disclosure of how the statement of cash flows reconciles to the balance sheet if restricted cash is shown separately from cash and cash equivalents on the balance sheet. For public entities, the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F-14</w:t>
      </w:r>
    </w:p>
    <w:p>
      <w:pPr>
        <w:sectPr>
          <w:pgSz w:w="11900" w:h="16838" w:orient="portrait"/>
          <w:cols w:equalWidth="0" w:num="1">
            <w:col w:w="11200"/>
          </w:cols>
          <w:pgMar w:left="240" w:top="460"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2. Summary of Significant Accounting Policies (continued)</w:t>
      </w:r>
    </w:p>
    <w:p>
      <w:pPr>
        <w:spacing w:after="0" w:line="135"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32406B"/>
        </w:rPr>
        <w:t>standard is effective for annual periods beginning after December 15, 2017, including interim periods within those fiscal years. For all other entities, the standard is effective for annual periods beginning after December 15, 2018, including interim periods within fiscal years beginning after December 15, 2019. Early adoption is permitted. The Company is currently evaluating the impact that the adoption of ASU 2016-18 will have on its consolidated financial statements.</w:t>
      </w:r>
    </w:p>
    <w:p>
      <w:pPr>
        <w:spacing w:after="0" w:line="18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32406B"/>
        </w:rPr>
        <w:t xml:space="preserve">In August 2016, the FASB issued ASU No. 2016-15, </w:t>
      </w:r>
      <w:r>
        <w:rPr>
          <w:rFonts w:ascii="Arial" w:cs="Arial" w:eastAsia="Arial" w:hAnsi="Arial"/>
          <w:sz w:val="18"/>
          <w:szCs w:val="18"/>
          <w:i w:val="1"/>
          <w:iCs w:val="1"/>
          <w:color w:val="32406B"/>
        </w:rPr>
        <w:t>Statement of Cash Flows: Classification of Certain Cash Receipts and Cash Payments</w:t>
      </w:r>
      <w:r>
        <w:rPr>
          <w:rFonts w:ascii="Arial" w:cs="Arial" w:eastAsia="Arial" w:hAnsi="Arial"/>
          <w:sz w:val="18"/>
          <w:szCs w:val="18"/>
          <w:color w:val="32406B"/>
        </w:rPr>
        <w:t xml:space="preserve"> (“ASU 2016-15”), to address diversity in practice in how certain cash receipts and cash payments are presented and classified in the statement of cash flows. For public entities, the standard is effective for annual periods beginning after December 15, 2017, including interim periods within those fiscal years. For all other entities, the standard is effective for fiscal years beginning after December 15, 2018, and interim periods within fiscal years beginning after December 15, 2019. The Company is currently evaluating the impact that the adoption of ASU 2016-15 will have on its consolidated financial statements.</w:t>
      </w:r>
    </w:p>
    <w:p>
      <w:pPr>
        <w:spacing w:after="0" w:line="19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32406B"/>
        </w:rPr>
        <w:t>In February 2016, the FASB issued ASU No. 2016-02</w:t>
      </w:r>
      <w:r>
        <w:rPr>
          <w:rFonts w:ascii="Arial" w:cs="Arial" w:eastAsia="Arial" w:hAnsi="Arial"/>
          <w:sz w:val="16"/>
          <w:szCs w:val="16"/>
          <w:i w:val="1"/>
          <w:iCs w:val="1"/>
          <w:color w:val="32406B"/>
        </w:rPr>
        <w:t>, Leases (Topic 842)</w:t>
      </w:r>
      <w:r>
        <w:rPr>
          <w:rFonts w:ascii="Arial" w:cs="Arial" w:eastAsia="Arial" w:hAnsi="Arial"/>
          <w:sz w:val="16"/>
          <w:szCs w:val="16"/>
          <w:color w:val="32406B"/>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ASU 2016-02 supersedes the previous leases standard, ASC 840, </w:t>
      </w:r>
      <w:r>
        <w:rPr>
          <w:rFonts w:ascii="Arial" w:cs="Arial" w:eastAsia="Arial" w:hAnsi="Arial"/>
          <w:sz w:val="16"/>
          <w:szCs w:val="16"/>
          <w:i w:val="1"/>
          <w:iCs w:val="1"/>
          <w:color w:val="32406B"/>
        </w:rPr>
        <w:t>Leases</w:t>
      </w:r>
      <w:r>
        <w:rPr>
          <w:rFonts w:ascii="Arial" w:cs="Arial" w:eastAsia="Arial" w:hAnsi="Arial"/>
          <w:sz w:val="16"/>
          <w:szCs w:val="16"/>
          <w:color w:val="32406B"/>
        </w:rPr>
        <w:t>. For public entities, not-for-profit entities and an employee benefit plan that files financial statements with the U.S. Securities and Exchange Commission (SEC), the standard is effective for public entities for annual periods beginning after December 15, 2018 including interim periods within those fiscal years. For all other entities, the standard is effective for fiscal years beginning after December 15, 2019, and interim periods within fiscal years beginning after December 15, 2020. Early adoption is permitted.</w:t>
      </w:r>
    </w:p>
    <w:p>
      <w:pPr>
        <w:spacing w:after="0" w:line="16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32406B"/>
        </w:rPr>
        <w:t xml:space="preserve">In September 2017, the FASB issued ASU No. 2017-13, </w:t>
      </w:r>
      <w:r>
        <w:rPr>
          <w:rFonts w:ascii="Arial" w:cs="Arial" w:eastAsia="Arial" w:hAnsi="Arial"/>
          <w:sz w:val="18"/>
          <w:szCs w:val="18"/>
          <w:i w:val="1"/>
          <w:iCs w:val="1"/>
          <w:color w:val="32406B"/>
        </w:rPr>
        <w:t>Revenue Recognition (Topic 605), Revenue from Contracts with Customers (Topic 606),</w:t>
      </w:r>
      <w:r>
        <w:rPr>
          <w:rFonts w:ascii="Arial" w:cs="Arial" w:eastAsia="Arial" w:hAnsi="Arial"/>
          <w:sz w:val="18"/>
          <w:szCs w:val="18"/>
          <w:color w:val="32406B"/>
        </w:rPr>
        <w:t xml:space="preserve"> </w:t>
      </w:r>
      <w:r>
        <w:rPr>
          <w:rFonts w:ascii="Arial" w:cs="Arial" w:eastAsia="Arial" w:hAnsi="Arial"/>
          <w:sz w:val="18"/>
          <w:szCs w:val="18"/>
          <w:i w:val="1"/>
          <w:iCs w:val="1"/>
          <w:color w:val="32406B"/>
        </w:rPr>
        <w:t>Leases (Topic 840), and Leases (Topic 842)</w:t>
      </w:r>
      <w:r>
        <w:rPr>
          <w:rFonts w:ascii="Arial" w:cs="Arial" w:eastAsia="Arial" w:hAnsi="Arial"/>
          <w:sz w:val="18"/>
          <w:szCs w:val="18"/>
          <w:color w:val="32406B"/>
        </w:rPr>
        <w:t>, which provides additional clarification and implementation guidance related to ASU 2016-02 and has the</w:t>
      </w:r>
      <w:r>
        <w:rPr>
          <w:rFonts w:ascii="Arial" w:cs="Arial" w:eastAsia="Arial" w:hAnsi="Arial"/>
          <w:sz w:val="18"/>
          <w:szCs w:val="18"/>
          <w:i w:val="1"/>
          <w:iCs w:val="1"/>
          <w:color w:val="32406B"/>
        </w:rPr>
        <w:t xml:space="preserve"> </w:t>
      </w:r>
      <w:r>
        <w:rPr>
          <w:rFonts w:ascii="Arial" w:cs="Arial" w:eastAsia="Arial" w:hAnsi="Arial"/>
          <w:sz w:val="18"/>
          <w:szCs w:val="18"/>
          <w:color w:val="32406B"/>
        </w:rPr>
        <w:t>same effective date and transition requirements as ASU 2016-02. The Company is currently evaluating the impact that the adoption of ASU 2016-02 will have on its consolidated financial statements.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F-15</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3. Fair Value of Financial Assets and Liabilities</w:t>
      </w:r>
    </w:p>
    <w:p>
      <w:pPr>
        <w:spacing w:after="0" w:line="121"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32406B"/>
        </w:rPr>
        <w:t>The following table presents information about the Company’s financial assets and liabilities measured at fair value on a recurring basis and indicate the level of the fair value hierarchy utilized to determine such fair values as of December 31, 2016 and 2017:</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7"/>
          </w:tcPr>
          <w:p>
            <w:pPr>
              <w:jc w:val="center"/>
              <w:spacing w:after="0"/>
              <w:rPr>
                <w:sz w:val="20"/>
                <w:szCs w:val="20"/>
                <w:color w:val="auto"/>
              </w:rPr>
            </w:pPr>
            <w:r>
              <w:rPr>
                <w:rFonts w:ascii="Arial" w:cs="Arial" w:eastAsia="Arial" w:hAnsi="Arial"/>
                <w:sz w:val="14"/>
                <w:szCs w:val="14"/>
                <w:b w:val="1"/>
                <w:bCs w:val="1"/>
                <w:color w:val="32406B"/>
                <w:w w:val="92"/>
              </w:rPr>
              <w:t>Fair Value Measurements as of</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32406B"/>
                <w:w w:val="92"/>
              </w:rPr>
              <w:t>December 31, 2016 Using:</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32406B"/>
                <w:w w:val="92"/>
              </w:rPr>
              <w:t>Level 1</w:t>
            </w: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32406B"/>
              </w:rPr>
              <w:t>Level 2</w:t>
            </w:r>
          </w:p>
        </w:tc>
        <w:tc>
          <w:tcPr>
            <w:tcW w:w="1140" w:type="dxa"/>
            <w:vAlign w:val="bottom"/>
            <w:gridSpan w:val="4"/>
          </w:tcPr>
          <w:p>
            <w:pPr>
              <w:ind w:left="360"/>
              <w:spacing w:after="0" w:line="142" w:lineRule="exact"/>
              <w:rPr>
                <w:sz w:val="20"/>
                <w:szCs w:val="20"/>
                <w:color w:val="auto"/>
              </w:rPr>
            </w:pPr>
            <w:r>
              <w:rPr>
                <w:rFonts w:ascii="Arial" w:cs="Arial" w:eastAsia="Arial" w:hAnsi="Arial"/>
                <w:sz w:val="14"/>
                <w:szCs w:val="14"/>
                <w:b w:val="1"/>
                <w:bCs w:val="1"/>
                <w:color w:val="32406B"/>
              </w:rPr>
              <w:t>Level 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32406B"/>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32406B"/>
              </w:rPr>
              <w:t>Assets: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32406B"/>
              </w:rPr>
              <w:t>Restricted cash</w:t>
            </w:r>
          </w:p>
        </w:tc>
        <w:tc>
          <w:tcPr>
            <w:tcW w:w="220" w:type="dxa"/>
            <w:vAlign w:val="bottom"/>
            <w:gridSpan w:val="2"/>
          </w:tcPr>
          <w:p>
            <w:pPr>
              <w:jc w:val="right"/>
              <w:ind w:right="43"/>
              <w:spacing w:after="0"/>
              <w:rPr>
                <w:sz w:val="20"/>
                <w:szCs w:val="20"/>
                <w:color w:val="auto"/>
              </w:rPr>
            </w:pPr>
            <w:r>
              <w:rPr>
                <w:rFonts w:ascii="Arial" w:cs="Arial" w:eastAsia="Arial" w:hAnsi="Arial"/>
                <w:sz w:val="18"/>
                <w:szCs w:val="18"/>
                <w:color w:val="32406B"/>
                <w:w w:val="79"/>
              </w:rPr>
              <w:t>$</w:t>
            </w:r>
          </w:p>
        </w:tc>
        <w:tc>
          <w:tcPr>
            <w:tcW w:w="300" w:type="dxa"/>
            <w:vAlign w:val="bottom"/>
          </w:tcPr>
          <w:p>
            <w:pPr>
              <w:jc w:val="right"/>
              <w:spacing w:after="0"/>
              <w:rPr>
                <w:sz w:val="20"/>
                <w:szCs w:val="20"/>
                <w:color w:val="auto"/>
              </w:rPr>
            </w:pPr>
            <w:r>
              <w:rPr>
                <w:rFonts w:ascii="Arial" w:cs="Arial" w:eastAsia="Arial" w:hAnsi="Arial"/>
                <w:sz w:val="18"/>
                <w:szCs w:val="18"/>
                <w:color w:val="32406B"/>
              </w:rPr>
              <w:t>24</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32406B"/>
              </w:rPr>
              <w:t>$</w:t>
            </w:r>
          </w:p>
        </w:tc>
        <w:tc>
          <w:tcPr>
            <w:tcW w:w="280" w:type="dxa"/>
            <w:vAlign w:val="bottom"/>
          </w:tcPr>
          <w:p>
            <w:pPr>
              <w:jc w:val="right"/>
              <w:spacing w:after="0"/>
              <w:rPr>
                <w:sz w:val="20"/>
                <w:szCs w:val="20"/>
                <w:color w:val="auto"/>
              </w:rPr>
            </w:pPr>
            <w:r>
              <w:rPr>
                <w:rFonts w:ascii="Arial" w:cs="Arial" w:eastAsia="Arial" w:hAnsi="Arial"/>
                <w:sz w:val="18"/>
                <w:szCs w:val="18"/>
                <w:color w:val="32406B"/>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32406B"/>
              </w:rPr>
              <w:t>$</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32406B"/>
                <w:w w:val="99"/>
              </w:rPr>
              <w:t>$</w:t>
            </w:r>
          </w:p>
        </w:tc>
        <w:tc>
          <w:tcPr>
            <w:tcW w:w="420" w:type="dxa"/>
            <w:vAlign w:val="bottom"/>
          </w:tcPr>
          <w:p>
            <w:pPr>
              <w:jc w:val="right"/>
              <w:spacing w:after="0"/>
              <w:rPr>
                <w:sz w:val="20"/>
                <w:szCs w:val="20"/>
                <w:color w:val="auto"/>
              </w:rPr>
            </w:pPr>
            <w:r>
              <w:rPr>
                <w:rFonts w:ascii="Arial" w:cs="Arial" w:eastAsia="Arial" w:hAnsi="Arial"/>
                <w:sz w:val="18"/>
                <w:szCs w:val="18"/>
                <w:color w:val="32406B"/>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32406B"/>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24</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32406B"/>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32406B"/>
              </w:rPr>
              <w:t>Liabilities:</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Derivative liability</w:t>
            </w:r>
          </w:p>
        </w:tc>
        <w:tc>
          <w:tcPr>
            <w:tcW w:w="2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32406B"/>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32406B"/>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88</w:t>
            </w: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32406B"/>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32406B"/>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88</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7"/>
          </w:tcPr>
          <w:p>
            <w:pPr>
              <w:jc w:val="center"/>
              <w:spacing w:after="0"/>
              <w:rPr>
                <w:sz w:val="20"/>
                <w:szCs w:val="20"/>
                <w:color w:val="auto"/>
              </w:rPr>
            </w:pPr>
            <w:r>
              <w:rPr>
                <w:rFonts w:ascii="Arial" w:cs="Arial" w:eastAsia="Arial" w:hAnsi="Arial"/>
                <w:sz w:val="14"/>
                <w:szCs w:val="14"/>
                <w:b w:val="1"/>
                <w:bCs w:val="1"/>
                <w:color w:val="32406B"/>
                <w:w w:val="92"/>
              </w:rPr>
              <w:t>Fair Value Measurements as of</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32406B"/>
                <w:w w:val="92"/>
              </w:rPr>
              <w:t>December 31, 2017 Using:</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32406B"/>
                <w:w w:val="92"/>
              </w:rPr>
              <w:t>Level 1</w:t>
            </w: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32406B"/>
              </w:rPr>
              <w:t>Level 2</w:t>
            </w:r>
          </w:p>
        </w:tc>
        <w:tc>
          <w:tcPr>
            <w:tcW w:w="1140" w:type="dxa"/>
            <w:vAlign w:val="bottom"/>
            <w:gridSpan w:val="4"/>
          </w:tcPr>
          <w:p>
            <w:pPr>
              <w:ind w:left="360"/>
              <w:spacing w:after="0" w:line="142" w:lineRule="exact"/>
              <w:rPr>
                <w:sz w:val="20"/>
                <w:szCs w:val="20"/>
                <w:color w:val="auto"/>
              </w:rPr>
            </w:pPr>
            <w:r>
              <w:rPr>
                <w:rFonts w:ascii="Arial" w:cs="Arial" w:eastAsia="Arial" w:hAnsi="Arial"/>
                <w:sz w:val="14"/>
                <w:szCs w:val="14"/>
                <w:b w:val="1"/>
                <w:bCs w:val="1"/>
                <w:color w:val="32406B"/>
              </w:rPr>
              <w:t>Level 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32406B"/>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32406B"/>
              </w:rPr>
              <w:t>Assets: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32406B"/>
              </w:rPr>
              <w:t>Money market funds</w:t>
            </w:r>
          </w:p>
        </w:tc>
        <w:tc>
          <w:tcPr>
            <w:tcW w:w="520" w:type="dxa"/>
            <w:vAlign w:val="bottom"/>
            <w:gridSpan w:val="3"/>
          </w:tcPr>
          <w:p>
            <w:pPr>
              <w:jc w:val="right"/>
              <w:spacing w:after="0"/>
              <w:rPr>
                <w:sz w:val="20"/>
                <w:szCs w:val="20"/>
                <w:color w:val="auto"/>
              </w:rPr>
            </w:pPr>
            <w:r>
              <w:rPr>
                <w:rFonts w:ascii="Arial" w:cs="Arial" w:eastAsia="Arial" w:hAnsi="Arial"/>
                <w:sz w:val="18"/>
                <w:szCs w:val="18"/>
                <w:color w:val="32406B"/>
                <w:w w:val="87"/>
              </w:rPr>
              <w:t>$5,684</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32406B"/>
              </w:rPr>
              <w:t>$</w:t>
            </w:r>
          </w:p>
        </w:tc>
        <w:tc>
          <w:tcPr>
            <w:tcW w:w="280" w:type="dxa"/>
            <w:vAlign w:val="bottom"/>
          </w:tcPr>
          <w:p>
            <w:pPr>
              <w:jc w:val="right"/>
              <w:spacing w:after="0"/>
              <w:rPr>
                <w:sz w:val="20"/>
                <w:szCs w:val="20"/>
                <w:color w:val="auto"/>
              </w:rPr>
            </w:pPr>
            <w:r>
              <w:rPr>
                <w:rFonts w:ascii="Arial" w:cs="Arial" w:eastAsia="Arial" w:hAnsi="Arial"/>
                <w:sz w:val="18"/>
                <w:szCs w:val="18"/>
                <w:color w:val="32406B"/>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32406B"/>
              </w:rPr>
              <w:t>$</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32406B"/>
                <w:w w:val="99"/>
              </w:rPr>
              <w:t>$</w:t>
            </w:r>
          </w:p>
        </w:tc>
        <w:tc>
          <w:tcPr>
            <w:tcW w:w="420" w:type="dxa"/>
            <w:vAlign w:val="bottom"/>
          </w:tcPr>
          <w:p>
            <w:pPr>
              <w:jc w:val="right"/>
              <w:spacing w:after="0"/>
              <w:rPr>
                <w:sz w:val="20"/>
                <w:szCs w:val="20"/>
                <w:color w:val="auto"/>
              </w:rPr>
            </w:pPr>
            <w:r>
              <w:rPr>
                <w:rFonts w:ascii="Arial" w:cs="Arial" w:eastAsia="Arial" w:hAnsi="Arial"/>
                <w:sz w:val="18"/>
                <w:szCs w:val="18"/>
                <w:color w:val="32406B"/>
                <w:w w:val="88"/>
              </w:rPr>
              <w:t>5,684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Restricted cash</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w w:val="83"/>
              </w:rPr>
              <w:t>$5,708</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32406B"/>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8"/>
              </w:rPr>
              <w:t>5,708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32406B"/>
              </w:rPr>
              <w:t>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32406B"/>
              </w:rPr>
              <w:t>Derivative liability</w:t>
            </w:r>
          </w:p>
        </w:tc>
        <w:tc>
          <w:tcPr>
            <w:tcW w:w="220" w:type="dxa"/>
            <w:vAlign w:val="bottom"/>
            <w:gridSpan w:val="2"/>
          </w:tcPr>
          <w:p>
            <w:pPr>
              <w:jc w:val="right"/>
              <w:ind w:right="43"/>
              <w:spacing w:after="0"/>
              <w:rPr>
                <w:sz w:val="20"/>
                <w:szCs w:val="20"/>
                <w:color w:val="auto"/>
              </w:rPr>
            </w:pPr>
            <w:r>
              <w:rPr>
                <w:rFonts w:ascii="Arial" w:cs="Arial" w:eastAsia="Arial" w:hAnsi="Arial"/>
                <w:sz w:val="18"/>
                <w:szCs w:val="18"/>
                <w:color w:val="32406B"/>
                <w:w w:val="79"/>
              </w:rPr>
              <w:t>$</w:t>
            </w:r>
          </w:p>
        </w:tc>
        <w:tc>
          <w:tcPr>
            <w:tcW w:w="300" w:type="dxa"/>
            <w:vAlign w:val="bottom"/>
          </w:tcPr>
          <w:p>
            <w:pPr>
              <w:jc w:val="right"/>
              <w:spacing w:after="0"/>
              <w:rPr>
                <w:sz w:val="20"/>
                <w:szCs w:val="20"/>
                <w:color w:val="auto"/>
              </w:rPr>
            </w:pPr>
            <w:r>
              <w:rPr>
                <w:rFonts w:ascii="Arial" w:cs="Arial" w:eastAsia="Arial" w:hAnsi="Arial"/>
                <w:sz w:val="18"/>
                <w:szCs w:val="18"/>
                <w:color w:val="32406B"/>
              </w:rPr>
              <w:t>—</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32406B"/>
              </w:rPr>
              <w:t>$</w:t>
            </w:r>
          </w:p>
        </w:tc>
        <w:tc>
          <w:tcPr>
            <w:tcW w:w="280" w:type="dxa"/>
            <w:vAlign w:val="bottom"/>
          </w:tcPr>
          <w:p>
            <w:pPr>
              <w:jc w:val="right"/>
              <w:spacing w:after="0"/>
              <w:rPr>
                <w:sz w:val="20"/>
                <w:szCs w:val="20"/>
                <w:color w:val="auto"/>
              </w:rPr>
            </w:pPr>
            <w:r>
              <w:rPr>
                <w:rFonts w:ascii="Arial" w:cs="Arial" w:eastAsia="Arial" w:hAnsi="Arial"/>
                <w:sz w:val="18"/>
                <w:szCs w:val="18"/>
                <w:color w:val="32406B"/>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32406B"/>
              </w:rPr>
              <w:t>$ 371</w:t>
            </w:r>
          </w:p>
        </w:tc>
        <w:tc>
          <w:tcPr>
            <w:tcW w:w="3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32406B"/>
                <w:w w:val="99"/>
              </w:rPr>
              <w:t>$</w:t>
            </w:r>
          </w:p>
        </w:tc>
        <w:tc>
          <w:tcPr>
            <w:tcW w:w="420" w:type="dxa"/>
            <w:vAlign w:val="bottom"/>
          </w:tcPr>
          <w:p>
            <w:pPr>
              <w:jc w:val="right"/>
              <w:spacing w:after="0"/>
              <w:rPr>
                <w:sz w:val="20"/>
                <w:szCs w:val="20"/>
                <w:color w:val="auto"/>
              </w:rPr>
            </w:pPr>
            <w:r>
              <w:rPr>
                <w:rFonts w:ascii="Arial" w:cs="Arial" w:eastAsia="Arial" w:hAnsi="Arial"/>
                <w:sz w:val="18"/>
                <w:szCs w:val="18"/>
                <w:color w:val="32406B"/>
              </w:rPr>
              <w:t>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Warrant to purchase redeemable convertible preferred stock</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35</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32406B"/>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32406B"/>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36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w w:val="93"/>
              </w:rPr>
              <w:t>$ 406</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During the years ended December 31, 2016 and 2017, there were no transfers between Level 1, Level 2 and Level 3.</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Valuation of the Warrant to Purchase Preferred Stock</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32406B"/>
        </w:rPr>
        <w:t>The warrant to purchase redeemable convertible preferred stock liability in the table above is composed of the fair value of a warrant to purchase shares of Series A Preferred Stock that was issued to a lender in connection with a loan and security agreement in 2017 (the “Loan Agreement”) (Note 7). The fair value of the warrant to purchase preferred stock was determined based on significant inputs not observable in the market, which represents a Level 3 measurement within the fair value hierarchy.</w:t>
      </w:r>
    </w:p>
    <w:p>
      <w:pPr>
        <w:spacing w:after="0" w:line="18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32406B"/>
        </w:rPr>
        <w:t>In order to determine the fair value of the warrant to purchase preferred stock, the Company utilizes available facts and circumstances to estimate the number of shares of Series A Preferred Stock for which the warrant will ultimately be exercisable. The Company then used the Black-Scholes option-pricing model, which incorporates assumptions and estimates, to value the warrant to purchase preferred stock. Estimates and assumptions impacting the fair value measurement include the fair value of the underlying shares of Series A Preferred Stock, the remaining contractual term of the warrant, risk-free interest rate, expected dividend yield and expected volatility of the price of the underlying preferred stock. The Company determined the fair value of the underlying preferred stock based on various valuation methodologies. The Company lacks company-specific</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F-16</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3. Fair Value of Financial Assets and Liabilities (continued)</w:t>
      </w:r>
    </w:p>
    <w:p>
      <w:pPr>
        <w:spacing w:after="0" w:line="135"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32406B"/>
        </w:rPr>
        <w:t>historical and implied volatility information of its stock. Therefore, it estimates its expected stock volatility based on the historical volatility of publicly traded guideline companies for a term equal to the remaining contractual term of the warrant. The risk-free interest rate is determined by reference to the U.S. Treasury yield curve for time periods approximately equal to the remaining contractual term of the warrant. The Company estimated no expected dividend yield based on the fact that the Company has never paid or declared dividends and does not intend to do so in the foreseeable future.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assumptions that the Company used to determine the fair value of the warrant to purchase preferred stock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32406B"/>
                <w:w w:val="92"/>
              </w:rPr>
              <w:t>June 23, 2017</w:t>
            </w:r>
          </w:p>
        </w:tc>
        <w:tc>
          <w:tcPr>
            <w:tcW w:w="20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32406B"/>
                <w:w w:val="91"/>
              </w:rPr>
              <w:t>December 31, 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320" w:type="dxa"/>
            <w:vAlign w:val="bottom"/>
            <w:gridSpan w:val="2"/>
          </w:tcPr>
          <w:p>
            <w:pPr>
              <w:jc w:val="center"/>
              <w:ind w:left="2114"/>
              <w:spacing w:after="0"/>
              <w:rPr>
                <w:sz w:val="20"/>
                <w:szCs w:val="20"/>
                <w:color w:val="auto"/>
              </w:rPr>
            </w:pPr>
            <w:r>
              <w:rPr>
                <w:rFonts w:ascii="Arial" w:cs="Arial" w:eastAsia="Arial" w:hAnsi="Arial"/>
                <w:sz w:val="14"/>
                <w:szCs w:val="14"/>
                <w:b w:val="1"/>
                <w:bCs w:val="1"/>
                <w:color w:val="32406B"/>
                <w:w w:val="89"/>
              </w:rPr>
              <w:t>(Date of issuance)</w:t>
            </w:r>
          </w:p>
        </w:tc>
        <w:tc>
          <w:tcPr>
            <w:tcW w:w="2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Remaining contractual term (years)</w:t>
            </w:r>
          </w:p>
        </w:tc>
        <w:tc>
          <w:tcPr>
            <w:tcW w:w="2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88"/>
              </w:rPr>
              <w:t>10.00</w:t>
            </w:r>
          </w:p>
        </w:tc>
        <w:tc>
          <w:tcPr>
            <w:tcW w:w="8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91"/>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32406B"/>
              </w:rPr>
              <w:t>Risk-free interest rate</w:t>
            </w:r>
          </w:p>
        </w:tc>
        <w:tc>
          <w:tcPr>
            <w:tcW w:w="3320" w:type="dxa"/>
            <w:vAlign w:val="bottom"/>
            <w:gridSpan w:val="2"/>
          </w:tcPr>
          <w:p>
            <w:pPr>
              <w:jc w:val="center"/>
              <w:ind w:left="2134"/>
              <w:spacing w:after="0"/>
              <w:rPr>
                <w:sz w:val="20"/>
                <w:szCs w:val="20"/>
                <w:color w:val="auto"/>
              </w:rPr>
            </w:pPr>
            <w:r>
              <w:rPr>
                <w:rFonts w:ascii="Arial" w:cs="Arial" w:eastAsia="Arial" w:hAnsi="Arial"/>
                <w:sz w:val="18"/>
                <w:szCs w:val="18"/>
                <w:color w:val="32406B"/>
                <w:w w:val="90"/>
              </w:rPr>
              <w:t>2.15%</w:t>
            </w:r>
          </w:p>
        </w:tc>
        <w:tc>
          <w:tcPr>
            <w:tcW w:w="2060" w:type="dxa"/>
            <w:vAlign w:val="bottom"/>
            <w:gridSpan w:val="2"/>
          </w:tcPr>
          <w:p>
            <w:pPr>
              <w:jc w:val="center"/>
              <w:ind w:left="794"/>
              <w:spacing w:after="0"/>
              <w:rPr>
                <w:sz w:val="20"/>
                <w:szCs w:val="20"/>
                <w:color w:val="auto"/>
              </w:rPr>
            </w:pPr>
            <w:r>
              <w:rPr>
                <w:rFonts w:ascii="Arial" w:cs="Arial" w:eastAsia="Arial" w:hAnsi="Arial"/>
                <w:sz w:val="18"/>
                <w:szCs w:val="18"/>
                <w:color w:val="32406B"/>
                <w:w w:val="90"/>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32406B"/>
              </w:rPr>
              <w:t>Expected volatility</w:t>
            </w:r>
          </w:p>
        </w:tc>
        <w:tc>
          <w:tcPr>
            <w:tcW w:w="3320" w:type="dxa"/>
            <w:vAlign w:val="bottom"/>
            <w:gridSpan w:val="2"/>
            <w:shd w:val="clear" w:color="auto" w:fill="CCEEFF"/>
          </w:tcPr>
          <w:p>
            <w:pPr>
              <w:jc w:val="center"/>
              <w:ind w:left="2114"/>
              <w:spacing w:after="0"/>
              <w:rPr>
                <w:sz w:val="20"/>
                <w:szCs w:val="20"/>
                <w:color w:val="auto"/>
              </w:rPr>
            </w:pPr>
            <w:r>
              <w:rPr>
                <w:rFonts w:ascii="Arial" w:cs="Arial" w:eastAsia="Arial" w:hAnsi="Arial"/>
                <w:sz w:val="18"/>
                <w:szCs w:val="18"/>
                <w:color w:val="32406B"/>
                <w:w w:val="91"/>
              </w:rPr>
              <w:t>80.00%</w:t>
            </w:r>
          </w:p>
        </w:tc>
        <w:tc>
          <w:tcPr>
            <w:tcW w:w="2060" w:type="dxa"/>
            <w:vAlign w:val="bottom"/>
            <w:gridSpan w:val="2"/>
            <w:shd w:val="clear" w:color="auto" w:fill="CCEEFF"/>
          </w:tcPr>
          <w:p>
            <w:pPr>
              <w:jc w:val="center"/>
              <w:ind w:left="774"/>
              <w:spacing w:after="0"/>
              <w:rPr>
                <w:sz w:val="20"/>
                <w:szCs w:val="20"/>
                <w:color w:val="auto"/>
              </w:rPr>
            </w:pPr>
            <w:r>
              <w:rPr>
                <w:rFonts w:ascii="Arial" w:cs="Arial" w:eastAsia="Arial" w:hAnsi="Arial"/>
                <w:sz w:val="18"/>
                <w:szCs w:val="18"/>
                <w:color w:val="32406B"/>
                <w:w w:val="91"/>
              </w:rPr>
              <w:t>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32406B"/>
              </w:rPr>
              <w:t>Expected dividend yield</w:t>
            </w:r>
          </w:p>
        </w:tc>
        <w:tc>
          <w:tcPr>
            <w:tcW w:w="2220" w:type="dxa"/>
            <w:vAlign w:val="bottom"/>
          </w:tcPr>
          <w:p>
            <w:pPr>
              <w:spacing w:after="0"/>
              <w:rPr>
                <w:sz w:val="18"/>
                <w:szCs w:val="18"/>
                <w:color w:val="auto"/>
              </w:rPr>
            </w:pPr>
          </w:p>
        </w:tc>
        <w:tc>
          <w:tcPr>
            <w:tcW w:w="1100" w:type="dxa"/>
            <w:vAlign w:val="bottom"/>
          </w:tcPr>
          <w:p>
            <w:pPr>
              <w:ind w:left="440"/>
              <w:spacing w:after="0"/>
              <w:rPr>
                <w:sz w:val="20"/>
                <w:szCs w:val="20"/>
                <w:color w:val="auto"/>
              </w:rPr>
            </w:pPr>
            <w:r>
              <w:rPr>
                <w:rFonts w:ascii="Arial" w:cs="Arial" w:eastAsia="Arial" w:hAnsi="Arial"/>
                <w:sz w:val="18"/>
                <w:szCs w:val="18"/>
                <w:color w:val="32406B"/>
              </w:rPr>
              <w:t>—%</w:t>
            </w:r>
          </w:p>
        </w:tc>
        <w:tc>
          <w:tcPr>
            <w:tcW w:w="880" w:type="dxa"/>
            <w:vAlign w:val="bottom"/>
          </w:tcPr>
          <w:p>
            <w:pPr>
              <w:spacing w:after="0"/>
              <w:rPr>
                <w:sz w:val="18"/>
                <w:szCs w:val="18"/>
                <w:color w:val="auto"/>
              </w:rPr>
            </w:pPr>
          </w:p>
        </w:tc>
        <w:tc>
          <w:tcPr>
            <w:tcW w:w="1180" w:type="dxa"/>
            <w:vAlign w:val="bottom"/>
          </w:tcPr>
          <w:p>
            <w:pPr>
              <w:ind w:left="48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32406B"/>
              </w:rPr>
              <w:t>Fair value of Series A Preferred Stock per share</w:t>
            </w:r>
          </w:p>
        </w:tc>
        <w:tc>
          <w:tcPr>
            <w:tcW w:w="3320" w:type="dxa"/>
            <w:vAlign w:val="bottom"/>
            <w:gridSpan w:val="2"/>
            <w:shd w:val="clear" w:color="auto" w:fill="CCEEFF"/>
          </w:tcPr>
          <w:p>
            <w:pPr>
              <w:jc w:val="center"/>
              <w:ind w:left="2114"/>
              <w:spacing w:after="0"/>
              <w:rPr>
                <w:sz w:val="20"/>
                <w:szCs w:val="20"/>
                <w:color w:val="auto"/>
              </w:rPr>
            </w:pPr>
            <w:r>
              <w:rPr>
                <w:rFonts w:ascii="Arial" w:cs="Arial" w:eastAsia="Arial" w:hAnsi="Arial"/>
                <w:sz w:val="18"/>
                <w:szCs w:val="18"/>
                <w:color w:val="32406B"/>
                <w:w w:val="88"/>
              </w:rPr>
              <w:t>$0.79</w:t>
            </w:r>
          </w:p>
        </w:tc>
        <w:tc>
          <w:tcPr>
            <w:tcW w:w="2060" w:type="dxa"/>
            <w:vAlign w:val="bottom"/>
            <w:gridSpan w:val="2"/>
            <w:shd w:val="clear" w:color="auto" w:fill="CCEEFF"/>
          </w:tcPr>
          <w:p>
            <w:pPr>
              <w:jc w:val="center"/>
              <w:ind w:left="774"/>
              <w:spacing w:after="0"/>
              <w:rPr>
                <w:sz w:val="20"/>
                <w:szCs w:val="20"/>
                <w:color w:val="auto"/>
              </w:rPr>
            </w:pPr>
            <w:r>
              <w:rPr>
                <w:rFonts w:ascii="Arial" w:cs="Arial" w:eastAsia="Arial" w:hAnsi="Arial"/>
                <w:sz w:val="18"/>
                <w:szCs w:val="18"/>
                <w:color w:val="32406B"/>
                <w:w w:val="88"/>
              </w:rPr>
              <w:t>$1.42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340" w:firstLine="441"/>
        <w:spacing w:after="0" w:line="277" w:lineRule="auto"/>
        <w:rPr>
          <w:sz w:val="20"/>
          <w:szCs w:val="20"/>
          <w:color w:val="auto"/>
        </w:rPr>
      </w:pPr>
      <w:r>
        <w:rPr>
          <w:rFonts w:ascii="Arial" w:cs="Arial" w:eastAsia="Arial" w:hAnsi="Arial"/>
          <w:sz w:val="18"/>
          <w:szCs w:val="18"/>
          <w:color w:val="32406B"/>
        </w:rPr>
        <w:t>The following table sets forth a summary of changes in the fair value of the Company’s preferred stock warrant liability for which fair value is determined by Level 3 inputs: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32406B"/>
                <w:w w:val="94"/>
              </w:rPr>
              <w:t>Warrant</w:t>
            </w:r>
          </w:p>
        </w:tc>
      </w:tr>
      <w:tr>
        <w:trPr>
          <w:trHeight w:val="17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32406B"/>
                <w:w w:val="94"/>
              </w:rPr>
              <w:t>Liability</w:t>
            </w:r>
          </w:p>
        </w:tc>
      </w:tr>
      <w:tr>
        <w:trPr>
          <w:trHeight w:val="210"/>
        </w:trPr>
        <w:tc>
          <w:tcPr>
            <w:tcW w:w="20" w:type="dxa"/>
            <w:vAlign w:val="bottom"/>
          </w:tcPr>
          <w:p>
            <w:pPr>
              <w:spacing w:after="0"/>
              <w:rPr>
                <w:sz w:val="18"/>
                <w:szCs w:val="18"/>
                <w:color w:val="auto"/>
              </w:rPr>
            </w:pPr>
          </w:p>
        </w:tc>
        <w:tc>
          <w:tcPr>
            <w:tcW w:w="10420" w:type="dxa"/>
            <w:vAlign w:val="bottom"/>
            <w:tcBorders>
              <w:top w:val="single" w:sz="8" w:color="CCEEFF"/>
            </w:tcBorders>
            <w:shd w:val="clear" w:color="auto" w:fill="CCEEFF"/>
          </w:tcPr>
          <w:p>
            <w:pPr>
              <w:jc w:val="right"/>
              <w:ind w:right="7910"/>
              <w:spacing w:after="0"/>
              <w:rPr>
                <w:sz w:val="20"/>
                <w:szCs w:val="20"/>
                <w:color w:val="auto"/>
              </w:rPr>
            </w:pPr>
            <w:r>
              <w:rPr>
                <w:rFonts w:ascii="Arial" w:cs="Arial" w:eastAsia="Arial" w:hAnsi="Arial"/>
                <w:sz w:val="18"/>
                <w:szCs w:val="18"/>
                <w:color w:val="32406B"/>
                <w:w w:val="88"/>
              </w:rPr>
              <w:t>Balance as of December 31, 2016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32406B"/>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32406B"/>
              </w:rPr>
              <w:t>Initial fair value of warrant to purchase redeemable convertible preferred stock</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32406B"/>
              </w:rPr>
              <w:t>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Change in fair value</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17</w:t>
            </w:r>
          </w:p>
        </w:tc>
        <w:tc>
          <w:tcPr>
            <w:tcW w:w="60" w:type="dxa"/>
            <w:vAlign w:val="bottom"/>
            <w:shd w:val="clear" w:color="auto" w:fill="CCEEFF"/>
          </w:tcPr>
          <w:p>
            <w:pPr>
              <w:spacing w:after="0"/>
              <w:rPr>
                <w:sz w:val="18"/>
                <w:szCs w:val="18"/>
                <w:color w:val="auto"/>
              </w:rPr>
            </w:pPr>
          </w:p>
        </w:tc>
      </w:tr>
      <w:tr>
        <w:trPr>
          <w:trHeight w:val="223"/>
        </w:trPr>
        <w:tc>
          <w:tcPr>
            <w:tcW w:w="10440" w:type="dxa"/>
            <w:vAlign w:val="bottom"/>
            <w:gridSpan w:val="2"/>
          </w:tcPr>
          <w:p>
            <w:pPr>
              <w:jc w:val="right"/>
              <w:ind w:right="7910"/>
              <w:spacing w:after="0"/>
              <w:rPr>
                <w:sz w:val="20"/>
                <w:szCs w:val="20"/>
                <w:color w:val="auto"/>
              </w:rPr>
            </w:pPr>
            <w:r>
              <w:rPr>
                <w:rFonts w:ascii="Arial" w:cs="Arial" w:eastAsia="Arial" w:hAnsi="Arial"/>
                <w:sz w:val="18"/>
                <w:szCs w:val="18"/>
                <w:color w:val="32406B"/>
                <w:w w:val="88"/>
              </w:rPr>
              <w:t>Balance as of December 31, 2017</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32406B"/>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Valuation of Derivative</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32406B"/>
        </w:rPr>
        <w:t>In January 2016, in connection with a license agreement entered into with University Health Network (“UHN”), and as part of the initial consideration for the license, the Company issued 1,161,665 shares of common stock to UHN pursuant to a stock purchase agreement (the “Stock Purchase Agreement”). See Note 11 for further discussion on the license agreement. The shares were fully vested on the date of issuance and did not contain any restrictions. The Stock Purchase Agreement contains a provision requiring the Company to make a cash payment to UHN of up to $2,000 if UHN’s fully diluted ownership is reduced within specified percentages as part of an IPO by the Company. The Company concluded the anti-dilution feature represented a derivative instrument and should be measured at fair value, with changes in fair value recognized as a gain or loss to other income (expense), net in the consolidated statements of operations and comprehensive loss. The initial fair value of the derivative of $49 was recorded as research and development expense in January 2016.</w:t>
      </w:r>
    </w:p>
    <w:p>
      <w:pPr>
        <w:spacing w:after="0" w:line="17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32406B"/>
        </w:rPr>
        <w:t>On December 31, 2016 and 2017, the Company remeasured the fair value of the derivative, using current assumptions, resulting in an increase in fair value of $39 and $283, respectively, which was recorded in other expense in the accompanying consolidated statements of operations and comprehensive loss for the years ended December 31, 2016 and 2017. The Company will continue to re-measure the fair value of the liability at the end of each reporting period until the completion of an IPO.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F-17</w:t>
      </w:r>
    </w:p>
    <w:p>
      <w:pPr>
        <w:sectPr>
          <w:pgSz w:w="11900" w:h="16838" w:orient="portrait"/>
          <w:cols w:equalWidth="0" w:num="1">
            <w:col w:w="11240"/>
          </w:cols>
          <w:pgMar w:left="240" w:top="460" w:right="4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3. Fair Value of Financial Assets and Liabilities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The following table sets forth a summary of changes in the fair value of the Company’s derivative liability for which fair value is determined by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Level 3 inputs: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5"/>
          </w:tcPr>
          <w:p>
            <w:pPr>
              <w:ind w:left="120"/>
              <w:spacing w:after="0"/>
              <w:rPr>
                <w:sz w:val="20"/>
                <w:szCs w:val="20"/>
                <w:color w:val="auto"/>
              </w:rPr>
            </w:pPr>
            <w:r>
              <w:rPr>
                <w:rFonts w:ascii="Arial" w:cs="Arial" w:eastAsia="Arial" w:hAnsi="Arial"/>
                <w:sz w:val="14"/>
                <w:szCs w:val="14"/>
                <w:b w:val="1"/>
                <w:bCs w:val="1"/>
                <w:color w:val="32406B"/>
              </w:rPr>
              <w:t>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4"/>
          </w:tcPr>
          <w:p>
            <w:pPr>
              <w:ind w:left="60"/>
              <w:spacing w:after="0"/>
              <w:rPr>
                <w:sz w:val="20"/>
                <w:szCs w:val="20"/>
                <w:color w:val="auto"/>
              </w:rPr>
            </w:pPr>
            <w:r>
              <w:rPr>
                <w:rFonts w:ascii="Arial" w:cs="Arial" w:eastAsia="Arial" w:hAnsi="Arial"/>
                <w:sz w:val="14"/>
                <w:szCs w:val="14"/>
                <w:b w:val="1"/>
                <w:bCs w:val="1"/>
                <w:color w:val="32406B"/>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Balance as of December 31, 2015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32406B"/>
              </w:rPr>
              <w:t>$</w:t>
            </w: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32406B"/>
              </w:rPr>
              <w:t>Initial fair value of derivative liability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32406B"/>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Change in fair value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32406B"/>
              </w:rPr>
              <w:t>Balance as of December 31, 2016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32406B"/>
              </w:rPr>
              <w:t>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Change in fair value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32406B"/>
              </w:rPr>
              <w:t>Balance as of December 31, 2017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rPr>
              <w:t>$</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4. Prepaid Expenses and Other Current Assets</w:t>
            </w: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32406B"/>
              </w:rPr>
              <w:t>Prepaid expenses and other current assets consisted of the following:</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6"/>
          </w:tcPr>
          <w:p>
            <w:pPr>
              <w:ind w:left="100"/>
              <w:spacing w:after="0"/>
              <w:rPr>
                <w:sz w:val="20"/>
                <w:szCs w:val="20"/>
                <w:color w:val="auto"/>
              </w:rPr>
            </w:pPr>
            <w:r>
              <w:rPr>
                <w:rFonts w:ascii="Arial" w:cs="Arial" w:eastAsia="Arial" w:hAnsi="Arial"/>
                <w:sz w:val="14"/>
                <w:szCs w:val="14"/>
                <w:b w:val="1"/>
                <w:bCs w:val="1"/>
                <w:color w:val="32406B"/>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83"/>
              </w:rPr>
              <w:t>2016</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Prepaid research and development costs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8"/>
              </w:rPr>
              <w:t>$ —</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4"/>
              </w:rPr>
              <w:t>$ 163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32406B"/>
              </w:rPr>
              <w:t>Prepaid rent</w:t>
            </w:r>
          </w:p>
        </w:tc>
        <w:tc>
          <w:tcPr>
            <w:tcW w:w="300" w:type="dxa"/>
            <w:vAlign w:val="bottom"/>
            <w:gridSpan w:val="2"/>
          </w:tcPr>
          <w:p>
            <w:pPr>
              <w:jc w:val="right"/>
              <w:spacing w:after="0"/>
              <w:rPr>
                <w:sz w:val="20"/>
                <w:szCs w:val="20"/>
                <w:color w:val="auto"/>
              </w:rPr>
            </w:pPr>
            <w:r>
              <w:rPr>
                <w:rFonts w:ascii="Arial" w:cs="Arial" w:eastAsia="Arial" w:hAnsi="Arial"/>
                <w:sz w:val="18"/>
                <w:szCs w:val="18"/>
                <w:color w:val="32406B"/>
              </w:rPr>
              <w:t>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32406B"/>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32406B"/>
              </w:rPr>
              <w:t>Other current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4"/>
              </w:rPr>
              <w:t>$ 19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4"/>
              </w:rPr>
              <w:t>$ 345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60" w:right="419" w:bottom="1440" w:gutter="0" w:footer="0" w:header="0"/>
        </w:sectPr>
      </w:pP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5. Property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Property and equipment, net consisted of the following:</w:t>
      </w: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Laboratory and office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Leasehold improvements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Computer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32406B"/>
        </w:rPr>
        <w:t>December 31,</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2017</w:t>
      </w:r>
    </w:p>
    <w:p>
      <w:pPr>
        <w:spacing w:after="0" w:line="9" w:lineRule="exact"/>
        <w:rPr>
          <w:sz w:val="20"/>
          <w:szCs w:val="20"/>
          <w:color w:val="auto"/>
        </w:rPr>
      </w:pPr>
    </w:p>
    <w:p>
      <w:pPr>
        <w:ind w:left="561" w:hanging="561"/>
        <w:spacing w:after="0"/>
        <w:tabs>
          <w:tab w:leader="none" w:pos="561" w:val="left"/>
        </w:tabs>
        <w:numPr>
          <w:ilvl w:val="0"/>
          <w:numId w:val="108"/>
        </w:numPr>
        <w:rPr>
          <w:rFonts w:ascii="Arial" w:cs="Arial" w:eastAsia="Arial" w:hAnsi="Arial"/>
          <w:sz w:val="18"/>
          <w:szCs w:val="18"/>
          <w:color w:val="32406B"/>
        </w:rPr>
      </w:pPr>
      <w:r>
        <w:rPr>
          <w:rFonts w:ascii="Arial" w:cs="Arial" w:eastAsia="Arial" w:hAnsi="Arial"/>
          <w:sz w:val="18"/>
          <w:szCs w:val="18"/>
          <w:color w:val="32406B"/>
        </w:rPr>
        <w:t>126</w:t>
      </w:r>
    </w:p>
    <w:p>
      <w:pPr>
        <w:spacing w:after="0" w:line="7" w:lineRule="exact"/>
        <w:rPr>
          <w:rFonts w:ascii="Arial" w:cs="Arial" w:eastAsia="Arial" w:hAnsi="Arial"/>
          <w:sz w:val="18"/>
          <w:szCs w:val="18"/>
          <w:color w:val="32406B"/>
        </w:rPr>
      </w:pPr>
    </w:p>
    <w:p>
      <w:pPr>
        <w:ind w:left="561"/>
        <w:spacing w:after="0"/>
        <w:rPr>
          <w:rFonts w:ascii="Arial" w:cs="Arial" w:eastAsia="Arial" w:hAnsi="Arial"/>
          <w:sz w:val="18"/>
          <w:szCs w:val="18"/>
          <w:color w:val="32406B"/>
        </w:rPr>
      </w:pPr>
      <w:r>
        <w:rPr>
          <w:rFonts w:ascii="Arial" w:cs="Arial" w:eastAsia="Arial" w:hAnsi="Arial"/>
          <w:sz w:val="18"/>
          <w:szCs w:val="18"/>
          <w:color w:val="32406B"/>
        </w:rPr>
        <w:t>240</w:t>
      </w:r>
    </w:p>
    <w:p>
      <w:pPr>
        <w:spacing w:after="0" w:line="9" w:lineRule="exact"/>
        <w:rPr>
          <w:rFonts w:ascii="Arial" w:cs="Arial" w:eastAsia="Arial" w:hAnsi="Arial"/>
          <w:sz w:val="18"/>
          <w:szCs w:val="18"/>
          <w:color w:val="32406B"/>
        </w:rPr>
      </w:pPr>
    </w:p>
    <w:p>
      <w:pPr>
        <w:ind w:left="661"/>
        <w:spacing w:after="0"/>
        <w:rPr>
          <w:rFonts w:ascii="Arial" w:cs="Arial" w:eastAsia="Arial" w:hAnsi="Arial"/>
          <w:sz w:val="18"/>
          <w:szCs w:val="18"/>
          <w:color w:val="32406B"/>
        </w:rPr>
      </w:pPr>
      <w:r>
        <w:rPr>
          <w:rFonts w:ascii="Arial" w:cs="Arial" w:eastAsia="Arial" w:hAnsi="Arial"/>
          <w:sz w:val="18"/>
          <w:szCs w:val="18"/>
          <w:color w:val="32406B"/>
        </w:rPr>
        <w:t>28</w:t>
      </w:r>
    </w:p>
    <w:p>
      <w:pPr>
        <w:spacing w:after="0" w:line="21" w:lineRule="exact"/>
        <w:rPr>
          <w:rFonts w:ascii="Arial" w:cs="Arial" w:eastAsia="Arial" w:hAnsi="Arial"/>
          <w:sz w:val="18"/>
          <w:szCs w:val="18"/>
          <w:color w:val="32406B"/>
        </w:rPr>
      </w:pPr>
    </w:p>
    <w:p>
      <w:pPr>
        <w:ind w:left="561"/>
        <w:spacing w:after="0"/>
        <w:rPr>
          <w:rFonts w:ascii="Arial" w:cs="Arial" w:eastAsia="Arial" w:hAnsi="Arial"/>
          <w:sz w:val="18"/>
          <w:szCs w:val="18"/>
          <w:color w:val="32406B"/>
        </w:rPr>
      </w:pPr>
      <w:r>
        <w:rPr>
          <w:rFonts w:ascii="Arial" w:cs="Arial" w:eastAsia="Arial" w:hAnsi="Arial"/>
          <w:sz w:val="18"/>
          <w:szCs w:val="18"/>
          <w:color w:val="32406B"/>
        </w:rPr>
        <w:t>394</w:t>
      </w:r>
    </w:p>
    <w:p>
      <w:pPr>
        <w:spacing w:after="0" w:line="23" w:lineRule="exact"/>
        <w:rPr>
          <w:rFonts w:ascii="Arial" w:cs="Arial" w:eastAsia="Arial" w:hAnsi="Arial"/>
          <w:sz w:val="18"/>
          <w:szCs w:val="18"/>
          <w:color w:val="32406B"/>
        </w:rPr>
      </w:pPr>
    </w:p>
    <w:p>
      <w:pPr>
        <w:ind w:left="601"/>
        <w:spacing w:after="0"/>
        <w:rPr>
          <w:rFonts w:ascii="Arial" w:cs="Arial" w:eastAsia="Arial" w:hAnsi="Arial"/>
          <w:sz w:val="18"/>
          <w:szCs w:val="18"/>
          <w:color w:val="32406B"/>
        </w:rPr>
      </w:pPr>
      <w:r>
        <w:rPr>
          <w:rFonts w:ascii="Arial" w:cs="Arial" w:eastAsia="Arial" w:hAnsi="Arial"/>
          <w:sz w:val="16"/>
          <w:szCs w:val="16"/>
          <w:color w:val="32406B"/>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5314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20320</wp:posOffset>
            </wp:positionV>
            <wp:extent cx="53149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5" w:lineRule="exact"/>
        <w:rPr>
          <w:sz w:val="20"/>
          <w:szCs w:val="20"/>
          <w:color w:val="auto"/>
        </w:rPr>
      </w:pPr>
    </w:p>
    <w:p>
      <w:pPr>
        <w:ind w:left="561" w:hanging="561"/>
        <w:spacing w:after="0"/>
        <w:tabs>
          <w:tab w:leader="none" w:pos="561" w:val="left"/>
        </w:tabs>
        <w:numPr>
          <w:ilvl w:val="0"/>
          <w:numId w:val="109"/>
        </w:numPr>
        <w:rPr>
          <w:rFonts w:ascii="Arial" w:cs="Arial" w:eastAsia="Arial" w:hAnsi="Arial"/>
          <w:sz w:val="18"/>
          <w:szCs w:val="18"/>
          <w:color w:val="32406B"/>
        </w:rPr>
      </w:pPr>
      <w:r>
        <w:rPr>
          <w:rFonts w:ascii="Arial" w:cs="Arial" w:eastAsia="Arial" w:hAnsi="Arial"/>
          <w:sz w:val="18"/>
          <w:szCs w:val="18"/>
          <w:color w:val="32406B"/>
        </w:rPr>
        <w:t>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314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53149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59" w:space="720"/>
            <w:col w:w="961"/>
          </w:cols>
          <w:pgMar w:left="240" w:top="460" w:right="419" w:bottom="1440" w:gutter="0" w:footer="0" w:header="0"/>
          <w:type w:val="continuous"/>
        </w:sectPr>
      </w:pPr>
    </w:p>
    <w:p>
      <w:pPr>
        <w:spacing w:after="0" w:line="79"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32406B"/>
        </w:rPr>
        <w:t>As of December 31, 2016, the Company did not hold any property and equipment. Depreciation and amortization expense for the year ended December 31, 2017 was $45.</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F-18</w:t>
      </w:r>
    </w:p>
    <w:p>
      <w:pPr>
        <w:sectPr>
          <w:pgSz w:w="11900" w:h="16838" w:orient="portrait"/>
          <w:cols w:equalWidth="0" w:num="1">
            <w:col w:w="11240"/>
          </w:cols>
          <w:pgMar w:left="240" w:top="460" w:right="419" w:bottom="1440" w:gutter="0" w:footer="0" w:header="0"/>
          <w:type w:val="continuous"/>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6.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Accrued expenses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200"/>
              <w:spacing w:after="0"/>
              <w:rPr>
                <w:sz w:val="20"/>
                <w:szCs w:val="20"/>
                <w:color w:val="auto"/>
              </w:rPr>
            </w:pPr>
            <w:r>
              <w:rPr>
                <w:rFonts w:ascii="Arial" w:cs="Arial" w:eastAsia="Arial" w:hAnsi="Arial"/>
                <w:sz w:val="14"/>
                <w:szCs w:val="14"/>
                <w:b w:val="1"/>
                <w:bCs w:val="1"/>
                <w:color w:val="32406B"/>
              </w:rPr>
              <w:t>December 31,</w:t>
            </w:r>
          </w:p>
        </w:tc>
      </w:tr>
      <w:tr>
        <w:trPr>
          <w:trHeight w:val="142"/>
        </w:trPr>
        <w:tc>
          <w:tcPr>
            <w:tcW w:w="20" w:type="dxa"/>
            <w:vAlign w:val="bottom"/>
          </w:tcPr>
          <w:p>
            <w:pPr>
              <w:spacing w:after="0"/>
              <w:rPr>
                <w:sz w:val="12"/>
                <w:szCs w:val="12"/>
                <w:color w:val="auto"/>
              </w:rPr>
            </w:pPr>
          </w:p>
        </w:tc>
        <w:tc>
          <w:tcPr>
            <w:tcW w:w="9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96"/>
              </w:rPr>
              <w:t>2016</w:t>
            </w: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32406B"/>
                <w:w w:val="89"/>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32406B"/>
              </w:rPr>
              <w:t>Compensation and benefit costs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4"/>
              </w:rPr>
              <w:t>$374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794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32406B"/>
              </w:rPr>
              <w:t>Research and development costs</w:t>
            </w: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32406B"/>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32406B"/>
              </w:rPr>
              <w:t>831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32406B"/>
              </w:rPr>
              <w:t>Consulting and professional fees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32406B"/>
              </w:rPr>
              <w:t>Preferred stock issuance cost</w:t>
            </w: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32406B"/>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32406B"/>
              </w:rPr>
              <w:t>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32406B"/>
              </w:rPr>
              <w:t>Other liabilities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4"/>
              </w:rPr>
              <w:t>$551</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8"/>
              </w:rPr>
              <w:t>2,098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7. Loan Agreement and Warrant to Purchase Preferred Stock</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32406B"/>
        </w:rPr>
        <w:t>On June 23, 2017, the Company entered into the Loan Agreement with a lender, which provided for the issuance of term loans of up to $10,000, subject to the achievement of various development and corporate milestones. Any outstanding principal amounts under the Loan Agreement will accrue interest at a floating per annum rate equal to the greater of 1% and the “prime rate,” as defined in the Loan Agreement, minus 3%. 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 As of December 31, 2017, the Company had not drawn down from the facility and $3,500 was available to the Company.</w:t>
      </w:r>
    </w:p>
    <w:p>
      <w:pPr>
        <w:spacing w:after="0" w:line="17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32406B"/>
        </w:rPr>
        <w:t>The Loan Agreement contains customary indemnification obligations and customary events of default. In the event of default by the Company under the Loan Agreement, the lender would be entitled to exercise their remedies thereunder, including the right to accelerate the debt, upon which the Company may be required to repay all amounts then outstanding under the Loan Agreement or the lender may take possession of the collateral securing the Loan Agreement. No events of default had occurred through December 31, 2017.</w:t>
      </w:r>
    </w:p>
    <w:p>
      <w:pPr>
        <w:spacing w:after="0" w:line="18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32406B"/>
        </w:rPr>
        <w:t>The Loan Agreement also includes certain restrictions on, among other things, the Company’s ability to incur additional indebtedness, change the name or location of its business, merge with or acquire other entities, pay dividends or make other distributions to holders of the Company’s capital stock, make certain investments, engage in transactions with affiliates, create liens, open new deposit accounts, sell assets or pay subordinated debt.</w:t>
      </w:r>
    </w:p>
    <w:p>
      <w:pPr>
        <w:spacing w:after="0" w:line="14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32406B"/>
        </w:rPr>
        <w:t>In connection with the Loan Agreement, the Company agreed to issue a warrant to the lender for the purchase of up to 188,702 shares of the Company’s Series A Preferred Stock with an exercise price of $0.7949 per share. The warrant expires on June 22, 2027. The warrant is initially exercisable for the purchase of up to 28,305 shares of Series A Preferred Stock and can become exercisable for up to an additional 160,397 shares of Series A Preferred Stock based on the amounts drawn under the Loan Agreement. On the issuance date of the warrant, the Company recorded a deferred financing cost and a liability for the warrant to purchase preferred stock in the Company’s consolidated balance sheet equal to the issuance-date fair value of the warrant. As of December 31, 2017, the warrant is exercisable for up to 28,305 shares of Series A Preferred Stock.</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F-19</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7. Loan Agreement and Warrant to Purchase Preferred Stock (continued)</w:t>
      </w:r>
    </w:p>
    <w:p>
      <w:pPr>
        <w:spacing w:after="0" w:line="13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On the date of issuance, the fair value of the warrant was determined to be $18. The Company remeasured the liability associated with the warrant as of December 31, 2017 and determined that the fair value of the preferred stock warrant liability was $35. The Company recognized a loss of $17 in the consolidated statements of operations and comprehensive loss for the year ended December 31, 2017, related to the change in fair value of the warrant.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8. Redeemable Convertible Preferred Stock</w:t>
      </w:r>
    </w:p>
    <w:p>
      <w:pPr>
        <w:spacing w:after="0" w:line="121" w:lineRule="exact"/>
        <w:rPr>
          <w:sz w:val="20"/>
          <w:szCs w:val="20"/>
          <w:color w:val="auto"/>
        </w:rPr>
      </w:pPr>
    </w:p>
    <w:p>
      <w:pPr>
        <w:ind w:left="200" w:right="180" w:firstLine="441"/>
        <w:spacing w:after="0" w:line="288" w:lineRule="auto"/>
        <w:rPr>
          <w:sz w:val="20"/>
          <w:szCs w:val="20"/>
          <w:color w:val="auto"/>
        </w:rPr>
      </w:pPr>
      <w:r>
        <w:rPr>
          <w:rFonts w:ascii="Arial" w:cs="Arial" w:eastAsia="Arial" w:hAnsi="Arial"/>
          <w:sz w:val="16"/>
          <w:szCs w:val="16"/>
          <w:color w:val="32406B"/>
        </w:rPr>
        <w:t>As of December 31, 2016, the authorized capital stock of the Company included 22,380,952 shares of $0.0001 par value preferred stock, of which 3,333,333 shares have been designated as Series Seed Preferred Stock and 19,047,619 shares have been designated as Series A Preferred Stock. As of December 31, 2017, the authorized capital stock of the Company included 34,972,535 shares of $0.0001 par value preferred stock, of</w:t>
      </w:r>
    </w:p>
    <w:p>
      <w:pPr>
        <w:ind w:left="200"/>
        <w:spacing w:after="0"/>
        <w:rPr>
          <w:sz w:val="20"/>
          <w:szCs w:val="20"/>
          <w:color w:val="auto"/>
        </w:rPr>
      </w:pPr>
      <w:r>
        <w:rPr>
          <w:rFonts w:ascii="Arial" w:cs="Arial" w:eastAsia="Arial" w:hAnsi="Arial"/>
          <w:sz w:val="16"/>
          <w:szCs w:val="16"/>
          <w:color w:val="32406B"/>
        </w:rPr>
        <w:t>which 3,333,333 shares have been designated as Series Seed Preferred Stock and 31,639,202 shares have been designated as Series A Preferred Stock.</w:t>
      </w:r>
    </w:p>
    <w:p>
      <w:pPr>
        <w:spacing w:after="0" w:line="23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32406B"/>
        </w:rPr>
        <w:t>In January 2016, the Company issued and sold 3,333,333 shares of Series Seed Preferred Stock at a price of $0.45 per share, for total proceeds of $1,398, net of issuance costs of $102.</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In July 2016, the Company issued and sold 5,714,286 shares of Series A Preferred Stock, at a price of $1.3125 per share, for total proceeds of $7,297, net of issuance costs of $203. The terms of the Series A Preferred Stock Purchase Agreement included the obligation of the investors to purchase, and the Company to sell, up to 13,333,333 additional shares of Series A Preferred Stock at $1.3125 per share contingent upon the achievement of certain specified milestones or at the election of a required vote by the investors and the Board. The Company concluded that the right to participate in the future issuance of Series A Preferred Stock did not meet the definition of a freestanding financial instrument, as the rights were not legally detachable from the Series A Preferred Stock.</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In March 2017, the Company amended certain provisions of the Series A Preferred Stock. The changes included issuing additional instruments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through the preferred stock dividend in the amount of 3,720,864 shares of Series A Preferred Stock, which effectively repriced the outstanding shares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Series A Preferred Stock, changing the purchase price for future shares, and decreasing the redemption price per share such that total redemption value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was not affected. Concurrent with the amendment, the Company issued 4,403,070 additional shares of Series A Preferred Stock at a purchase price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$0.7949 per share, for total proceeds of $3,452, net of issuance costs of $48. Additionally, the number of shares of Series A Preferred Stock which could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be issued in the future was changed to 17,612,279 shares. The Company assessed the changes to the terms and concluded that it represented a material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change to substantive terms of the instrument, and therefore represented, for accounting purposes, an extinguishment and re-issuance of the Series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Preferred Stock outstanding at the time. As the carrying value of the outstanding shares of Series A Preferred Stock prior to the extinguishment was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deemed to equal the aggregate fair value of the reissued shares and the shares issued as a dividend, no gain or loss was recognized on extinguishment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the Series A Preferred Stock.</w:t>
      </w:r>
    </w:p>
    <w:p>
      <w:pPr>
        <w:spacing w:after="0" w:line="21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32406B"/>
        </w:rPr>
        <w:t>In October 2017, the Company issued and sold an additional 17,612,279 shares of Series A Preferred Stock, at a price of $0.7949 per share, for total proceeds of $13,963, net of issuance costs of $37.</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F-20</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8. Redeemable Convertible Preferred Stock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As of each balance sheet date, the Preferred Stock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32406B"/>
                <w:w w:val="98"/>
              </w:rPr>
              <w:t>December 31, 2016</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32406B"/>
                <w:w w:val="93"/>
              </w:rPr>
              <w:t>Preferred</w:t>
            </w:r>
          </w:p>
        </w:tc>
        <w:tc>
          <w:tcPr>
            <w:tcW w:w="40" w:type="dxa"/>
            <w:vAlign w:val="bottom"/>
          </w:tcPr>
          <w:p>
            <w:pPr>
              <w:spacing w:after="0"/>
              <w:rPr>
                <w:sz w:val="10"/>
                <w:szCs w:val="10"/>
                <w:color w:val="auto"/>
              </w:rPr>
            </w:pPr>
          </w:p>
        </w:tc>
        <w:tc>
          <w:tcPr>
            <w:tcW w:w="9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32406B"/>
              </w:rPr>
              <w:t>Preferred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32406B"/>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32406B"/>
                <w:w w:val="89"/>
              </w:rPr>
              <w:t>Shares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32406B"/>
              </w:rPr>
              <w:t>Carrying</w:t>
            </w:r>
          </w:p>
        </w:tc>
        <w:tc>
          <w:tcPr>
            <w:tcW w:w="40" w:type="dxa"/>
            <w:vAlign w:val="bottom"/>
          </w:tcPr>
          <w:p>
            <w:pPr>
              <w:spacing w:after="0"/>
              <w:rPr>
                <w:sz w:val="12"/>
                <w:szCs w:val="12"/>
                <w:color w:val="auto"/>
              </w:rPr>
            </w:pPr>
          </w:p>
        </w:tc>
        <w:tc>
          <w:tcPr>
            <w:tcW w:w="122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32406B"/>
                <w:w w:val="95"/>
              </w:rPr>
              <w:t>Liquidation</w:t>
            </w: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32406B"/>
                <w:w w:val="89"/>
              </w:rPr>
              <w:t>Shares</w:t>
            </w:r>
          </w:p>
        </w:tc>
        <w:tc>
          <w:tcPr>
            <w:tcW w:w="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32406B"/>
                <w:w w:val="90"/>
              </w:rPr>
              <w:t>Issued and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32406B"/>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32406B"/>
                <w:w w:val="95"/>
              </w:rPr>
              <w:t>Authorized</w:t>
            </w: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32406B"/>
                <w:w w:val="92"/>
              </w:rPr>
              <w:t>Outstanding</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32406B"/>
                <w:w w:val="90"/>
              </w:rPr>
              <w:t>Value</w:t>
            </w:r>
          </w:p>
        </w:tc>
        <w:tc>
          <w:tcPr>
            <w:tcW w:w="40" w:type="dxa"/>
            <w:vAlign w:val="bottom"/>
          </w:tcPr>
          <w:p>
            <w:pPr>
              <w:spacing w:after="0"/>
              <w:rPr>
                <w:sz w:val="14"/>
                <w:szCs w:val="14"/>
                <w:color w:val="auto"/>
              </w:rPr>
            </w:pPr>
          </w:p>
        </w:tc>
        <w:tc>
          <w:tcPr>
            <w:tcW w:w="12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32406B"/>
                <w:w w:val="91"/>
              </w:rPr>
              <w:t>Preference</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Series Seed preferred stock</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3,333,333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w w:val="94"/>
              </w:rPr>
              <w:t>3,333,333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w w:val="88"/>
              </w:rPr>
              <w:t>$1,500,000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w w:val="88"/>
              </w:rPr>
              <w:t>$1,500,000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806,711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32406B"/>
              </w:rPr>
              <w:t>Series A preferred stock</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w w:val="93"/>
              </w:rPr>
              <w:t>19,047,619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w w:val="94"/>
              </w:rPr>
              <w:t>5,714,286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w w:val="99"/>
              </w:rPr>
              <w:t>7,500,000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w w:val="99"/>
              </w:rPr>
              <w:t>7,500,000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1,382,933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w w:val="93"/>
              </w:rPr>
              <w:t>22,380,952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w w:val="94"/>
              </w:rPr>
              <w:t>9,047,619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w w:val="88"/>
              </w:rPr>
              <w:t>$9,000,000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w w:val="88"/>
              </w:rPr>
              <w:t>$9,000,000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2,189,644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ind w:left="42"/>
              <w:spacing w:after="0"/>
              <w:rPr>
                <w:sz w:val="20"/>
                <w:szCs w:val="20"/>
                <w:color w:val="auto"/>
              </w:rPr>
            </w:pPr>
            <w:r>
              <w:rPr>
                <w:rFonts w:ascii="Arial" w:cs="Arial" w:eastAsia="Arial" w:hAnsi="Arial"/>
                <w:sz w:val="14"/>
                <w:szCs w:val="14"/>
                <w:b w:val="1"/>
                <w:bCs w:val="1"/>
                <w:color w:val="32406B"/>
                <w:w w:val="91"/>
              </w:rPr>
              <w:t>December 31, 2017</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32406B"/>
                <w:w w:val="96"/>
              </w:rPr>
              <w:t>Preferred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rPr>
              <w:t>Common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32406B"/>
                <w:w w:val="96"/>
              </w:rPr>
              <w:t>Preferred</w:t>
            </w:r>
          </w:p>
        </w:tc>
        <w:tc>
          <w:tcPr>
            <w:tcW w:w="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32406B"/>
                <w:w w:val="89"/>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32406B"/>
                <w:w w:val="85"/>
              </w:rPr>
              <w:t>Shares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32406B"/>
              </w:rPr>
              <w:t>Carrying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32406B"/>
                <w:w w:val="95"/>
              </w:rPr>
              <w:t>Liquidation</w:t>
            </w: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32406B"/>
                <w:w w:val="89"/>
              </w:rPr>
              <w:t>Issuable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32406B"/>
                <w:w w:val="85"/>
              </w:rPr>
              <w:t>Shares</w:t>
            </w:r>
          </w:p>
        </w:tc>
        <w:tc>
          <w:tcPr>
            <w:tcW w:w="4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32406B"/>
                <w:w w:val="90"/>
              </w:rPr>
              <w:t>Issued and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32406B"/>
                <w:w w:val="94"/>
              </w:rPr>
              <w:t>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32406B"/>
                <w:w w:val="95"/>
              </w:rPr>
              <w:t>Authorized</w:t>
            </w:r>
          </w:p>
        </w:tc>
        <w:tc>
          <w:tcPr>
            <w:tcW w:w="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32406B"/>
                <w:w w:val="92"/>
              </w:rPr>
              <w:t>Outstanding</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32406B"/>
                <w:w w:val="90"/>
              </w:rPr>
              <w:t>Value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1"/>
              </w:rPr>
              <w:t>Preference</w:t>
            </w:r>
          </w:p>
        </w:tc>
        <w:tc>
          <w:tcPr>
            <w:tcW w:w="12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Series Seed preferred stock</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3,333,333</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3,333,333</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32406B"/>
                <w:w w:val="91"/>
              </w:rPr>
              <w:t>$  1,500,000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w w:val="93"/>
              </w:rPr>
              <w:t>$  1,500,000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806,711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32406B"/>
              </w:rPr>
              <w:t>Series A preferred stock</w:t>
            </w:r>
          </w:p>
        </w:tc>
        <w:tc>
          <w:tcPr>
            <w:tcW w:w="12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32406B"/>
                <w:w w:val="95"/>
              </w:rPr>
              <w:t>31,639,202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w w:val="99"/>
              </w:rPr>
              <w:t>31,450,499</w:t>
            </w:r>
          </w:p>
        </w:tc>
        <w:tc>
          <w:tcPr>
            <w:tcW w:w="280" w:type="dxa"/>
            <w:vAlign w:val="bottom"/>
            <w:gridSpan w:val="2"/>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32406B"/>
              </w:rPr>
              <w:t>25,000,000</w:t>
            </w:r>
          </w:p>
        </w:tc>
        <w:tc>
          <w:tcPr>
            <w:tcW w:w="1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25,000,000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7,611,438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34,972,535</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34,783,832</w:t>
            </w: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32406B"/>
              </w:rPr>
              <w:t>$ 26,500,000</w:t>
            </w: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$ 26,500,000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8,418,149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As of December 31, 2017, the holders of the Preferred Stock have the following rights and preferences: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Voting Rights—</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32406B"/>
        </w:rPr>
        <w:t>The holders of the Preferred Stock are entitled to vote, together with the holders of common stock, on all matters submitted to the stockholders for a vote and are entitled to the number of votes equal to the number of whole shares of common stock into which such holders of Preferred Stock could convert on the record date for determination of stockholders entitled to vote. Except for the actions requiring the approval or consent of the majority of the holders of Preferred Stock, the holders of Preferred Stock shall vote together with the holders of common stock and vote as a single class.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Dividends—</w:t>
      </w:r>
    </w:p>
    <w:p>
      <w:pPr>
        <w:spacing w:after="0" w:line="117"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32406B"/>
        </w:rPr>
        <w:t>The holders of the Preferred Stock are entitled to receive noncumulative dividends when, as and if declared by the Board. The Company may not pay any dividends on shares of common stock of the Company unless the holders of Preferred Stock then outstanding simultaneously receive dividends at least equal to a fixed percentage of Preferred Stock. Through December 31, 2017, no cash dividends have been declared or paid.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Liquidation Rights—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32406B"/>
        </w:rPr>
        <w:t>In the event of any voluntary or involuntary liquidation event, dissolution, winding up of the Company or upon the occurrence of certain events designated by a majority of the holders of the Preferred Stock to be a deemed liquidation event, each holder of the then outstanding Series A Preferred Stock will be entitled to receive, prior and in preference to any distributions to the holders of Series Seed Preferred Stock and common stock, an amount equal to the greater of (i) $0.7949 per share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F-21</w:t>
      </w:r>
    </w:p>
    <w:p>
      <w:pPr>
        <w:sectPr>
          <w:pgSz w:w="11900" w:h="16838" w:orient="portrait"/>
          <w:cols w:equalWidth="0" w:num="1">
            <w:col w:w="11240"/>
          </w:cols>
          <w:pgMar w:left="240" w:top="459" w:right="4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8. Redeemable Convertible Preferred Stock (continued)</w:t>
      </w:r>
    </w:p>
    <w:p>
      <w:pPr>
        <w:spacing w:after="0" w:line="13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After the payment of all preferential amounts to the holders of Series A Preferred Stock, each holder of the then outstanding Series Seed Preferred Stock will be entitled to receive, prior and in preference to any distributions to the holders of common stock, an amount equal to the greater of (i) $0.45 per share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88" w:lineRule="exact"/>
        <w:rPr>
          <w:sz w:val="20"/>
          <w:szCs w:val="20"/>
          <w:color w:val="auto"/>
        </w:rPr>
      </w:pPr>
    </w:p>
    <w:p>
      <w:pPr>
        <w:ind w:left="200" w:right="740" w:firstLine="441"/>
        <w:spacing w:after="0" w:line="308" w:lineRule="auto"/>
        <w:rPr>
          <w:sz w:val="20"/>
          <w:szCs w:val="20"/>
          <w:color w:val="auto"/>
        </w:rPr>
      </w:pPr>
      <w:r>
        <w:rPr>
          <w:rFonts w:ascii="Arial" w:cs="Arial" w:eastAsia="Arial" w:hAnsi="Arial"/>
          <w:sz w:val="17"/>
          <w:szCs w:val="17"/>
          <w:color w:val="32406B"/>
        </w:rPr>
        <w:t>After payments have been made in full to the holders of the Preferred Stock, then, to the extent available, the remaining amounts will be distributed among the holders of the shares of common stock, pro rata based on the number of shares held by each holder.</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Conversion—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Each share of Preferred Stock is convertible into common stock, at any time, at the option of the holder, and without the payment of additional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consideration, at the applicable conversion ratio then in effect for each series of Preferred Stock, initially set to be one-for-one, and subject to adjustment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in accordance with anti-dilution provisions. In addition, each share of Preferred Stock will be automatically converted into common stock at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applicable conversion ratio then in effect for each series of Preferred Stock upon the earlier of a qualified IPO which results in net proceeds of at least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$50,000 and the listing of the Company’s common stock on the New York Stock Exchange or the Nasdaq Stock Market, or upon a vote of the holders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a majority of the outstanding Preferred Stock. As of December 31, 2017, each share of Preferred Stock was convertible into 0.242 shares of common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stock and can be adjusted in the event of any stock dividend, stock split, combination or other similar recapitalization with respect to the Preferred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Stock.</w:t>
      </w:r>
    </w:p>
    <w:p>
      <w:pPr>
        <w:spacing w:after="0" w:line="21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32406B"/>
        </w:rPr>
        <w:t>The Company evaluated each series of its Preferred Stock and determined that each individual series is considered an equity host. In making this determination, the Company’s analysis followed the whole instrument approach which compares an individual feature against the entire preferred stock instrument which includes that feature. The Company’s analysis was based on a consideration of the economic characteristics and risks of each series of Preferred Stock. More specifically, the Company evaluated all of the stated and implied substantive terms and features, including: (1) whether the Preferred Stock included redemption features, (2) how and when any redemption features could be exercised, (3) whether the holders of Preferred Stock were entitled to dividends, (4) the voting rights of the Preferred Stock and (5) the existence and nature of any conversion rights. As a result of the Company’s conclusion that the Preferred Stock represents an equity host, the conversion feature of all series of Preferred Stock is considered to be clearly and closely related to the associated Preferred Stock host instrument. Accordingly, the conversion feature of all series of Preferred Stock is not considered an embedded derivative that requires bifurcation.</w:t>
      </w:r>
    </w:p>
    <w:p>
      <w:pPr>
        <w:spacing w:after="0" w:line="18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The Company accounts for potential beneficial conversion features at the time of issuance. The Company’s common stock into which each series of the Company’s Preferred Stock is convertible had an estimated fair value less than the effective conversion prices of the Preferred Stock at the time of each of the issuances of Preferred Stock. Therefore, there was no intrinsic value on the respective commitment dates. In addition, the Company considered the other features included within the Preferred Stock and determined that none of the other features required bifurcation and separate accounting.</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F-22</w:t>
      </w:r>
    </w:p>
    <w:p>
      <w:pPr>
        <w:sectPr>
          <w:pgSz w:w="11900" w:h="16838" w:orient="portrait"/>
          <w:cols w:equalWidth="0" w:num="1">
            <w:col w:w="11200"/>
          </w:cols>
          <w:pgMar w:left="240" w:top="460"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8. Redeemable Convertible Preferred Stock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Redemption—</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32406B"/>
        </w:rPr>
        <w:t>The Series Seed Preferred Stock and Series A Preferred Stock are redeemable at $0.45 per share and $0.7949 per share, respectively, (adjusted in the event of any stock dividend, stock split, combination or other similar activity) plus any declared but unpaid dividends, on or after July 21, 2021 at the written election of at least a majority of the holders of Preferred Stock voting together as a single class. The redemption is paid in three annual installments. No bifurcation of the redemption feature was required as the feature does not contain the characteristics of a derivative instrument.</w:t>
      </w:r>
    </w:p>
    <w:p>
      <w:pPr>
        <w:spacing w:after="0" w:line="15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32406B"/>
        </w:rPr>
        <w:t>As the Preferred Stock is redeemable upon the passage of time, the Preferred Stock has been classified outside of permanent equity. The Company has elected to record the changes in the redemption value immediately as they occur.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9. Common Stock</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32406B"/>
        </w:rPr>
        <w:t>As of December 31, 2016 and 2017, the authorized capital stock of the Company included 40,000,000 and 51,000,000 shares of common stock, $0.0001 par value, respectively. The voting, dividend and liquidation rights of the holders of the Company’s common stock are subject to and qualified by the rights, powers and preferences of the holders of the Preferred Stock set forth above.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On January 27, 2016, the Company modified the terms of 330,750 shares of common stock which were issued to four employees in November 17,</w:t>
      </w:r>
    </w:p>
    <w:p>
      <w:pPr>
        <w:spacing w:after="0" w:line="46" w:lineRule="exact"/>
        <w:rPr>
          <w:sz w:val="20"/>
          <w:szCs w:val="20"/>
          <w:color w:val="auto"/>
        </w:rPr>
      </w:pPr>
    </w:p>
    <w:p>
      <w:pPr>
        <w:ind w:left="200" w:right="360"/>
        <w:spacing w:after="0" w:line="261" w:lineRule="auto"/>
        <w:rPr>
          <w:sz w:val="20"/>
          <w:szCs w:val="20"/>
          <w:color w:val="auto"/>
        </w:rPr>
      </w:pPr>
      <w:r>
        <w:rPr>
          <w:rFonts w:ascii="Arial" w:cs="Arial" w:eastAsia="Arial" w:hAnsi="Arial"/>
          <w:sz w:val="18"/>
          <w:szCs w:val="18"/>
          <w:color w:val="32406B"/>
        </w:rPr>
        <w:t>2015 to add a vesting condition. The restrictions lapse according to the time-based vesting conditions of each award. During each of the years ended December 31, 2016 and 2017, 82,686 shares of these restricted common stock awards vested.</w:t>
      </w:r>
    </w:p>
    <w:p>
      <w:pPr>
        <w:spacing w:after="0" w:line="184"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32406B"/>
        </w:rPr>
        <w:t>Each share of common stock entitles the holder to one vote, together with the holders of the Preferred Stock, on all matters submitted to the stockholders for a vote. The holders of the Preferred Stock, voting as a single class, are entitled to elect three directors of the Company. The holders of common stock, together with the holders of the Preferred Stock and voting as a single class, are entitled to elect two directors of the Company. The holders of common stock and of any other class or series of voting stock (including the Preferred Stock), voting together as a single class, are entitled to elect the remaining directors of the Company. Common stockholders are entitled to receive dividends, as may be declared by the Board, if any, subject to the preferential dividend rights of the Preferred Stock. Through December 31, 2017, no cash dividends have been declared or paid.</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At December 31, 2016 and 2017, the Company has reserved the following shares of common stock for future issuance: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0" w:type="dxa"/>
            <w:vAlign w:val="bottom"/>
            <w:gridSpan w:val="4"/>
          </w:tcPr>
          <w:p>
            <w:pPr>
              <w:ind w:left="540"/>
              <w:spacing w:after="0"/>
              <w:rPr>
                <w:sz w:val="20"/>
                <w:szCs w:val="20"/>
                <w:color w:val="auto"/>
              </w:rPr>
            </w:pPr>
            <w:r>
              <w:rPr>
                <w:rFonts w:ascii="Arial" w:cs="Arial" w:eastAsia="Arial" w:hAnsi="Arial"/>
                <w:sz w:val="14"/>
                <w:szCs w:val="14"/>
                <w:b w:val="1"/>
                <w:bCs w:val="1"/>
                <w:color w:val="32406B"/>
              </w:rPr>
              <w:t>December 31,</w:t>
            </w: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32406B"/>
              </w:rPr>
              <w:t>2016</w:t>
            </w:r>
          </w:p>
        </w:tc>
        <w:tc>
          <w:tcPr>
            <w:tcW w:w="110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32406B"/>
              </w:rPr>
              <w:t>2017</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Shares reserved for Series Seed Preferred Stock outstanding</w:t>
            </w:r>
          </w:p>
        </w:tc>
        <w:tc>
          <w:tcPr>
            <w:tcW w:w="37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806,711</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806,711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32406B"/>
              </w:rPr>
              <w:t>Shares reserved for Series A Preferred Stock outstanding</w:t>
            </w:r>
          </w:p>
        </w:tc>
        <w:tc>
          <w:tcPr>
            <w:tcW w:w="4540" w:type="dxa"/>
            <w:vAlign w:val="bottom"/>
            <w:gridSpan w:val="2"/>
          </w:tcPr>
          <w:p>
            <w:pPr>
              <w:jc w:val="right"/>
              <w:spacing w:after="0"/>
              <w:rPr>
                <w:sz w:val="20"/>
                <w:szCs w:val="20"/>
                <w:color w:val="auto"/>
              </w:rPr>
            </w:pPr>
            <w:r>
              <w:rPr>
                <w:rFonts w:ascii="Arial" w:cs="Arial" w:eastAsia="Arial" w:hAnsi="Arial"/>
                <w:sz w:val="18"/>
                <w:szCs w:val="18"/>
                <w:color w:val="32406B"/>
              </w:rPr>
              <w:t>1,382,933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32406B"/>
              </w:rPr>
              <w:t>7,611,438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32406B"/>
              </w:rPr>
              <w:t>Shares reserved for vesting of restricted stock awards</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409,406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276,301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32406B"/>
              </w:rPr>
              <w:t>Shares reserved for exercise of outstanding stock options</w:t>
            </w:r>
          </w:p>
        </w:tc>
        <w:tc>
          <w:tcPr>
            <w:tcW w:w="4540" w:type="dxa"/>
            <w:vAlign w:val="bottom"/>
            <w:gridSpan w:val="2"/>
          </w:tcPr>
          <w:p>
            <w:pPr>
              <w:jc w:val="right"/>
              <w:spacing w:after="0"/>
              <w:rPr>
                <w:sz w:val="20"/>
                <w:szCs w:val="20"/>
                <w:color w:val="auto"/>
              </w:rPr>
            </w:pPr>
            <w:r>
              <w:rPr>
                <w:rFonts w:ascii="Arial" w:cs="Arial" w:eastAsia="Arial" w:hAnsi="Arial"/>
                <w:sz w:val="18"/>
                <w:szCs w:val="18"/>
                <w:color w:val="32406B"/>
              </w:rPr>
              <w:t>599,439</w:t>
            </w:r>
          </w:p>
        </w:tc>
        <w:tc>
          <w:tcPr>
            <w:tcW w:w="1100" w:type="dxa"/>
            <w:vAlign w:val="bottom"/>
            <w:gridSpan w:val="2"/>
          </w:tcPr>
          <w:p>
            <w:pPr>
              <w:jc w:val="right"/>
              <w:spacing w:after="0"/>
              <w:rPr>
                <w:sz w:val="20"/>
                <w:szCs w:val="20"/>
                <w:color w:val="auto"/>
              </w:rPr>
            </w:pPr>
            <w:r>
              <w:rPr>
                <w:rFonts w:ascii="Arial" w:cs="Arial" w:eastAsia="Arial" w:hAnsi="Arial"/>
                <w:sz w:val="18"/>
                <w:szCs w:val="18"/>
                <w:color w:val="32406B"/>
              </w:rPr>
              <w:t>1,034,961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32406B"/>
                <w:w w:val="88"/>
              </w:rPr>
              <w:t>Shares reserved for issuance under the 2015 Stock Option and Grant Plan</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52,710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143,717</w:t>
            </w:r>
          </w:p>
        </w:tc>
        <w:tc>
          <w:tcPr>
            <w:tcW w:w="80" w:type="dxa"/>
            <w:vAlign w:val="bottom"/>
            <w:shd w:val="clear" w:color="auto" w:fill="CCEEFF"/>
          </w:tcPr>
          <w:p>
            <w:pPr>
              <w:spacing w:after="0"/>
              <w:rPr>
                <w:sz w:val="18"/>
                <w:szCs w:val="18"/>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32406B"/>
                <w:w w:val="95"/>
              </w:rPr>
              <w:t>Total shares of authorized common stock reserved for future issuance</w:t>
            </w:r>
          </w:p>
        </w:tc>
        <w:tc>
          <w:tcPr>
            <w:tcW w:w="37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3,251,199</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9,873,128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540" w:type="dxa"/>
            <w:vAlign w:val="bottom"/>
            <w:gridSpan w:val="2"/>
          </w:tcPr>
          <w:p>
            <w:pPr>
              <w:jc w:val="right"/>
              <w:ind w:right="4099"/>
              <w:spacing w:after="0"/>
              <w:rPr>
                <w:sz w:val="20"/>
                <w:szCs w:val="20"/>
                <w:color w:val="auto"/>
              </w:rPr>
            </w:pPr>
            <w:r>
              <w:rPr>
                <w:rFonts w:ascii="Arial" w:cs="Arial" w:eastAsia="Arial" w:hAnsi="Arial"/>
                <w:sz w:val="18"/>
                <w:szCs w:val="18"/>
                <w:color w:val="32406B"/>
                <w:w w:val="91"/>
              </w:rPr>
              <w:t>F-23</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10. Stock-Based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Amended and Restated 2015 Stock Option and Grant Plan</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32406B"/>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54"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32406B"/>
        </w:rPr>
        <w:t>The total number of common shares that may be issued under the 2015 Plan was 1,340,020 shares as of December 31, 2017, of which 143,717 shares remained available for future grant.</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Shares that expire, are terminated, surrendered or canceled under the 2015 Plan without having been fully exercised will be available for future awards. In addition, shares of common stock that are tendered to the Company by a participant to exercise an award are added to the number of shares of common stock available for future awards.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The 2015 Plan is administered by the Board. Equity awards granted to employees and members of the Board typically vest over four years.</w:t>
      </w:r>
    </w:p>
    <w:p>
      <w:pPr>
        <w:spacing w:after="0" w:line="23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32406B"/>
        </w:rPr>
        <w:t>During the years ended December 31, 2016 and 2017, the Company granted options to purchase 599,439 shares and 433,102 shares, respectively, of common stock to employees and members of the Board.</w:t>
      </w:r>
    </w:p>
    <w:p>
      <w:pPr>
        <w:spacing w:after="0" w:line="170"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32406B"/>
        </w:rPr>
        <w:t>During the year ended December 31, 2017, the Company granted options to purchase 2,420 shares of common stock to a non-employee. The stock-based compensation expense for options granted to non-employees is nominal during the year ended December 31, 2017. The Company did not grant options to purchase shares of common stock to non-employees during the year ended December 31, 2016.</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Stock Option Valuation</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32406B"/>
        </w:rPr>
        <w:t>The assumptions that the Company used to determine the grant-date fair value of stock options granted to employees and members of the Board were as follows, presented on a weighted-average basis:</w:t>
      </w:r>
    </w:p>
    <w:p>
      <w:pPr>
        <w:spacing w:after="0" w:line="18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32406B"/>
        </w:rPr>
        <w:t>Year Ended</w:t>
      </w:r>
    </w:p>
    <w:p>
      <w:pPr>
        <w:jc w:val="center"/>
        <w:ind w:left="9280"/>
        <w:spacing w:after="0" w:line="236" w:lineRule="auto"/>
        <w:rPr>
          <w:sz w:val="20"/>
          <w:szCs w:val="20"/>
          <w:color w:val="auto"/>
        </w:rPr>
      </w:pPr>
      <w:r>
        <w:rPr>
          <w:rFonts w:ascii="Arial" w:cs="Arial" w:eastAsia="Arial" w:hAnsi="Arial"/>
          <w:sz w:val="14"/>
          <w:szCs w:val="14"/>
          <w:b w:val="1"/>
          <w:bCs w:val="1"/>
          <w:color w:val="32406B"/>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32406B"/>
              </w:rPr>
              <w:t>2016</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2017</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32406B"/>
              </w:rPr>
              <w:t>Expected option life (years)</w:t>
            </w:r>
          </w:p>
        </w:tc>
        <w:tc>
          <w:tcPr>
            <w:tcW w:w="5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6.00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6.08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32406B"/>
              </w:rPr>
              <w:t>Risk-free interest rate</w:t>
            </w:r>
          </w:p>
        </w:tc>
        <w:tc>
          <w:tcPr>
            <w:tcW w:w="6680" w:type="dxa"/>
            <w:vAlign w:val="bottom"/>
            <w:gridSpan w:val="3"/>
          </w:tcPr>
          <w:p>
            <w:pPr>
              <w:jc w:val="right"/>
              <w:ind w:right="260"/>
              <w:spacing w:after="0"/>
              <w:rPr>
                <w:sz w:val="20"/>
                <w:szCs w:val="20"/>
                <w:color w:val="auto"/>
              </w:rPr>
            </w:pPr>
            <w:r>
              <w:rPr>
                <w:rFonts w:ascii="Arial" w:cs="Arial" w:eastAsia="Arial" w:hAnsi="Arial"/>
                <w:sz w:val="18"/>
                <w:szCs w:val="18"/>
                <w:color w:val="32406B"/>
              </w:rPr>
              <w:t>1.39%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rPr>
              <w:t>1.93%</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32406B"/>
              </w:rPr>
              <w:t>Expected volatility</w:t>
            </w:r>
          </w:p>
        </w:tc>
        <w:tc>
          <w:tcPr>
            <w:tcW w:w="6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86.00%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8"/>
              </w:rPr>
              <w:t>84.54%</w:t>
            </w: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32406B"/>
              </w:rPr>
              <w:t>Expected dividend yield</w:t>
            </w:r>
          </w:p>
        </w:tc>
        <w:tc>
          <w:tcPr>
            <w:tcW w:w="58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r>
      <w:tr>
        <w:trPr>
          <w:trHeight w:val="350"/>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680" w:type="dxa"/>
            <w:vAlign w:val="bottom"/>
            <w:gridSpan w:val="3"/>
          </w:tcPr>
          <w:p>
            <w:pPr>
              <w:jc w:val="right"/>
              <w:ind w:right="4680"/>
              <w:spacing w:after="0"/>
              <w:rPr>
                <w:sz w:val="20"/>
                <w:szCs w:val="20"/>
                <w:color w:val="auto"/>
              </w:rPr>
            </w:pPr>
            <w:r>
              <w:rPr>
                <w:rFonts w:ascii="Arial" w:cs="Arial" w:eastAsia="Arial" w:hAnsi="Arial"/>
                <w:sz w:val="18"/>
                <w:szCs w:val="18"/>
                <w:color w:val="32406B"/>
              </w:rPr>
              <w:t>F-24</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10. Stock-Based Compensation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summarizes the Company’s stock option activity for the year ended December 31,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32406B"/>
                <w:w w:val="94"/>
              </w:rPr>
              <w:t>Weighted-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3"/>
            <w:vMerge w:val="restart"/>
          </w:tcPr>
          <w:p>
            <w:pPr>
              <w:jc w:val="center"/>
              <w:ind w:left="433"/>
              <w:spacing w:after="0"/>
              <w:rPr>
                <w:sz w:val="20"/>
                <w:szCs w:val="20"/>
                <w:color w:val="auto"/>
              </w:rPr>
            </w:pPr>
            <w:r>
              <w:rPr>
                <w:rFonts w:ascii="Arial" w:cs="Arial" w:eastAsia="Arial" w:hAnsi="Arial"/>
                <w:sz w:val="14"/>
                <w:szCs w:val="14"/>
                <w:b w:val="1"/>
                <w:bCs w:val="1"/>
                <w:color w:val="32406B"/>
                <w:w w:val="94"/>
              </w:rPr>
              <w:t>Weighted-</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0"/>
              </w:rPr>
              <w:t>Average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4"/>
              </w:rPr>
              <w:t>Remaining</w:t>
            </w:r>
          </w:p>
        </w:tc>
        <w:tc>
          <w:tcPr>
            <w:tcW w:w="124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32406B"/>
                <w:w w:val="98"/>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32406B"/>
                <w:w w:val="99"/>
              </w:rPr>
              <w:t>Number of</w:t>
            </w:r>
          </w:p>
        </w:tc>
        <w:tc>
          <w:tcPr>
            <w:tcW w:w="5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32406B"/>
                <w:w w:val="90"/>
              </w:rPr>
              <w:t>Average</w:t>
            </w:r>
          </w:p>
        </w:tc>
        <w:tc>
          <w:tcPr>
            <w:tcW w:w="1300" w:type="dxa"/>
            <w:vAlign w:val="bottom"/>
            <w:gridSpan w:val="2"/>
          </w:tcPr>
          <w:p>
            <w:pPr>
              <w:jc w:val="center"/>
              <w:ind w:left="434"/>
              <w:spacing w:after="0" w:line="149" w:lineRule="exact"/>
              <w:rPr>
                <w:sz w:val="20"/>
                <w:szCs w:val="20"/>
                <w:color w:val="auto"/>
              </w:rPr>
            </w:pPr>
            <w:r>
              <w:rPr>
                <w:rFonts w:ascii="Arial" w:cs="Arial" w:eastAsia="Arial" w:hAnsi="Arial"/>
                <w:sz w:val="14"/>
                <w:szCs w:val="14"/>
                <w:b w:val="1"/>
                <w:bCs w:val="1"/>
                <w:color w:val="32406B"/>
                <w:w w:val="95"/>
              </w:rPr>
              <w:t>Contractual</w:t>
            </w: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32406B"/>
                <w:w w:val="90"/>
              </w:rPr>
              <w:t>Exercise</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3"/>
              </w:rPr>
              <w:t>Term</w:t>
            </w:r>
          </w:p>
        </w:tc>
        <w:tc>
          <w:tcPr>
            <w:tcW w:w="5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32406B"/>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0" w:type="dxa"/>
            <w:vAlign w:val="bottom"/>
          </w:tcPr>
          <w:p>
            <w:pPr>
              <w:jc w:val="right"/>
              <w:ind w:right="74"/>
              <w:spacing w:after="0"/>
              <w:rPr>
                <w:sz w:val="20"/>
                <w:szCs w:val="20"/>
                <w:color w:val="auto"/>
              </w:rPr>
            </w:pPr>
            <w:r>
              <w:rPr>
                <w:rFonts w:ascii="Arial" w:cs="Arial" w:eastAsia="Arial" w:hAnsi="Arial"/>
                <w:sz w:val="14"/>
                <w:szCs w:val="14"/>
                <w:b w:val="1"/>
                <w:bCs w:val="1"/>
                <w:color w:val="32406B"/>
              </w:rPr>
              <w:t>Options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Arial" w:cs="Arial" w:eastAsia="Arial" w:hAnsi="Arial"/>
                <w:sz w:val="14"/>
                <w:szCs w:val="14"/>
                <w:b w:val="1"/>
                <w:bCs w:val="1"/>
                <w:color w:val="32406B"/>
                <w:w w:val="93"/>
              </w:rPr>
              <w:t>Price</w:t>
            </w:r>
          </w:p>
        </w:tc>
        <w:tc>
          <w:tcPr>
            <w:tcW w:w="5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32406B"/>
                <w:w w:val="92"/>
              </w:rPr>
              <w:t>(Years)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2406B"/>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Outstanding as of December 31, 2016</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599,439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0.69</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9.47</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32406B"/>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32406B"/>
              </w:rPr>
              <w:t>Granted</w:t>
            </w:r>
          </w:p>
        </w:tc>
        <w:tc>
          <w:tcPr>
            <w:tcW w:w="800" w:type="dxa"/>
            <w:vAlign w:val="bottom"/>
          </w:tcPr>
          <w:p>
            <w:pPr>
              <w:jc w:val="right"/>
              <w:spacing w:after="0"/>
              <w:rPr>
                <w:sz w:val="20"/>
                <w:szCs w:val="20"/>
                <w:color w:val="auto"/>
              </w:rPr>
            </w:pPr>
            <w:r>
              <w:rPr>
                <w:rFonts w:ascii="Arial" w:cs="Arial" w:eastAsia="Arial" w:hAnsi="Arial"/>
                <w:sz w:val="18"/>
                <w:szCs w:val="18"/>
                <w:color w:val="32406B"/>
              </w:rPr>
              <w:t>435,522</w:t>
            </w:r>
          </w:p>
        </w:tc>
        <w:tc>
          <w:tcPr>
            <w:tcW w:w="6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520" w:type="dxa"/>
            <w:vAlign w:val="bottom"/>
          </w:tcPr>
          <w:p>
            <w:pPr>
              <w:jc w:val="right"/>
              <w:spacing w:after="0"/>
              <w:rPr>
                <w:sz w:val="20"/>
                <w:szCs w:val="20"/>
                <w:color w:val="auto"/>
              </w:rPr>
            </w:pPr>
            <w:r>
              <w:rPr>
                <w:rFonts w:ascii="Arial" w:cs="Arial" w:eastAsia="Arial" w:hAnsi="Arial"/>
                <w:sz w:val="18"/>
                <w:szCs w:val="18"/>
                <w:color w:val="32406B"/>
              </w:rPr>
              <w:t>0.91</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32406B"/>
              </w:rPr>
              <w:t>Exercised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32406B"/>
              </w:rPr>
              <w:t>Cancelled or forfeited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520" w:type="dxa"/>
            <w:vAlign w:val="bottom"/>
          </w:tcPr>
          <w:p>
            <w:pPr>
              <w:jc w:val="right"/>
              <w:spacing w:after="0"/>
              <w:rPr>
                <w:sz w:val="20"/>
                <w:szCs w:val="20"/>
                <w:color w:val="auto"/>
              </w:rPr>
            </w:pPr>
            <w:r>
              <w:rPr>
                <w:rFonts w:ascii="Arial" w:cs="Arial" w:eastAsia="Arial" w:hAnsi="Arial"/>
                <w:sz w:val="18"/>
                <w:szCs w:val="18"/>
                <w:color w:val="32406B"/>
              </w:rPr>
              <w:t>—</w:t>
            </w: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32406B"/>
              </w:rPr>
              <w:t>Outstanding as of December 31, 2017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4"/>
              </w:rPr>
              <w:t>1,034,961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0.78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8.94</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32406B"/>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32406B"/>
              </w:rPr>
              <w:t>Exercisable as of December 31, 2017</w:t>
            </w:r>
          </w:p>
        </w:tc>
        <w:tc>
          <w:tcPr>
            <w:tcW w:w="800" w:type="dxa"/>
            <w:vAlign w:val="bottom"/>
            <w:tcBorders>
              <w:bottom w:val="single" w:sz="8" w:color="auto"/>
            </w:tcBorders>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32406B"/>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32406B"/>
              </w:rPr>
              <w:t>0.68</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32406B"/>
              </w:rPr>
              <w:t>8.46</w:t>
            </w:r>
          </w:p>
        </w:tc>
        <w:tc>
          <w:tcPr>
            <w:tcW w:w="660" w:type="dxa"/>
            <w:vAlign w:val="bottom"/>
            <w:gridSpan w:val="2"/>
            <w:vMerge w:val="restart"/>
          </w:tcPr>
          <w:p>
            <w:pPr>
              <w:ind w:left="540"/>
              <w:spacing w:after="0"/>
              <w:rPr>
                <w:sz w:val="20"/>
                <w:szCs w:val="20"/>
                <w:color w:val="auto"/>
              </w:rPr>
            </w:pPr>
            <w:r>
              <w:rPr>
                <w:rFonts w:ascii="Arial" w:cs="Arial" w:eastAsia="Arial" w:hAnsi="Arial"/>
                <w:sz w:val="18"/>
                <w:szCs w:val="18"/>
                <w:color w:val="32406B"/>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32406B"/>
              </w:rPr>
              <w:t>633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2406B"/>
              </w:rPr>
              <w:t>185,446</w:t>
            </w:r>
          </w:p>
        </w:tc>
        <w:tc>
          <w:tcPr>
            <w:tcW w:w="6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32406B"/>
              </w:rPr>
              <w:t>Unvested as of December 31, 2017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849,515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0.81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9.04</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32406B"/>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32406B"/>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at December 31, 2017.</w:t>
      </w:r>
    </w:p>
    <w:p>
      <w:pPr>
        <w:spacing w:after="0" w:line="18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32406B"/>
        </w:rPr>
        <w:t>The weighted-average grant-date fair value of the Company’s stock options granted during the years ended December 31, 2016 and 2017 was $0.50 and $1.50,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Restricted Common Stock</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32406B"/>
        </w:rPr>
        <w:t>The Company has granted restricted common stock with time-based vesting conditions to certain employees of the Company. The purchase price of the restricted stock awards are determined by the Board. The Company also, in January 2016, modified 330,750 shares of common stock which were issued to four employees in November 17, 2015 to add a vesting condition (see Note 9). Unvested shares of restricted common stock may not be sold or transferred by the holder. These restrictions lapse according to the time-based vesting conditions of each award. The Company has the option to repurchase the restricted stock awards at the original purchase price if the grantee terminates its working relationship with the Company prior to the vesting date.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summarizes the Company’s restricted common stock activity for the year ended December 31,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32406B"/>
              </w:rPr>
              <w:t>Number</w:t>
            </w:r>
          </w:p>
        </w:tc>
        <w:tc>
          <w:tcPr>
            <w:tcW w:w="144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32406B"/>
                <w:w w:val="92"/>
              </w:rPr>
              <w:t>Weighted-Average</w:t>
            </w:r>
          </w:p>
        </w:tc>
        <w:tc>
          <w:tcPr>
            <w:tcW w:w="1340" w:type="dxa"/>
            <w:vAlign w:val="bottom"/>
            <w:gridSpan w:val="4"/>
          </w:tcPr>
          <w:p>
            <w:pPr>
              <w:ind w:left="640"/>
              <w:spacing w:after="0"/>
              <w:rPr>
                <w:sz w:val="20"/>
                <w:szCs w:val="20"/>
                <w:color w:val="auto"/>
              </w:rPr>
            </w:pPr>
            <w:r>
              <w:rPr>
                <w:rFonts w:ascii="Arial" w:cs="Arial" w:eastAsia="Arial" w:hAnsi="Arial"/>
                <w:sz w:val="14"/>
                <w:szCs w:val="14"/>
                <w:b w:val="1"/>
                <w:bCs w:val="1"/>
                <w:color w:val="32406B"/>
                <w:w w:val="98"/>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32406B"/>
                <w:w w:val="98"/>
              </w:rPr>
              <w:t>Grant Date Fair</w:t>
            </w:r>
          </w:p>
        </w:tc>
        <w:tc>
          <w:tcPr>
            <w:tcW w:w="6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32406B"/>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32406B"/>
                <w:w w:val="97"/>
              </w:rPr>
              <w:t>of Shares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154"/>
              <w:spacing w:after="0"/>
              <w:rPr>
                <w:sz w:val="20"/>
                <w:szCs w:val="20"/>
                <w:color w:val="auto"/>
              </w:rPr>
            </w:pPr>
            <w:r>
              <w:rPr>
                <w:rFonts w:ascii="Arial" w:cs="Arial" w:eastAsia="Arial" w:hAnsi="Arial"/>
                <w:sz w:val="14"/>
                <w:szCs w:val="14"/>
                <w:b w:val="1"/>
                <w:bCs w:val="1"/>
                <w:color w:val="32406B"/>
                <w:w w:val="90"/>
              </w:rPr>
              <w:t>Value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2406B"/>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Issued and unvested as of December 31, 2016</w:t>
            </w:r>
          </w:p>
        </w:tc>
        <w:tc>
          <w:tcPr>
            <w:tcW w:w="28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409,406</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32406B"/>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0.42</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32406B"/>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1,675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32406B"/>
              </w:rPr>
              <w:t>Vested</w:t>
            </w:r>
          </w:p>
        </w:tc>
        <w:tc>
          <w:tcPr>
            <w:tcW w:w="3940" w:type="dxa"/>
            <w:vAlign w:val="bottom"/>
            <w:gridSpan w:val="3"/>
          </w:tcPr>
          <w:p>
            <w:pPr>
              <w:jc w:val="right"/>
              <w:ind w:right="320"/>
              <w:spacing w:after="0"/>
              <w:rPr>
                <w:sz w:val="20"/>
                <w:szCs w:val="20"/>
                <w:color w:val="auto"/>
              </w:rPr>
            </w:pPr>
            <w:r>
              <w:rPr>
                <w:rFonts w:ascii="Arial" w:cs="Arial" w:eastAsia="Arial" w:hAnsi="Arial"/>
                <w:sz w:val="18"/>
                <w:szCs w:val="18"/>
                <w:color w:val="32406B"/>
              </w:rPr>
              <w:t>(133,105)</w:t>
            </w: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32406B"/>
              </w:rPr>
              <w:t>$</w:t>
            </w:r>
          </w:p>
        </w:tc>
        <w:tc>
          <w:tcPr>
            <w:tcW w:w="900" w:type="dxa"/>
            <w:vAlign w:val="bottom"/>
          </w:tcPr>
          <w:p>
            <w:pPr>
              <w:jc w:val="right"/>
              <w:spacing w:after="0"/>
              <w:rPr>
                <w:sz w:val="20"/>
                <w:szCs w:val="20"/>
                <w:color w:val="auto"/>
              </w:rPr>
            </w:pPr>
            <w:r>
              <w:rPr>
                <w:rFonts w:ascii="Arial" w:cs="Arial" w:eastAsia="Arial" w:hAnsi="Arial"/>
                <w:sz w:val="18"/>
                <w:szCs w:val="18"/>
                <w:color w:val="32406B"/>
              </w:rPr>
              <w:t>0.42</w:t>
            </w:r>
          </w:p>
        </w:tc>
        <w:tc>
          <w:tcPr>
            <w:tcW w:w="760" w:type="dxa"/>
            <w:vAlign w:val="bottom"/>
            <w:gridSpan w:val="2"/>
          </w:tcPr>
          <w:p>
            <w:pPr>
              <w:ind w:left="640"/>
              <w:spacing w:after="0"/>
              <w:rPr>
                <w:sz w:val="20"/>
                <w:szCs w:val="20"/>
                <w:color w:val="auto"/>
              </w:rPr>
            </w:pPr>
            <w:r>
              <w:rPr>
                <w:rFonts w:ascii="Arial" w:cs="Arial" w:eastAsia="Arial" w:hAnsi="Arial"/>
                <w:sz w:val="18"/>
                <w:szCs w:val="18"/>
                <w:color w:val="32406B"/>
                <w:w w:val="99"/>
              </w:rPr>
              <w:t>$</w:t>
            </w:r>
          </w:p>
        </w:tc>
        <w:tc>
          <w:tcPr>
            <w:tcW w:w="520" w:type="dxa"/>
            <w:vAlign w:val="bottom"/>
          </w:tcPr>
          <w:p>
            <w:pPr>
              <w:jc w:val="right"/>
              <w:spacing w:after="0"/>
              <w:rPr>
                <w:sz w:val="20"/>
                <w:szCs w:val="20"/>
                <w:color w:val="auto"/>
              </w:rPr>
            </w:pPr>
            <w:r>
              <w:rPr>
                <w:rFonts w:ascii="Arial" w:cs="Arial" w:eastAsia="Arial" w:hAnsi="Arial"/>
                <w:sz w:val="18"/>
                <w:szCs w:val="18"/>
                <w:color w:val="32406B"/>
              </w:rPr>
              <w:t>544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32406B"/>
              </w:rPr>
              <w:t>Forfeited, canceled or expired</w:t>
            </w:r>
          </w:p>
        </w:tc>
        <w:tc>
          <w:tcPr>
            <w:tcW w:w="28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w:t>
            </w:r>
          </w:p>
        </w:tc>
        <w:tc>
          <w:tcPr>
            <w:tcW w:w="5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32406B"/>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32406B"/>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32406B"/>
              </w:rPr>
              <w:t>Issued and unvested as of December 31, 2017</w:t>
            </w:r>
          </w:p>
        </w:tc>
        <w:tc>
          <w:tcPr>
            <w:tcW w:w="28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276,301</w:t>
            </w:r>
          </w:p>
        </w:tc>
        <w:tc>
          <w:tcPr>
            <w:tcW w:w="380" w:type="dxa"/>
            <w:vAlign w:val="bottom"/>
          </w:tcPr>
          <w:p>
            <w:pPr>
              <w:spacing w:after="0"/>
              <w:rPr>
                <w:sz w:val="19"/>
                <w:szCs w:val="19"/>
                <w:color w:val="auto"/>
              </w:rPr>
            </w:pP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32406B"/>
              </w:rPr>
              <w:t>$</w:t>
            </w:r>
          </w:p>
        </w:tc>
        <w:tc>
          <w:tcPr>
            <w:tcW w:w="900" w:type="dxa"/>
            <w:vAlign w:val="bottom"/>
          </w:tcPr>
          <w:p>
            <w:pPr>
              <w:jc w:val="right"/>
              <w:spacing w:after="0"/>
              <w:rPr>
                <w:sz w:val="20"/>
                <w:szCs w:val="20"/>
                <w:color w:val="auto"/>
              </w:rPr>
            </w:pPr>
            <w:r>
              <w:rPr>
                <w:rFonts w:ascii="Arial" w:cs="Arial" w:eastAsia="Arial" w:hAnsi="Arial"/>
                <w:sz w:val="18"/>
                <w:szCs w:val="18"/>
                <w:color w:val="32406B"/>
              </w:rPr>
              <w:t>0.42</w:t>
            </w:r>
          </w:p>
        </w:tc>
        <w:tc>
          <w:tcPr>
            <w:tcW w:w="760" w:type="dxa"/>
            <w:vAlign w:val="bottom"/>
            <w:gridSpan w:val="2"/>
          </w:tcPr>
          <w:p>
            <w:pPr>
              <w:ind w:left="640"/>
              <w:spacing w:after="0"/>
              <w:rPr>
                <w:sz w:val="20"/>
                <w:szCs w:val="20"/>
                <w:color w:val="auto"/>
              </w:rPr>
            </w:pPr>
            <w:r>
              <w:rPr>
                <w:rFonts w:ascii="Arial" w:cs="Arial" w:eastAsia="Arial" w:hAnsi="Arial"/>
                <w:sz w:val="18"/>
                <w:szCs w:val="18"/>
                <w:color w:val="32406B"/>
                <w:w w:val="99"/>
              </w:rPr>
              <w:t>$</w:t>
            </w:r>
          </w:p>
        </w:tc>
        <w:tc>
          <w:tcPr>
            <w:tcW w:w="520" w:type="dxa"/>
            <w:vAlign w:val="bottom"/>
          </w:tcPr>
          <w:p>
            <w:pPr>
              <w:jc w:val="right"/>
              <w:spacing w:after="0"/>
              <w:rPr>
                <w:sz w:val="20"/>
                <w:szCs w:val="20"/>
                <w:color w:val="auto"/>
              </w:rPr>
            </w:pPr>
            <w:r>
              <w:rPr>
                <w:rFonts w:ascii="Arial" w:cs="Arial" w:eastAsia="Arial" w:hAnsi="Arial"/>
                <w:sz w:val="18"/>
                <w:szCs w:val="18"/>
                <w:color w:val="32406B"/>
              </w:rPr>
              <w:t>1,130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940" w:type="dxa"/>
            <w:vAlign w:val="bottom"/>
            <w:gridSpan w:val="3"/>
          </w:tcPr>
          <w:p>
            <w:pPr>
              <w:jc w:val="right"/>
              <w:ind w:right="2580"/>
              <w:spacing w:after="0"/>
              <w:rPr>
                <w:sz w:val="20"/>
                <w:szCs w:val="20"/>
                <w:color w:val="auto"/>
              </w:rPr>
            </w:pPr>
            <w:r>
              <w:rPr>
                <w:rFonts w:ascii="Arial" w:cs="Arial" w:eastAsia="Arial" w:hAnsi="Arial"/>
                <w:sz w:val="18"/>
                <w:szCs w:val="18"/>
                <w:color w:val="32406B"/>
              </w:rPr>
              <w:t>F-25</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10. Stock-Based Compensation (continued)</w:t>
      </w:r>
    </w:p>
    <w:p>
      <w:pPr>
        <w:spacing w:after="0" w:line="135"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32406B"/>
        </w:rPr>
        <w:t>The weighted-average grant date fair value of restricted common stock awards granted during the year ended December 31, 2016 was $0.42 per share. The total fair value of restricted common stock vested during the years ended December 31, 2016 and 2017 was $34 and $55, respectively.</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Stock-based compensation expense was allocated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32406B"/>
                <w:w w:val="93"/>
              </w:rPr>
              <w:t>Year Ended</w:t>
            </w: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32406B"/>
                <w:w w:val="92"/>
              </w:rPr>
              <w:t>December 31,</w:t>
            </w: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89"/>
              </w:rPr>
              <w:t>2016</w:t>
            </w:r>
          </w:p>
        </w:tc>
        <w:tc>
          <w:tcPr>
            <w:tcW w:w="7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32406B"/>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Research and development</w:t>
            </w:r>
          </w:p>
        </w:tc>
        <w:tc>
          <w:tcPr>
            <w:tcW w:w="34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$ 32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32406B"/>
              </w:rPr>
              <w:t>General and administrative</w:t>
            </w:r>
          </w:p>
        </w:tc>
        <w:tc>
          <w:tcPr>
            <w:tcW w:w="348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97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32406B"/>
              </w:rPr>
              <w:t>Total stock based compensation expense</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$ 72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3"/>
              </w:rPr>
              <w:t>177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32406B"/>
        </w:rPr>
        <w:t>As of December 31, 2017, total unrecognized compensation cost related to the unvested stock-based awards was $897, which is expected to be recognized over a weighted-average period of 3.26 years.</w:t>
      </w:r>
    </w:p>
    <w:p>
      <w:pPr>
        <w:spacing w:after="0" w:line="275" w:lineRule="exact"/>
        <w:rPr>
          <w:sz w:val="20"/>
          <w:szCs w:val="20"/>
          <w:color w:val="auto"/>
        </w:rPr>
      </w:pPr>
    </w:p>
    <w:p>
      <w:pPr>
        <w:ind w:left="640" w:right="8900" w:hanging="436"/>
        <w:spacing w:after="0" w:line="425" w:lineRule="auto"/>
        <w:tabs>
          <w:tab w:leader="none" w:pos="460" w:val="left"/>
        </w:tabs>
        <w:numPr>
          <w:ilvl w:val="0"/>
          <w:numId w:val="110"/>
        </w:numPr>
        <w:rPr>
          <w:rFonts w:ascii="Arial" w:cs="Arial" w:eastAsia="Arial" w:hAnsi="Arial"/>
          <w:sz w:val="16"/>
          <w:szCs w:val="16"/>
          <w:b w:val="1"/>
          <w:bCs w:val="1"/>
          <w:color w:val="32406B"/>
        </w:rPr>
      </w:pPr>
      <w:r>
        <w:rPr>
          <w:rFonts w:ascii="Arial" w:cs="Arial" w:eastAsia="Arial" w:hAnsi="Arial"/>
          <w:sz w:val="16"/>
          <w:szCs w:val="16"/>
          <w:b w:val="1"/>
          <w:bCs w:val="1"/>
          <w:color w:val="32406B"/>
        </w:rPr>
        <w:t xml:space="preserve">License Agreements </w:t>
      </w:r>
      <w:r>
        <w:rPr>
          <w:rFonts w:ascii="Arial" w:cs="Arial" w:eastAsia="Arial" w:hAnsi="Arial"/>
          <w:sz w:val="16"/>
          <w:szCs w:val="16"/>
          <w:b w:val="1"/>
          <w:bCs w:val="1"/>
          <w:i w:val="1"/>
          <w:iCs w:val="1"/>
          <w:color w:val="32406B"/>
        </w:rPr>
        <w:t>Agreements with UHN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Fabry License Agreement—</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32406B"/>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3"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32406B"/>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F-26</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11. License Agreements (continued)</w:t>
      </w:r>
    </w:p>
    <w:p>
      <w:pPr>
        <w:spacing w:after="0" w:line="135"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32406B"/>
        </w:rPr>
        <w:t>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32406B"/>
        </w:rPr>
        <w:t>For the years ended December 31, 2016 and 2017, the Company recorded research and development expense of $87 and $16, respectively, which consists of the license option fee, the upfront fee and maintenance fees.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Interleukin 12 License Agreement—</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32406B"/>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The fair value of the shares issued to UHN of $480 and the upfront fee was expensed upon the execution of the agreement. In addition, the Company agreed to pay UHN up to $2,000 upon the closing of an IPO if certain criteria are met. This obligation is considered a derivative instrument and was initially recorded at fair value of $49.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73"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32406B"/>
        </w:rPr>
        <w:t>The agreement requires the Company to meet certain due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5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32406B"/>
        </w:rPr>
        <w:t>For the years ended December 31, 2016 and 2017, the Company recorded research and development expense related to this agreement with UHN of $785 and $151, respectively, which consists of upfront fees, the fair value of the shares and derivative instrument issued to UHN, and license maintenance fees and development milestone payments.</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32406B"/>
        </w:rPr>
        <w:t>F-27</w:t>
      </w:r>
    </w:p>
    <w:p>
      <w:pPr>
        <w:sectPr>
          <w:pgSz w:w="11900" w:h="16838" w:orient="portrait"/>
          <w:cols w:equalWidth="0" w:num="1">
            <w:col w:w="11160"/>
          </w:cols>
          <w:pgMar w:left="240" w:top="460"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11. License Agreements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Agreement with BioMarin Pharmaceutical Inc. (“BioMarin”)</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32406B"/>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Series B Preferred Stock to BioMarin at the time of our Series B Preferred Stock financing in January 2018. Both the upfront cash payment of $500 and the value of the shares Series B Preferred Stock issued of $500 were recorded as research and development expense during the year ended December 31, 2017.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w:t>
      </w:r>
    </w:p>
    <w:p>
      <w:pPr>
        <w:spacing w:after="0" w:line="17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32406B"/>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Agreement with GenStem Therapeutics, Inc. (“GenStem”)</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 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The Company recorded research and development expense of $1,000 for the year ended December 31, 2017, which consisted of upfront fees related to the license.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Agreement with Lund University Rights Holders</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32406B"/>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F-28</w:t>
      </w:r>
    </w:p>
    <w:p>
      <w:pPr>
        <w:sectPr>
          <w:pgSz w:w="11900" w:h="16838" w:orient="portrait"/>
          <w:cols w:equalWidth="0" w:num="1">
            <w:col w:w="11200"/>
          </w:cols>
          <w:pgMar w:left="240" w:top="460"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11. License Agreements (continued)</w:t>
      </w:r>
    </w:p>
    <w:p>
      <w:pPr>
        <w:spacing w:after="0" w:line="135"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32406B"/>
        </w:rPr>
        <w:t>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12. Income Taxes</w:t>
      </w:r>
    </w:p>
    <w:p>
      <w:pPr>
        <w:spacing w:after="0" w:line="121"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32406B"/>
        </w:rPr>
        <w:t>For the years ended December 31, 2016 and 2017, the Company did not record a current or deferred income tax expense or (benefit) due to current and historical losses incurred by the Company. The Company’s operations are predominantly based in the United States and the Company’s foreign subsidiaries generated de minimis profit for the years ended December 31, 2016 and 2017.</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32406B"/>
        </w:rPr>
        <w:t>The enactment of the Tax Cuts and Jobs Act (“TCJA”) in December 2017, as further described below, resulted in a remeasurement of the Company’s net deferred tax asset due to the reduction in the corporate income tax rate from 35% to a 21% flat tax, which is included in the Company’s 2017 rate reconciliation.</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32406B"/>
        </w:rPr>
        <w:t>A reconciliation of income tax expense (benefit) computed at the statutory federal income tax rate to income taxes as reflected in the consolidated financial statements is as follows:</w:t>
      </w:r>
    </w:p>
    <w:p>
      <w:pPr>
        <w:spacing w:after="0" w:line="189"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32406B"/>
        </w:rPr>
        <w:t>Year Ended</w:t>
      </w:r>
    </w:p>
    <w:p>
      <w:pPr>
        <w:jc w:val="center"/>
        <w:ind w:left="9240"/>
        <w:spacing w:after="0" w:line="236" w:lineRule="auto"/>
        <w:rPr>
          <w:sz w:val="20"/>
          <w:szCs w:val="20"/>
          <w:color w:val="auto"/>
        </w:rPr>
      </w:pPr>
      <w:r>
        <w:rPr>
          <w:rFonts w:ascii="Arial" w:cs="Arial" w:eastAsia="Arial" w:hAnsi="Arial"/>
          <w:sz w:val="14"/>
          <w:szCs w:val="14"/>
          <w:b w:val="1"/>
          <w:bCs w:val="1"/>
          <w:color w:val="32406B"/>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2016</w:t>
            </w:r>
          </w:p>
        </w:tc>
        <w:tc>
          <w:tcPr>
            <w:tcW w:w="5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2017</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32406B"/>
              </w:rPr>
              <w:t>Federal income tax expense at statutory rate</w:t>
            </w:r>
          </w:p>
        </w:tc>
        <w:tc>
          <w:tcPr>
            <w:tcW w:w="5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34.0%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32406B"/>
              </w:rPr>
              <w:t>State income taxes, net of federal benefit</w:t>
            </w:r>
          </w:p>
        </w:tc>
        <w:tc>
          <w:tcPr>
            <w:tcW w:w="5620" w:type="dxa"/>
            <w:vAlign w:val="bottom"/>
            <w:gridSpan w:val="2"/>
          </w:tcPr>
          <w:p>
            <w:pPr>
              <w:jc w:val="right"/>
              <w:spacing w:after="0"/>
              <w:rPr>
                <w:sz w:val="20"/>
                <w:szCs w:val="20"/>
                <w:color w:val="auto"/>
              </w:rPr>
            </w:pPr>
            <w:r>
              <w:rPr>
                <w:rFonts w:ascii="Arial" w:cs="Arial" w:eastAsia="Arial" w:hAnsi="Arial"/>
                <w:sz w:val="18"/>
                <w:szCs w:val="18"/>
                <w:color w:val="32406B"/>
              </w:rPr>
              <w:t>5.1</w:t>
            </w:r>
          </w:p>
        </w:tc>
        <w:tc>
          <w:tcPr>
            <w:tcW w:w="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32406B"/>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32406B"/>
              </w:rPr>
              <w:t>Permanent differences</w:t>
            </w:r>
          </w:p>
        </w:tc>
        <w:tc>
          <w:tcPr>
            <w:tcW w:w="6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32406B"/>
              </w:rPr>
              <w:t>(0.8)</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32406B"/>
              </w:rPr>
              <w:t>U.S.—TCJA</w:t>
            </w:r>
          </w:p>
        </w:tc>
        <w:tc>
          <w:tcPr>
            <w:tcW w:w="520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32406B"/>
                <w:w w:val="97"/>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32406B"/>
              </w:rPr>
              <w:t>Foreign rate differential</w:t>
            </w:r>
          </w:p>
        </w:tc>
        <w:tc>
          <w:tcPr>
            <w:tcW w:w="5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32406B"/>
              </w:rPr>
              <w:t>Research and development tax credits</w:t>
            </w:r>
          </w:p>
        </w:tc>
        <w:tc>
          <w:tcPr>
            <w:tcW w:w="5620" w:type="dxa"/>
            <w:vAlign w:val="bottom"/>
            <w:gridSpan w:val="2"/>
          </w:tcPr>
          <w:p>
            <w:pPr>
              <w:jc w:val="right"/>
              <w:spacing w:after="0"/>
              <w:rPr>
                <w:sz w:val="20"/>
                <w:szCs w:val="20"/>
                <w:color w:val="auto"/>
              </w:rPr>
            </w:pPr>
            <w:r>
              <w:rPr>
                <w:rFonts w:ascii="Arial" w:cs="Arial" w:eastAsia="Arial" w:hAnsi="Arial"/>
                <w:sz w:val="18"/>
                <w:szCs w:val="18"/>
                <w:color w:val="32406B"/>
              </w:rPr>
              <w:t>2.3</w:t>
            </w:r>
          </w:p>
        </w:tc>
        <w:tc>
          <w:tcPr>
            <w:tcW w:w="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32406B"/>
              </w:rPr>
              <w:t>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32406B"/>
              </w:rPr>
              <w:t>Change in valuation allowance</w:t>
            </w:r>
          </w:p>
        </w:tc>
        <w:tc>
          <w:tcPr>
            <w:tcW w:w="5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w w:val="97"/>
              </w:rPr>
              <w:t>(40.6)</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w w:val="97"/>
              </w:rPr>
              <w:t>(24.9)</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32406B"/>
              </w:rPr>
              <w:t>Effective income tax rate</w:t>
            </w:r>
          </w:p>
        </w:tc>
        <w:tc>
          <w:tcPr>
            <w:tcW w:w="5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gridSpan w:val="2"/>
            <w:vMerge w:val="continue"/>
          </w:tcPr>
          <w:p>
            <w:pPr>
              <w:spacing w:after="0"/>
              <w:rPr>
                <w:sz w:val="19"/>
                <w:szCs w:val="19"/>
                <w:color w:val="auto"/>
              </w:rPr>
            </w:pPr>
          </w:p>
        </w:tc>
        <w:tc>
          <w:tcPr>
            <w:tcW w:w="52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140" w:type="dxa"/>
            <w:vAlign w:val="bottom"/>
            <w:gridSpan w:val="3"/>
          </w:tcPr>
          <w:p>
            <w:pPr>
              <w:jc w:val="right"/>
              <w:ind w:right="4720"/>
              <w:spacing w:after="0"/>
              <w:rPr>
                <w:sz w:val="20"/>
                <w:szCs w:val="20"/>
                <w:color w:val="auto"/>
              </w:rPr>
            </w:pPr>
            <w:r>
              <w:rPr>
                <w:rFonts w:ascii="Arial" w:cs="Arial" w:eastAsia="Arial" w:hAnsi="Arial"/>
                <w:sz w:val="18"/>
                <w:szCs w:val="18"/>
                <w:color w:val="32406B"/>
              </w:rPr>
              <w:t>F-29</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12. Income Taxes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Deferred taxes are recognized for temporary differences between the basis of assets and liabilities for financial statement and income tax purposes.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The significant components of the Company’s deferred tax assets and liabilities are comprised of the following:</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32406B"/>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32406B"/>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32406B"/>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color w:val="32406B"/>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32406B"/>
              </w:rPr>
              <w:t>U.S., foreign, and state net operating loss carryforwards</w:t>
            </w:r>
          </w:p>
        </w:tc>
        <w:tc>
          <w:tcPr>
            <w:tcW w:w="100" w:type="dxa"/>
            <w:vAlign w:val="bottom"/>
            <w:gridSpan w:val="2"/>
          </w:tcPr>
          <w:p>
            <w:pPr>
              <w:jc w:val="right"/>
              <w:spacing w:after="0"/>
              <w:rPr>
                <w:sz w:val="20"/>
                <w:szCs w:val="20"/>
                <w:color w:val="auto"/>
              </w:rPr>
            </w:pPr>
            <w:r>
              <w:rPr>
                <w:rFonts w:ascii="Arial" w:cs="Arial" w:eastAsia="Arial" w:hAnsi="Arial"/>
                <w:sz w:val="18"/>
                <w:szCs w:val="18"/>
                <w:color w:val="32406B"/>
                <w:w w:val="79"/>
              </w:rPr>
              <w:t>$</w:t>
            </w:r>
          </w:p>
        </w:tc>
        <w:tc>
          <w:tcPr>
            <w:tcW w:w="480" w:type="dxa"/>
            <w:vAlign w:val="bottom"/>
          </w:tcPr>
          <w:p>
            <w:pPr>
              <w:jc w:val="right"/>
              <w:spacing w:after="0"/>
              <w:rPr>
                <w:sz w:val="20"/>
                <w:szCs w:val="20"/>
                <w:color w:val="auto"/>
              </w:rPr>
            </w:pPr>
            <w:r>
              <w:rPr>
                <w:rFonts w:ascii="Arial" w:cs="Arial" w:eastAsia="Arial" w:hAnsi="Arial"/>
                <w:sz w:val="18"/>
                <w:szCs w:val="18"/>
                <w:color w:val="32406B"/>
              </w:rPr>
              <w:t>1,435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480" w:type="dxa"/>
            <w:vAlign w:val="bottom"/>
          </w:tcPr>
          <w:p>
            <w:pPr>
              <w:jc w:val="right"/>
              <w:spacing w:after="0"/>
              <w:rPr>
                <w:sz w:val="20"/>
                <w:szCs w:val="20"/>
                <w:color w:val="auto"/>
              </w:rPr>
            </w:pPr>
            <w:r>
              <w:rPr>
                <w:rFonts w:ascii="Arial" w:cs="Arial" w:eastAsia="Arial" w:hAnsi="Arial"/>
                <w:sz w:val="18"/>
                <w:szCs w:val="18"/>
                <w:color w:val="32406B"/>
              </w:rPr>
              <w:t>5,183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32406B"/>
              </w:rPr>
              <w:t>Research and development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32406B"/>
              </w:rPr>
              <w:t>Capitalized start up and organizational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32406B"/>
              </w:rPr>
              <w:t>Equity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32406B"/>
              </w:rPr>
              <w:t>Derivative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32406B"/>
              </w:rPr>
              <w:t>Licensing agreements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32406B"/>
              </w:rPr>
              <w:t>Accruals and 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Total deferred tax 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1,898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6,486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32406B"/>
              </w:rPr>
              <w:t>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32406B"/>
                <w:w w:val="91"/>
              </w:rPr>
              <w:t>(1,898)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32406B"/>
                <w:w w:val="91"/>
              </w:rPr>
              <w:t>(6,466)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Net deferred tax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32406B"/>
              </w:rPr>
              <w:t>Deferred tax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32406B"/>
              </w:rPr>
              <w:t>Property and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32406B"/>
              </w:rPr>
              <w:t>Total deferred tax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32406B"/>
        </w:rPr>
        <w:t>The Company has evaluated the positive and negative evidence bearing upon the realizability of its deferred tax assets. As of December 31, 2016 and 2017, based on the Company’s history of operating losses, the Company has concluded that it is not more likely than not that the benefit of its deferred tax assets will be realized. Accordingly, the Company has provided a full valuation allowance for deferred tax assets as of December 31, 2016 and 2017. The valuation allowance increased $1,898 and $4,568 during the years ended December 31, 2016 and 2017, respectively, due primarily to net operating losses generated.</w:t>
      </w:r>
    </w:p>
    <w:p>
      <w:pPr>
        <w:spacing w:after="0" w:line="18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32406B"/>
        </w:rPr>
        <w:t>As of December 31, 2016 and 2017, the Company had U.S. federal net operating loss carryforwards of $3,659 and $19,007, respectively, that may be available to offset future income tax liabilities. The TCJA will generally allow losses incurred after 2017 to be carried over indefinitely, but will generally limit the net operating loss deduction to the lesser of the net operating loss carryover or 80% of a corporation’s taxable income. Also, there will be no carryback for net operating losses incurred after 2017. Net operating losses incurred prior to 2018 will generally be deductible to the extent of the lesser of a corporation’s net operating loss carryover or 100% of a corporation’s taxable income, and be available to offset future taxable income for a period of twenty years.</w:t>
      </w:r>
    </w:p>
    <w:p>
      <w:pPr>
        <w:spacing w:after="0" w:line="19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The Company has early adopted the provisions of ASU 2016-09</w:t>
      </w:r>
      <w:r>
        <w:rPr>
          <w:rFonts w:ascii="Arial" w:cs="Arial" w:eastAsia="Arial" w:hAnsi="Arial"/>
          <w:sz w:val="18"/>
          <w:szCs w:val="18"/>
          <w:i w:val="1"/>
          <w:iCs w:val="1"/>
          <w:color w:val="32406B"/>
        </w:rPr>
        <w:t>, Compensation—Stock Compensation (Topic 718 Improvements to Employee</w:t>
      </w:r>
      <w:r>
        <w:rPr>
          <w:rFonts w:ascii="Arial" w:cs="Arial" w:eastAsia="Arial" w:hAnsi="Arial"/>
          <w:sz w:val="18"/>
          <w:szCs w:val="18"/>
          <w:color w:val="32406B"/>
        </w:rPr>
        <w:t xml:space="preserve"> </w:t>
      </w:r>
      <w:r>
        <w:rPr>
          <w:rFonts w:ascii="Arial" w:cs="Arial" w:eastAsia="Arial" w:hAnsi="Arial"/>
          <w:sz w:val="18"/>
          <w:szCs w:val="18"/>
          <w:i w:val="1"/>
          <w:iCs w:val="1"/>
          <w:color w:val="32406B"/>
        </w:rPr>
        <w:t>Share-Based Payment Accounting)</w:t>
      </w:r>
      <w:r>
        <w:rPr>
          <w:rFonts w:ascii="Arial" w:cs="Arial" w:eastAsia="Arial" w:hAnsi="Arial"/>
          <w:sz w:val="18"/>
          <w:szCs w:val="18"/>
          <w:color w:val="32406B"/>
        </w:rPr>
        <w:t>, for its year ended December 31, 2016. ASU 2016-09 requires companies to include the benefit of an option</w:t>
      </w:r>
      <w:r>
        <w:rPr>
          <w:rFonts w:ascii="Arial" w:cs="Arial" w:eastAsia="Arial" w:hAnsi="Arial"/>
          <w:sz w:val="18"/>
          <w:szCs w:val="18"/>
          <w:i w:val="1"/>
          <w:iCs w:val="1"/>
          <w:color w:val="32406B"/>
        </w:rPr>
        <w:t xml:space="preserve"> </w:t>
      </w:r>
      <w:r>
        <w:rPr>
          <w:rFonts w:ascii="Arial" w:cs="Arial" w:eastAsia="Arial" w:hAnsi="Arial"/>
          <w:sz w:val="18"/>
          <w:szCs w:val="18"/>
          <w:color w:val="32406B"/>
        </w:rPr>
        <w:t>deduction in its net operating loss carryforward deferred tax asset. The Company did not have any deductions associated with stock-based payments, and therefore the adoption of ASU 2016-09 did not impact the Company’s deferred tax asset for net operating loss carryforwards. Furthermore, since the Company has historically maintained a full valuation allowance on its net worldwide deferred tax asset, there is no net impact to retained earnings from the adoption of ASU 2016-09.</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F-30</w:t>
      </w:r>
    </w:p>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12. Income Taxes (continued)</w:t>
      </w:r>
    </w:p>
    <w:p>
      <w:pPr>
        <w:spacing w:after="0" w:line="13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32406B"/>
        </w:rPr>
        <w:t>As of December 31, 2016 and 2017, the Company also had U.S. state net operating loss carryforwards of $3,619 and $18,866, respectively, which may be available to offset future taxable income. These losses expire at various dates through 2037.</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32406B"/>
        </w:rPr>
        <w:t>As of December 31, 2016 and 2017, the Company does not have federal research and development tax credit carryforwards, as the Company qualifies for, and has elected to, apply such federal research credits against its payroll tax liability in accordance with certain provisions of the Internal Revenue Code. As of December 31, 2016 and 2017, the Company had state research and development tax credit carryforwards of approximately $30 and $119, respectively, available to reduce future tax liabilities which expire at various dates through 2032. For all years through December 31, 2017, the Company generated research credits but has not conducted a study to document the qualified activities. This study may result in an adjustment to the Company’s research and development credit carryforwards.</w:t>
      </w:r>
    </w:p>
    <w:p>
      <w:pPr>
        <w:spacing w:after="0" w:line="178" w:lineRule="exact"/>
        <w:rPr>
          <w:sz w:val="20"/>
          <w:szCs w:val="20"/>
          <w:color w:val="auto"/>
        </w:rPr>
      </w:pPr>
    </w:p>
    <w:p>
      <w:pPr>
        <w:ind w:left="200" w:right="200" w:firstLine="441"/>
        <w:spacing w:after="0" w:line="288" w:lineRule="auto"/>
        <w:rPr>
          <w:sz w:val="20"/>
          <w:szCs w:val="20"/>
          <w:color w:val="auto"/>
        </w:rPr>
      </w:pPr>
      <w:r>
        <w:rPr>
          <w:rFonts w:ascii="Arial" w:cs="Arial" w:eastAsia="Arial" w:hAnsi="Arial"/>
          <w:sz w:val="16"/>
          <w:szCs w:val="16"/>
          <w:color w:val="32406B"/>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w:t>
      </w:r>
    </w:p>
    <w:p>
      <w:pPr>
        <w:ind w:left="200" w:right="60"/>
        <w:spacing w:after="0" w:line="253" w:lineRule="auto"/>
        <w:rPr>
          <w:sz w:val="20"/>
          <w:szCs w:val="20"/>
          <w:color w:val="auto"/>
        </w:rPr>
      </w:pPr>
      <w:r>
        <w:rPr>
          <w:rFonts w:ascii="Arial" w:cs="Arial" w:eastAsia="Arial" w:hAnsi="Arial"/>
          <w:sz w:val="18"/>
          <w:szCs w:val="18"/>
          <w:color w:val="32406B"/>
        </w:rPr>
        <w:t>50 percent, as defined under Sections 382 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Subsequent ownership changes may further affect the limitation in future years. The Company has completed numerous financings since its inception, which may have resulted in a change in control as defined by Sections 382 and 383 of the Internal Revenue Code, or could result in a change in control in the future.</w:t>
      </w:r>
    </w:p>
    <w:p>
      <w:pPr>
        <w:spacing w:after="0" w:line="19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The Company files income tax returns in Australia, Canada, the United States, and in several states. The foreign, federal and state income tax returns are generally subject to tax examinations for the tax years ended December 31, 2015 through December 31, 2017. To the extent the Company has tax attribute carryforwards, the tax years in which the attribute was generated may still be adjusted upon examination by foreign tax authorities, the Internal Revenue Service, or state tax authorities to the extent utilized in a future period.</w:t>
      </w:r>
    </w:p>
    <w:p>
      <w:pPr>
        <w:spacing w:after="0" w:line="18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32406B"/>
        </w:rPr>
        <w:t>The TCJA was enacted in December 2017. Among other things, the TCJA reduces the U.S. federal corporate tax rate from 35% to 21% for tax years beginning in 2018, and requires companies to pay a one-time transition tax on previously unremitted earnings of non-U.S. subsidiaries that were previously tax deferred and creates new taxes on certain foreign sourced earnings. The SEC staff issued Staff Accounting Bulletin (“SAB”) 118, that provides guidance on accounting for enactment effects of the TCJA. SAB 118 provides a measurement period of up to one year from the TCJA’s enactment date for companies to complete their accounting under ASC 740. In accordance with SAB 118, to the extent that a company’s accounting for certain income tax effects of the TCJA is incomplete but it is able to determine a reasonable estimate, it must record a provisional estimate in its consolidated financial statements. If a company cannot determine a provisional estimate to be included in its consolidated financial statements, it should continue to apply ASC 740 on the basis of the provisions of the tax laws that were in effect immediately before the enactment of the TCJA.</w:t>
      </w:r>
    </w:p>
    <w:p>
      <w:pPr>
        <w:spacing w:after="0" w:line="166"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32406B"/>
        </w:rPr>
        <w:t>In connection with the Company’s initial analysis of the impact of the enactment of the TCJA, the Company has not recorded an income tax expense. For various reasons that are discussed more fully below, the Company has not completed its accounting for the income tax effects of certain elements of the TCJA. However, with</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F-31</w:t>
      </w:r>
    </w:p>
    <w:p>
      <w:pPr>
        <w:sectPr>
          <w:pgSz w:w="11900" w:h="16838" w:orient="portrait"/>
          <w:cols w:equalWidth="0" w:num="1">
            <w:col w:w="11220"/>
          </w:cols>
          <w:pgMar w:left="24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12. Income Taxes (continued)</w:t>
      </w:r>
    </w:p>
    <w:p>
      <w:pPr>
        <w:spacing w:after="0" w:line="135"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32406B"/>
        </w:rPr>
        <w:t>respect to the remeasurement of deferred tax assets and liabilities, the Company has remeasured its deferred tax assets and liabilities based on the rates at which they are expected to reverse in the future, which is generally 21% under the TCJA. The impact of the remeasurement of the Company’s deferred tax assets and liabilities is included in the rate reconciliation above.</w:t>
      </w:r>
    </w:p>
    <w:p>
      <w:pPr>
        <w:spacing w:after="0" w:line="18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32406B"/>
        </w:rPr>
        <w:t>The Company is still analyzing certain aspects of the TCJA, including considering additional technical guidance and refining its calculations, that could potentially affect the measurement of these balances or potentially give rise to new deferred tax amounts. This includes the potential impacts of the global low-taxed income (“GILTI”) provision within the TCJA on deferred tax assets and liabilities. The Company has not yet elected a policy as to whether it will recognize deferred taxes for basis differences expected to reverse as GILTI or whether the Company will account for GILTI as a period cost if and when incurred. Additionally, with respect to the transition tax, which is a tax on previously untaxed accumulated and current earnings and profits (E&amp;P) of certain of the Company’s non-U.S. subsidiaries. The Company is currently evaluating the impact of this issue, and has not finalized a conclusion at this time and therefore cannot determine a provisional estimate to be included in its consolidated financial statements, and in accordance with SAB 118 it will continue to apply ASC 740 on the basis of the provisions of the tax laws that were in effect immediately before the enactment of the TCJA.</w:t>
      </w:r>
    </w:p>
    <w:p>
      <w:pPr>
        <w:spacing w:after="0" w:line="286" w:lineRule="exact"/>
        <w:rPr>
          <w:sz w:val="20"/>
          <w:szCs w:val="20"/>
          <w:color w:val="auto"/>
        </w:rPr>
      </w:pPr>
    </w:p>
    <w:p>
      <w:pPr>
        <w:ind w:left="640" w:right="5720" w:hanging="436"/>
        <w:spacing w:after="0" w:line="425" w:lineRule="auto"/>
        <w:tabs>
          <w:tab w:leader="none" w:pos="469" w:val="left"/>
        </w:tabs>
        <w:numPr>
          <w:ilvl w:val="0"/>
          <w:numId w:val="111"/>
        </w:numPr>
        <w:rPr>
          <w:rFonts w:ascii="Arial" w:cs="Arial" w:eastAsia="Arial" w:hAnsi="Arial"/>
          <w:sz w:val="16"/>
          <w:szCs w:val="16"/>
          <w:b w:val="1"/>
          <w:bCs w:val="1"/>
          <w:color w:val="32406B"/>
        </w:rPr>
      </w:pPr>
      <w:r>
        <w:rPr>
          <w:rFonts w:ascii="Arial" w:cs="Arial" w:eastAsia="Arial" w:hAnsi="Arial"/>
          <w:sz w:val="16"/>
          <w:szCs w:val="16"/>
          <w:b w:val="1"/>
          <w:bCs w:val="1"/>
          <w:color w:val="32406B"/>
        </w:rPr>
        <w:t xml:space="preserve">Net Loss per Share and Unaudited Pro Forma Net Loss per Share </w:t>
      </w:r>
      <w:r>
        <w:rPr>
          <w:rFonts w:ascii="Arial" w:cs="Arial" w:eastAsia="Arial" w:hAnsi="Arial"/>
          <w:sz w:val="16"/>
          <w:szCs w:val="16"/>
          <w:b w:val="1"/>
          <w:bCs w:val="1"/>
          <w:i w:val="1"/>
          <w:iCs w:val="1"/>
          <w:color w:val="32406B"/>
        </w:rPr>
        <w:t>Net Loss per Share Attributable to Common Stockholders</w:t>
      </w:r>
    </w:p>
    <w:p>
      <w:pPr>
        <w:spacing w:after="0" w:line="1"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32406B"/>
        </w:rPr>
        <w:t>For purposes of the diluted net loss per share calculation, stock options, unvested restricted stock, Preferred Stock and the warrant to purchase shares of Series A Preferred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7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32406B"/>
        </w:rPr>
        <w:t>The following potentially dilutive common stock equivalents, presented based on amounts outstanding at each period end, were excluded from the computation of diluted net loss per share attributable to common stockholders for the periods indicated because including them would have had an anti-dilutive effect:</w:t>
      </w:r>
    </w:p>
    <w:p>
      <w:pPr>
        <w:spacing w:after="0" w:line="200" w:lineRule="exact"/>
        <w:rPr>
          <w:sz w:val="20"/>
          <w:szCs w:val="20"/>
          <w:color w:val="auto"/>
        </w:rPr>
      </w:pPr>
    </w:p>
    <w:p>
      <w:pPr>
        <w:jc w:val="center"/>
        <w:ind w:left="8960"/>
        <w:spacing w:after="0"/>
        <w:rPr>
          <w:sz w:val="20"/>
          <w:szCs w:val="20"/>
          <w:color w:val="auto"/>
        </w:rPr>
      </w:pPr>
      <w:r>
        <w:rPr>
          <w:rFonts w:ascii="Arial" w:cs="Arial" w:eastAsia="Arial" w:hAnsi="Arial"/>
          <w:sz w:val="14"/>
          <w:szCs w:val="14"/>
          <w:b w:val="1"/>
          <w:bCs w:val="1"/>
          <w:color w:val="32406B"/>
        </w:rPr>
        <w:t>Year Ended</w:t>
      </w:r>
    </w:p>
    <w:p>
      <w:pPr>
        <w:jc w:val="center"/>
        <w:ind w:left="8960"/>
        <w:spacing w:after="0" w:line="236" w:lineRule="auto"/>
        <w:rPr>
          <w:sz w:val="20"/>
          <w:szCs w:val="20"/>
          <w:color w:val="auto"/>
        </w:rPr>
      </w:pPr>
      <w:r>
        <w:rPr>
          <w:rFonts w:ascii="Arial" w:cs="Arial" w:eastAsia="Arial" w:hAnsi="Arial"/>
          <w:sz w:val="14"/>
          <w:szCs w:val="14"/>
          <w:b w:val="1"/>
          <w:bCs w:val="1"/>
          <w:color w:val="32406B"/>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32406B"/>
              </w:rPr>
              <w:t>2016</w:t>
            </w:r>
          </w:p>
        </w:tc>
        <w:tc>
          <w:tcPr>
            <w:tcW w:w="26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32406B"/>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32406B"/>
              </w:rPr>
              <w:t>Options to purchase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599,439</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1,034,961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32406B"/>
              </w:rPr>
              <w:t>Restricted common stock</w:t>
            </w:r>
          </w:p>
        </w:tc>
        <w:tc>
          <w:tcPr>
            <w:tcW w:w="820" w:type="dxa"/>
            <w:vAlign w:val="bottom"/>
          </w:tcPr>
          <w:p>
            <w:pPr>
              <w:jc w:val="right"/>
              <w:spacing w:after="0"/>
              <w:rPr>
                <w:sz w:val="20"/>
                <w:szCs w:val="20"/>
                <w:color w:val="auto"/>
              </w:rPr>
            </w:pPr>
            <w:r>
              <w:rPr>
                <w:rFonts w:ascii="Arial" w:cs="Arial" w:eastAsia="Arial" w:hAnsi="Arial"/>
                <w:sz w:val="18"/>
                <w:szCs w:val="18"/>
                <w:color w:val="32406B"/>
              </w:rPr>
              <w:t>409,406</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2406B"/>
              </w:rPr>
              <w:t>276,301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32406B"/>
              </w:rPr>
              <w:t>Redeemable convertible preferred stock (as converted to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2,189,644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8,418,149</w:t>
            </w: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020" w:type="dxa"/>
            <w:vAlign w:val="bottom"/>
          </w:tcPr>
          <w:p>
            <w:pPr>
              <w:spacing w:after="0" w:line="201" w:lineRule="exact"/>
              <w:rPr>
                <w:sz w:val="20"/>
                <w:szCs w:val="20"/>
                <w:color w:val="auto"/>
              </w:rPr>
            </w:pPr>
            <w:r>
              <w:rPr>
                <w:rFonts w:ascii="Arial" w:cs="Arial" w:eastAsia="Arial" w:hAnsi="Arial"/>
                <w:sz w:val="18"/>
                <w:szCs w:val="18"/>
                <w:color w:val="32406B"/>
              </w:rPr>
              <w:t>Warrants to purchase redeemable convertible preferred stock (as converted</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32406B"/>
              </w:rPr>
              <w:t>to common stock)</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40" w:type="dxa"/>
            <w:vAlign w:val="bottom"/>
          </w:tcPr>
          <w:p>
            <w:pPr>
              <w:jc w:val="right"/>
              <w:spacing w:after="0"/>
              <w:rPr>
                <w:sz w:val="20"/>
                <w:szCs w:val="20"/>
                <w:color w:val="auto"/>
              </w:rPr>
            </w:pPr>
            <w:r>
              <w:rPr>
                <w:rFonts w:ascii="Arial" w:cs="Arial" w:eastAsia="Arial" w:hAnsi="Arial"/>
                <w:sz w:val="18"/>
                <w:szCs w:val="18"/>
                <w:color w:val="32406B"/>
              </w:rPr>
              <w:t>6,850</w:t>
            </w:r>
          </w:p>
        </w:tc>
        <w:tc>
          <w:tcPr>
            <w:tcW w:w="80" w:type="dxa"/>
            <w:vAlign w:val="bottom"/>
          </w:tcPr>
          <w:p>
            <w:pPr>
              <w:spacing w:after="0"/>
              <w:rPr>
                <w:sz w:val="20"/>
                <w:szCs w:val="20"/>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Unaudited Pro Forma Net Loss per Share Attributable to Common Stockholders</w:t>
      </w:r>
    </w:p>
    <w:p>
      <w:pPr>
        <w:spacing w:after="0" w:line="117"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32406B"/>
        </w:rPr>
        <w:t>The unaudited pro forma basic and diluted net loss per share attributable to common stockholders for the year ended December 31, 2017 has been prepared to give effect to adjustments arising upon the closing of a qualified IPO. The unaudited pro forma net loss attributable to common stockholders used in the calculation of unaudited pro forma basic and diluted net loss per share attributable to common stockholders does not include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F-32</w:t>
      </w:r>
    </w:p>
    <w:p>
      <w:pPr>
        <w:sectPr>
          <w:pgSz w:w="11900" w:h="16838" w:orient="portrait"/>
          <w:cols w:equalWidth="0" w:num="1">
            <w:col w:w="11240"/>
          </w:cols>
          <w:pgMar w:left="240" w:top="460" w:right="4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13. Net Loss per Share and Unaudited Pro Forma Net Loss per Share (continued)</w:t>
      </w:r>
    </w:p>
    <w:p>
      <w:pPr>
        <w:spacing w:after="0" w:line="135"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32406B"/>
        </w:rPr>
        <w:t>the effects of the accretion of Preferred Stock to redemption value or the change in fair value of the warrant to purchase shares of Series A Preferred Stock because the calculation gives effect to the conversion of shares of Preferred Stock outstanding as of December 31, 2017 into common stock and the conversion of the warrant to purchase shares of Series A Preferred Stock outstanding as of December 31, 2017 into a warrant to purchase shares of common stock, as if such conversion had occurred at the beginning of the period presented or the date of original issuance, whichever is later.</w:t>
      </w:r>
    </w:p>
    <w:p>
      <w:pPr>
        <w:spacing w:after="0" w:line="15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32406B"/>
        </w:rPr>
        <w:t>A reconciliation of pro forma net loss and the pro forma weighted-average number of common shares used in computing pro forma basic and diluted net loss per share applicable to common stockholders is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6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32406B"/>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32406B"/>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32406B"/>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6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32406B"/>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Arial" w:cs="Arial" w:eastAsia="Arial" w:hAnsi="Arial"/>
                <w:sz w:val="18"/>
                <w:szCs w:val="18"/>
                <w:color w:val="32406B"/>
              </w:rPr>
              <w:t>Numerator: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tcPr>
          <w:p>
            <w:pPr>
              <w:ind w:left="340"/>
              <w:spacing w:after="0"/>
              <w:rPr>
                <w:sz w:val="20"/>
                <w:szCs w:val="20"/>
                <w:color w:val="auto"/>
              </w:rPr>
            </w:pPr>
            <w:r>
              <w:rPr>
                <w:rFonts w:ascii="Arial" w:cs="Arial" w:eastAsia="Arial" w:hAnsi="Arial"/>
                <w:sz w:val="18"/>
                <w:szCs w:val="18"/>
                <w:color w:val="32406B"/>
              </w:rPr>
              <w:t>Net loss attributable to common stockholders</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rPr>
              <w:t>(18,733)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Accretion of issuance costs on redeemable convertible preferred stock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60" w:type="dxa"/>
            <w:vAlign w:val="bottom"/>
          </w:tcPr>
          <w:p>
            <w:pPr>
              <w:ind w:left="340"/>
              <w:spacing w:after="0"/>
              <w:rPr>
                <w:sz w:val="20"/>
                <w:szCs w:val="20"/>
                <w:color w:val="auto"/>
              </w:rPr>
            </w:pPr>
            <w:r>
              <w:rPr>
                <w:rFonts w:ascii="Arial" w:cs="Arial" w:eastAsia="Arial" w:hAnsi="Arial"/>
                <w:sz w:val="18"/>
                <w:szCs w:val="18"/>
                <w:color w:val="32406B"/>
              </w:rPr>
              <w:t>Change in the fair value of preferred stock warrant liability</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Pro forma net loss attributable to common stockholders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(18,631)</w:t>
            </w:r>
          </w:p>
        </w:tc>
        <w:tc>
          <w:tcPr>
            <w:tcW w:w="0" w:type="dxa"/>
            <w:vAlign w:val="bottom"/>
          </w:tcPr>
          <w:p>
            <w:pPr>
              <w:spacing w:after="0"/>
              <w:rPr>
                <w:sz w:val="1"/>
                <w:szCs w:val="1"/>
                <w:color w:val="auto"/>
              </w:rPr>
            </w:pPr>
          </w:p>
        </w:tc>
      </w:tr>
      <w:tr>
        <w:trPr>
          <w:trHeight w:val="20"/>
        </w:trPr>
        <w:tc>
          <w:tcPr>
            <w:tcW w:w="10080" w:type="dxa"/>
            <w:vAlign w:val="bottom"/>
            <w:gridSpan w:val="2"/>
            <w:vMerge w:val="restart"/>
          </w:tcPr>
          <w:p>
            <w:pPr>
              <w:spacing w:after="0"/>
              <w:rPr>
                <w:sz w:val="20"/>
                <w:szCs w:val="20"/>
                <w:color w:val="auto"/>
              </w:rPr>
            </w:pPr>
            <w:r>
              <w:rPr>
                <w:rFonts w:ascii="Arial" w:cs="Arial" w:eastAsia="Arial" w:hAnsi="Arial"/>
                <w:sz w:val="18"/>
                <w:szCs w:val="18"/>
                <w:color w:val="32406B"/>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6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8"/>
              </w:rPr>
              <w:t>Weighted-average number of common shares used in computing net loss per share attributable to common stockholders—basic</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6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and diluted</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2,235,865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60" w:type="dxa"/>
            <w:vAlign w:val="bottom"/>
          </w:tcPr>
          <w:p>
            <w:pPr>
              <w:spacing w:after="0" w:line="201" w:lineRule="exact"/>
              <w:rPr>
                <w:sz w:val="20"/>
                <w:szCs w:val="20"/>
                <w:color w:val="auto"/>
              </w:rPr>
            </w:pPr>
            <w:r>
              <w:rPr>
                <w:rFonts w:ascii="Arial" w:cs="Arial" w:eastAsia="Arial" w:hAnsi="Arial"/>
                <w:sz w:val="18"/>
                <w:szCs w:val="18"/>
                <w:color w:val="32406B"/>
              </w:rPr>
              <w:t>Pro forma adjustment to reflect assumed conversion of redeemable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60" w:type="dxa"/>
            <w:vAlign w:val="bottom"/>
          </w:tcPr>
          <w:p>
            <w:pPr>
              <w:ind w:left="160"/>
              <w:spacing w:after="0"/>
              <w:rPr>
                <w:sz w:val="20"/>
                <w:szCs w:val="20"/>
                <w:color w:val="auto"/>
              </w:rPr>
            </w:pPr>
            <w:r>
              <w:rPr>
                <w:rFonts w:ascii="Arial" w:cs="Arial" w:eastAsia="Arial" w:hAnsi="Arial"/>
                <w:sz w:val="18"/>
                <w:szCs w:val="18"/>
                <w:color w:val="32406B"/>
              </w:rPr>
              <w:t>convertible preferred stock into common stock</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9"/>
              </w:rPr>
              <w:t>4,686,308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6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8"/>
              </w:rPr>
              <w:t>Pro forma weighted-average number of common shares used in computing pro forma net loss per share attributable to common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6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stockholders—basic and diluted</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9"/>
              </w:rPr>
              <w:t>6,922,173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80" w:type="dxa"/>
            <w:vAlign w:val="bottom"/>
            <w:gridSpan w:val="2"/>
          </w:tcPr>
          <w:p>
            <w:pPr>
              <w:spacing w:after="0"/>
              <w:rPr>
                <w:sz w:val="20"/>
                <w:szCs w:val="20"/>
                <w:color w:val="auto"/>
              </w:rPr>
            </w:pPr>
            <w:r>
              <w:rPr>
                <w:rFonts w:ascii="Arial" w:cs="Arial" w:eastAsia="Arial" w:hAnsi="Arial"/>
                <w:sz w:val="18"/>
                <w:szCs w:val="18"/>
                <w:color w:val="32406B"/>
              </w:rPr>
              <w:t>Pro forma net loss per share attributable to common stockholders—basic and diluted</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rPr>
              <w:t>(2.69)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right="8220" w:hanging="436"/>
        <w:spacing w:after="0" w:line="425" w:lineRule="auto"/>
        <w:tabs>
          <w:tab w:leader="none" w:pos="469" w:val="left"/>
        </w:tabs>
        <w:numPr>
          <w:ilvl w:val="0"/>
          <w:numId w:val="112"/>
        </w:numPr>
        <w:rPr>
          <w:rFonts w:ascii="Arial" w:cs="Arial" w:eastAsia="Arial" w:hAnsi="Arial"/>
          <w:sz w:val="16"/>
          <w:szCs w:val="16"/>
          <w:b w:val="1"/>
          <w:bCs w:val="1"/>
          <w:color w:val="32406B"/>
        </w:rPr>
      </w:pPr>
      <w:r>
        <w:rPr>
          <w:rFonts w:ascii="Arial" w:cs="Arial" w:eastAsia="Arial" w:hAnsi="Arial"/>
          <w:sz w:val="16"/>
          <w:szCs w:val="16"/>
          <w:b w:val="1"/>
          <w:bCs w:val="1"/>
          <w:color w:val="32406B"/>
        </w:rPr>
        <w:t xml:space="preserve">Commitments and Contingencies </w:t>
      </w:r>
      <w:r>
        <w:rPr>
          <w:rFonts w:ascii="Arial" w:cs="Arial" w:eastAsia="Arial" w:hAnsi="Arial"/>
          <w:sz w:val="16"/>
          <w:szCs w:val="16"/>
          <w:b w:val="1"/>
          <w:bCs w:val="1"/>
          <w:i w:val="1"/>
          <w:iCs w:val="1"/>
          <w:color w:val="32406B"/>
        </w:rPr>
        <w:t>Lease Agreements</w:t>
      </w:r>
    </w:p>
    <w:p>
      <w:pPr>
        <w:spacing w:after="0" w:line="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32406B"/>
        </w:rPr>
        <w:t>In January 2016, the Company entered into a sub-lease agreement for office space located in Cambridge Massachusetts, United States, which was a month to month rental. In February 2017, the Company terminated the office lease agreement.</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32406B"/>
        </w:rPr>
        <w:t>In September 2016, the Company entered into a lease agreement for office space located in Cambridge Massachusetts, United States, which expires on March 31, 2024. The base rent will be increased by 3% annually. The Company recognizes rent expense on a straight-line basis over the lease period and has recorded deferred rent for rent expense incurred but not yet paid. The Company received a tenant incentive allowance of $100 in 2017. Such incentive allowance is being amortized as a reduction of rent expense on a straight-line basis over the lease period. In accordance with the lease agreement, the Company was required to maintain a security deposit of $24. The Company issued a letter of credit to the landlord related to the security deposit and the letter of credit is secured by restricted cash, which is recorded in other assets on the accompanying consolidated balance sheets.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F-33</w:t>
      </w:r>
    </w:p>
    <w:p>
      <w:pPr>
        <w:sectPr>
          <w:pgSz w:w="11900" w:h="16838" w:orient="portrait"/>
          <w:cols w:equalWidth="0" w:num="1">
            <w:col w:w="11240"/>
          </w:cols>
          <w:pgMar w:left="240" w:top="460" w:right="4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14. Commitments and Contingencies (continued)</w:t>
      </w:r>
    </w:p>
    <w:p>
      <w:pPr>
        <w:spacing w:after="0" w:line="135"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32406B"/>
        </w:rPr>
        <w:t>In August 2017, the Company entered into a sub-lease agreement for laboratory space located in Cambridge Massachusetts, United States, which expires in August 2020. The annual lease payments are subject to a 3% increase each year. The Company recognizes rent expense on a straight-line basis over the lease period and has recorded deferred rent for rent expense incurred but not yet paid.</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32406B"/>
                <w:w w:val="96"/>
              </w:rPr>
              <w:t>The Company recorded rent expense of $78 and $335 during the years ended December 31, 2016 and 2017, respectively.</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32406B"/>
                <w:w w:val="96"/>
              </w:rPr>
              <w:t>The following table summarizes the future minimum lease payments due under operating leases as of December 31, 2017:</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9"/>
        </w:trPr>
        <w:tc>
          <w:tcPr>
            <w:tcW w:w="9860" w:type="dxa"/>
            <w:vAlign w:val="bottom"/>
            <w:gridSpan w:val="3"/>
          </w:tcPr>
          <w:p>
            <w:pPr>
              <w:spacing w:after="0"/>
              <w:rPr>
                <w:sz w:val="20"/>
                <w:szCs w:val="20"/>
                <w:color w:val="auto"/>
              </w:rPr>
            </w:pPr>
            <w:r>
              <w:rPr>
                <w:rFonts w:ascii="Arial" w:cs="Arial" w:eastAsia="Arial" w:hAnsi="Arial"/>
                <w:sz w:val="14"/>
                <w:szCs w:val="14"/>
                <w:b w:val="1"/>
                <w:bCs w:val="1"/>
                <w:color w:val="32406B"/>
              </w:rPr>
              <w:t>Year Ending December 31,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32406B"/>
              </w:rPr>
              <w:t>2018</w:t>
            </w:r>
          </w:p>
        </w:tc>
        <w:tc>
          <w:tcPr>
            <w:tcW w:w="8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32406B"/>
              </w:rPr>
              <w:t>$</w:t>
            </w:r>
          </w:p>
        </w:tc>
        <w:tc>
          <w:tcPr>
            <w:tcW w:w="4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32406B"/>
              </w:rPr>
              <w:t>395</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32406B"/>
              </w:rPr>
              <w:t>2019</w:t>
            </w:r>
          </w:p>
        </w:tc>
        <w:tc>
          <w:tcPr>
            <w:tcW w:w="8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32406B"/>
              </w:rPr>
              <w:t>380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32406B"/>
              </w:rPr>
              <w:t>2020</w:t>
            </w:r>
          </w:p>
        </w:tc>
        <w:tc>
          <w:tcPr>
            <w:tcW w:w="8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302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32406B"/>
              </w:rPr>
              <w:t>2021</w:t>
            </w:r>
          </w:p>
        </w:tc>
        <w:tc>
          <w:tcPr>
            <w:tcW w:w="8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32406B"/>
              </w:rPr>
              <w:t>168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32406B"/>
              </w:rPr>
              <w:t>2022</w:t>
            </w:r>
          </w:p>
        </w:tc>
        <w:tc>
          <w:tcPr>
            <w:tcW w:w="8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32406B"/>
              </w:rPr>
              <w:t>Thereafter</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223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8"/>
              </w:rPr>
              <w:t>1,641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Legal Proceedings</w:t>
      </w:r>
    </w:p>
    <w:p>
      <w:pPr>
        <w:spacing w:after="0" w:line="117"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32406B"/>
        </w:rPr>
        <w:t>The Company, from time to time, may be party to litigation arising in the ordinary course of business. The Company was not subject to any material legal proceedings during the years ended December 31, 2016 and 2017, and, to the best of its knowledge, no material legal proceedings are currently pending or threatened.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Other</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32406B"/>
        </w:rPr>
        <w:t>The Company is also party to various agreements, principally relating to licensed technology, that require future payments relating to milestones not met at December 31, 2016 and 2017, or royalties on future sales of specified products. No milestone or royalty payments under these agreements are expected to be payable in the immediate future. See Note 11 for discussion of these arrangements.</w:t>
      </w:r>
    </w:p>
    <w:p>
      <w:pPr>
        <w:spacing w:after="0" w:line="18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32406B"/>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69" w:lineRule="exact"/>
        <w:rPr>
          <w:sz w:val="20"/>
          <w:szCs w:val="20"/>
          <w:color w:val="auto"/>
        </w:rPr>
      </w:pPr>
    </w:p>
    <w:p>
      <w:pPr>
        <w:ind w:left="480" w:hanging="276"/>
        <w:spacing w:after="0"/>
        <w:tabs>
          <w:tab w:leader="none" w:pos="480" w:val="left"/>
        </w:tabs>
        <w:numPr>
          <w:ilvl w:val="0"/>
          <w:numId w:val="113"/>
        </w:numPr>
        <w:rPr>
          <w:rFonts w:ascii="Arial" w:cs="Arial" w:eastAsia="Arial" w:hAnsi="Arial"/>
          <w:sz w:val="18"/>
          <w:szCs w:val="18"/>
          <w:b w:val="1"/>
          <w:bCs w:val="1"/>
          <w:color w:val="32406B"/>
        </w:rPr>
      </w:pPr>
      <w:r>
        <w:rPr>
          <w:rFonts w:ascii="Arial" w:cs="Arial" w:eastAsia="Arial" w:hAnsi="Arial"/>
          <w:sz w:val="18"/>
          <w:szCs w:val="18"/>
          <w:b w:val="1"/>
          <w:bCs w:val="1"/>
          <w:color w:val="32406B"/>
        </w:rPr>
        <w:t>Related Party Transactions</w:t>
      </w:r>
    </w:p>
    <w:p>
      <w:pPr>
        <w:spacing w:after="0" w:line="121" w:lineRule="exact"/>
        <w:rPr>
          <w:rFonts w:ascii="Arial" w:cs="Arial" w:eastAsia="Arial" w:hAnsi="Arial"/>
          <w:sz w:val="18"/>
          <w:szCs w:val="18"/>
          <w:b w:val="1"/>
          <w:bCs w:val="1"/>
          <w:color w:val="32406B"/>
        </w:rPr>
      </w:pPr>
    </w:p>
    <w:p>
      <w:pPr>
        <w:ind w:left="640"/>
        <w:spacing w:after="0"/>
        <w:rPr>
          <w:rFonts w:ascii="Arial" w:cs="Arial" w:eastAsia="Arial" w:hAnsi="Arial"/>
          <w:sz w:val="18"/>
          <w:szCs w:val="18"/>
          <w:b w:val="1"/>
          <w:bCs w:val="1"/>
          <w:color w:val="32406B"/>
        </w:rPr>
      </w:pPr>
      <w:r>
        <w:rPr>
          <w:rFonts w:ascii="Arial" w:cs="Arial" w:eastAsia="Arial" w:hAnsi="Arial"/>
          <w:sz w:val="18"/>
          <w:szCs w:val="18"/>
          <w:b w:val="1"/>
          <w:bCs w:val="1"/>
          <w:i w:val="1"/>
          <w:iCs w:val="1"/>
          <w:color w:val="32406B"/>
        </w:rPr>
        <w:t>UHN</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32406B"/>
        </w:rPr>
        <w:t>In connection with the Company’s entry into a license agreement with UHN (Note 11) on January 27, 2016, the Company issued UHN 4,800,000 shares of its common stock. As a result of the issuance of common stock,</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F-34</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15. Related Party Transactions (continued)</w:t>
      </w:r>
    </w:p>
    <w:p>
      <w:pPr>
        <w:spacing w:after="0" w:line="135"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32406B"/>
        </w:rPr>
        <w:t>UHN owned 21.63% and 9.65% of the Company’s fully diluted equity as of December 31, 2016 and 2017, respectively. Upon the closing of the sale of shares of common stock in an IPO, if UHN’s fully-diluted percentage ownership of the Company is reduced within a range of specified percentages, then the Company is obligated to pay UHN an amount up to $2,000. See Note 3 for further discussion on the accounting treatment for this provision.</w:t>
      </w:r>
    </w:p>
    <w:p>
      <w:pPr>
        <w:spacing w:after="0" w:line="14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32406B"/>
        </w:rPr>
        <w:t>During the years ended December 31, 2016 and 2017, the Company recognized $872 and $167 respectively, of research and development expense related to the license agreements with UHN. Refer to Note 11 for additional information regarding the UHN license agreements.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The Company recorded research and development expenses of $7 and $3 related to participation on the scientific advisory board and consulting services performed by a member of the Board who is affiliated with UHN during the years ended December 31, 2016 and 2017, respectively. As of December 31, 2016 and 2017, there was $7 and $10, respectively, included in accrued expenses on the Company’s consolidated balance sheets related to these services.</w:t>
      </w:r>
    </w:p>
    <w:p>
      <w:pPr>
        <w:spacing w:after="0" w:line="18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32406B"/>
        </w:rPr>
        <w:t>For the years ended December 31, 2016 and 2017 the Company recorded expenses of $13 and $86, respectively, related to consulting services provided by an entity affiliated with an officer of the Company and a member of the Board. The entity is also a shareholder of the Company and owned 2.25% and 1.00% of the Company’s fully diluted equity as of December 31, 2016 and 2017, respectively.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Others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32406B"/>
        </w:rPr>
        <w:t>For the years ended December 31, 2016 and 2017, the Company recorded expenses of $78 and $15, respectively, related to services provided by an entity affiliated with a member of the Board and the use of office space.</w:t>
      </w:r>
    </w:p>
    <w:p>
      <w:pPr>
        <w:spacing w:after="0" w:line="17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32406B"/>
        </w:rPr>
        <w:t>In August 2017, the Company entered into a sub-lease agreement with an entity affiliated with the Company’s CEO. The executive resigned from the affiliated entity in September 2017. The Company recorded rent expense of $31 under this sub-lease agreement prior to such resignation for the two month period in 2017.</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See Note 14 for additional information on the terms of these sublease agreements.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16. Benefit Plans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32406B"/>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Matching contributions to the plan may be made at the discretion of the Company’s Board. The Company made no contributions to the plan during the years ended December 31, 2016 and 2017.</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17. Subsequent Events</w:t>
      </w:r>
    </w:p>
    <w:p>
      <w:pPr>
        <w:spacing w:after="0" w:line="12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32406B"/>
        </w:rPr>
        <w:t>The Company has completed an evaluation of all subsequent events after the audited balance sheet date of December 31, 2017 through the filing date of this Registration Statement on Form S-1 with the SEC, to ensure that these consolidated financial statements include appropriate disclosure of events both recognized in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F-35</w:t>
      </w:r>
    </w:p>
    <w:p>
      <w:pPr>
        <w:sectPr>
          <w:pgSz w:w="11900" w:h="16838" w:orient="portrait"/>
          <w:cols w:equalWidth="0" w:num="1">
            <w:col w:w="11200"/>
          </w:cols>
          <w:pgMar w:left="240" w:top="460"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17. Subsequent Events (continued)</w:t>
      </w:r>
    </w:p>
    <w:p>
      <w:pPr>
        <w:spacing w:after="0" w:line="135"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32406B"/>
        </w:rPr>
        <w:t>consolidated financial statements as of December 31, 2017, and events which occurred subsequently but were not recognized in the consolidated financial statements. The Company has concluded that no subsequent events have occurred that require disclosure, except as disclosed within these consolidated financial statements and except as described below.</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 Subsequent Events Through April 6, 2018</w:t>
      </w:r>
    </w:p>
    <w:p>
      <w:pPr>
        <w:spacing w:after="0" w:line="225"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32406B"/>
        </w:rPr>
        <w:t>On January 12, 2018, the Company entered into a lease agreement for office space located in Cambridge Massachusetts, United States, which expires in January 2023, with a landlord who is an affiliate of the landlord of the Company’s current lease facility. In accordance with the lease agreement, the Company is required to maintain a security deposit of $209. In contemplation of this agreement, the Company terminated its existing lease agreement.</w:t>
      </w:r>
    </w:p>
    <w:p>
      <w:pPr>
        <w:spacing w:after="0" w:line="18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32406B"/>
        </w:rPr>
        <w:t>On January 19, 2018, the Company entered into a stock purchase agreement for the sale of 28,285,557 shares of Series B Preferred Stock for $2.1389 per share. The total gross proceeds received were $60,500. In addition, the Company issued 233,765 shares of Series B Preferred Stock to BioMarin as required by the Company’s license agreement with BioMarin (Note 11). The rights and preferences of the Series B Preferred Stock are similar to the Company’s Series A Preferred Stock, in that holders of outstanding Series B Preferred Stock have priority and preference to Series Seed Preferred Stock and common stock in the case of a liquidation or redemption event. The issue price of the Series B Preferred Stock is $2.1389 per share, and each share of Series B Preferred Stock is convertible into 0.242 shares of common stock.</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In January 2018, the Company granted 753,789 stock options with an exercise price of $5.00 per share.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(b) Subsequent Events Through June 11, 2018</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Reverse Stock Split</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On June 1, 2018, the Board approved a 1-for-4.132 reverse stock split of the Company’s common stock. The reverse stock split was approved by the stockholders on June 7, 2018 and became effective on June 8 2018. Stockholders entitled to fractional shares as a result of the reverse stock split will receive a cash payment in lieu of receiving fractional shares. All share and per share data shown in the accompanying consolidated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and the respective conversion prices were proportionately increased.</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2018 Stock Option and Incentive Plan</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The AVROBIO, Inc. 2018 Stock Option and Incentive Plan (the 2018 Plan) was adopted by the Board June 1, 2018 and approved by stockholders on June 7, 2018 and will become effective upon the effectiveness of the Company’s Registration Statement on Form S-1. The 2018 Plan will replace the 2015 Plan as the Board determined not to make additional awards under the 2015 Plan following the pricing of the Company’s IPO. The 2018 Plan allows the compensation committee to make equity-based and cash-based incentive awards to our officers, employees, directors and other key persons (including consultants).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F-36</w:t>
      </w:r>
    </w:p>
    <w:p>
      <w:pPr>
        <w:sectPr>
          <w:pgSz w:w="11900" w:h="16838" w:orient="portrait"/>
          <w:cols w:equalWidth="0" w:num="1">
            <w:col w:w="11200"/>
          </w:cols>
          <w:pgMar w:left="24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32406B"/>
        </w:rPr>
        <w:t>NOTES TO CONSOLIDATED FINANCIAL STATEMENTS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17. Subsequent Events (continued)</w:t>
      </w:r>
    </w:p>
    <w:p>
      <w:pPr>
        <w:spacing w:after="0" w:line="13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The Company initially reserved 616,300 shares of our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our compensation committee. This number is subject to adjustment in the event of a stock split, stock dividend or other change in our capitalization.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2018 Employee Stock Purchase Plan</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32406B"/>
        </w:rPr>
        <w:t>The AVROBIO, Inc. 2018 Employee Stock Purchase Plan (the ESPP) was adopted by the Board on June 1, 2018 and approved by stockholders on June 7, 2018 and will become effective upon the effectiveness of the Company’s Registration Statement on Form S-1. The ESPP is intended to qualify as an “employee stock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 on January 1, 2019 and each January 1 thereafter through January 1, 2028, by the least of</w:t>
      </w:r>
    </w:p>
    <w:p>
      <w:pPr>
        <w:spacing w:after="0" w:line="2" w:lineRule="exact"/>
        <w:rPr>
          <w:sz w:val="20"/>
          <w:szCs w:val="20"/>
          <w:color w:val="auto"/>
        </w:rPr>
      </w:pPr>
    </w:p>
    <w:p>
      <w:pPr>
        <w:jc w:val="both"/>
        <w:ind w:left="200" w:right="80" w:firstLine="4"/>
        <w:spacing w:after="0" w:line="255" w:lineRule="auto"/>
        <w:tabs>
          <w:tab w:leader="none" w:pos="415" w:val="left"/>
        </w:tabs>
        <w:numPr>
          <w:ilvl w:val="0"/>
          <w:numId w:val="114"/>
        </w:numPr>
        <w:rPr>
          <w:rFonts w:ascii="Arial" w:cs="Arial" w:eastAsia="Arial" w:hAnsi="Arial"/>
          <w:sz w:val="18"/>
          <w:szCs w:val="18"/>
          <w:color w:val="32406B"/>
        </w:rPr>
      </w:pPr>
      <w:r>
        <w:rPr>
          <w:rFonts w:ascii="Arial" w:cs="Arial" w:eastAsia="Arial" w:hAnsi="Arial"/>
          <w:sz w:val="18"/>
          <w:szCs w:val="18"/>
          <w:color w:val="32406B"/>
        </w:rPr>
        <w:t>1% of the outstanding number of shares of our common stock on the immediately preceding December 31; (ii) 1,115,700 shares or (iii) such number of shares as determined by the ESPP administrator. The number of shares reserved under the ESPP is subject to adjustment in the event of a stock split, stock dividend or other change in our capitalization.</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Fourth Amended and Restated Certificate of Incorporation</w:t>
      </w:r>
    </w:p>
    <w:p>
      <w:pPr>
        <w:spacing w:after="0" w:line="117"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32406B"/>
        </w:rPr>
        <w:t>On June 1, 2018, the Board also approved for filing immediately following the effectiveness of the Company’s registration statement in connection with its IPO, the Fourth Amended and Restated Certificate of Incorporation, which shall, among other matters: (i) authorize 150,000,000 shares of common stock, $0.0001 par value and (ii) create 10,000,000 shares of undesignated preferred stock.</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F-37</w:t>
      </w:r>
    </w:p>
    <w:p>
      <w:pPr>
        <w:sectPr>
          <w:pgSz w:w="11900" w:h="16838" w:orient="portrait"/>
          <w:cols w:equalWidth="0" w:num="1">
            <w:col w:w="11200"/>
          </w:cols>
          <w:pgMar w:left="240" w:top="460"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120" w:type="dxa"/>
            <w:vAlign w:val="bottom"/>
            <w:gridSpan w:val="4"/>
            <w:vMerge w:val="restart"/>
          </w:tcPr>
          <w:p>
            <w:pPr>
              <w:spacing w:after="0"/>
              <w:rPr>
                <w:sz w:val="20"/>
                <w:szCs w:val="20"/>
                <w:color w:val="auto"/>
              </w:rPr>
            </w:pPr>
            <w:r>
              <w:rPr>
                <w:rFonts w:ascii="Arial" w:cs="Arial" w:eastAsia="Arial" w:hAnsi="Arial"/>
                <w:sz w:val="14"/>
                <w:szCs w:val="14"/>
                <w:b w:val="1"/>
                <w:bCs w:val="1"/>
                <w:color w:val="32406B"/>
              </w:rPr>
              <w:t>December 31,</w:t>
            </w:r>
          </w:p>
        </w:tc>
        <w:tc>
          <w:tcPr>
            <w:tcW w:w="240" w:type="dxa"/>
            <w:vAlign w:val="bottom"/>
          </w:tcPr>
          <w:p>
            <w:pPr>
              <w:spacing w:after="0"/>
              <w:rPr>
                <w:sz w:val="14"/>
                <w:szCs w:val="14"/>
                <w:color w:val="auto"/>
              </w:rPr>
            </w:pPr>
          </w:p>
        </w:tc>
        <w:tc>
          <w:tcPr>
            <w:tcW w:w="9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32406B"/>
                <w:w w:val="95"/>
              </w:rPr>
              <w:t>March 31,</w:t>
            </w:r>
          </w:p>
        </w:tc>
        <w:tc>
          <w:tcPr>
            <w:tcW w:w="1020" w:type="dxa"/>
            <w:vAlign w:val="bottom"/>
            <w:gridSpan w:val="4"/>
          </w:tcPr>
          <w:p>
            <w:pPr>
              <w:ind w:left="220"/>
              <w:spacing w:after="0"/>
              <w:rPr>
                <w:sz w:val="20"/>
                <w:szCs w:val="20"/>
                <w:color w:val="auto"/>
              </w:rPr>
            </w:pPr>
            <w:r>
              <w:rPr>
                <w:rFonts w:ascii="Arial" w:cs="Arial" w:eastAsia="Arial" w:hAnsi="Arial"/>
                <w:sz w:val="14"/>
                <w:szCs w:val="14"/>
                <w:b w:val="1"/>
                <w:bCs w:val="1"/>
                <w:color w:val="32406B"/>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32406B"/>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32406B"/>
              </w:rPr>
              <w:t>2017</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32406B"/>
              </w:rPr>
              <w:t>2018</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32406B"/>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32406B"/>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Cash and cash equivalents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5,963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57,928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32406B"/>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57,928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32406B"/>
              </w:rPr>
              <w:t>Prepaid expenses and other current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345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553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Total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6,308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58,481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58,481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32406B"/>
              </w:rPr>
              <w:t>Property and equipment,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349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604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604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32406B"/>
              </w:rPr>
              <w:t>Other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1,131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32406B"/>
              </w:rPr>
              <w:t>Total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7,022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8"/>
              </w:rPr>
              <w:t>60,216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60,216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Liabilities, redeemable convertible preferred stock and stockholders’ (deficit)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32406B"/>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Accounts payable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527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2,052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32406B"/>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32406B"/>
              </w:rPr>
              <w:t>Accrued expenses and other current liabilities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2,098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3,009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Total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5,061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5,061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32406B"/>
              </w:rPr>
              <w:t>Warrant to purchase redeemable convertible preferred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Derivative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32406B"/>
              </w:rPr>
              <w:t>Deferred rent, net of current portion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126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161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Other long-term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32406B"/>
              </w:rPr>
              <w:t>Total liabilities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3,657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6,227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6,180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32406B"/>
              </w:rPr>
              <w:t>Commitments and contingencies (Note 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32406B"/>
              </w:rPr>
              <w:t>Redeemable convertible preferred stock (Note 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26,500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w w:val="98"/>
              </w:rPr>
              <w:t>87,500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32406B"/>
              </w:rPr>
              <w:t>Stockholders’ (deficit)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tcPr>
          <w:p>
            <w:pPr>
              <w:ind w:left="340"/>
              <w:spacing w:after="0" w:line="201" w:lineRule="exact"/>
              <w:rPr>
                <w:sz w:val="20"/>
                <w:szCs w:val="20"/>
                <w:color w:val="auto"/>
              </w:rPr>
            </w:pPr>
            <w:r>
              <w:rPr>
                <w:rFonts w:ascii="Arial" w:cs="Arial" w:eastAsia="Arial" w:hAnsi="Arial"/>
                <w:sz w:val="18"/>
                <w:szCs w:val="18"/>
                <w:color w:val="32406B"/>
              </w:rPr>
              <w:t>Common stock, $0.0001 par value; 51,000,000 and 82,000,000 shares authorized as of</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32406B"/>
              </w:rPr>
              <w:t>December 31, 2017 and March 31, 2018, respectively; 2,581,474 shares issued as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32406B"/>
                <w:w w:val="97"/>
              </w:rPr>
              <w:t>December 31, 2017 and March 31, 2018; 2,305,173 and 2,335,926 shares outstanding as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32406B"/>
              </w:rPr>
              <w:t>December 31, 2017 and March 31, 2018, respectively; 17,901,687 shares issued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32406B"/>
              </w:rPr>
              <w:t>17,656,139 shares outstanding as of March 31, 2018 (pro forma)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32406B"/>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32406B"/>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Additional paid-in capital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339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87,654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32406B"/>
              </w:rPr>
              <w:t>Accumulated deficit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32406B"/>
              </w:rPr>
              <w:t>(23,474)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32406B"/>
                <w:w w:val="89"/>
              </w:rPr>
              <w:t>(33,620)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32406B"/>
                <w:w w:val="92"/>
              </w:rPr>
              <w:t>(33,620)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Total stockholders’ (deficit)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(23,135)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w w:val="89"/>
              </w:rPr>
              <w:t>(33,511)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54,036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32406B"/>
              </w:rPr>
              <w:t>Total liabilities, redeemable convertible preferred stock and stockholders’ (deficit) equity</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7,022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60,216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60,216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F-38</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CONDENSED 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32406B"/>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32406B"/>
                <w:w w:val="95"/>
              </w:rPr>
              <w:t>March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32406B"/>
              </w:rPr>
              <w:t>2017</w:t>
            </w:r>
          </w:p>
        </w:tc>
        <w:tc>
          <w:tcPr>
            <w:tcW w:w="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32406B"/>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color w:val="32406B"/>
              </w:rPr>
              <w:t>Operating expenses: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32406B"/>
              </w:rPr>
              <w:t>Research and development</w:t>
            </w:r>
          </w:p>
        </w:tc>
        <w:tc>
          <w:tcPr>
            <w:tcW w:w="4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740" w:type="dxa"/>
            <w:vAlign w:val="bottom"/>
          </w:tcPr>
          <w:p>
            <w:pPr>
              <w:jc w:val="right"/>
              <w:spacing w:after="0"/>
              <w:rPr>
                <w:sz w:val="20"/>
                <w:szCs w:val="20"/>
                <w:color w:val="auto"/>
              </w:rPr>
            </w:pPr>
            <w:r>
              <w:rPr>
                <w:rFonts w:ascii="Arial" w:cs="Arial" w:eastAsia="Arial" w:hAnsi="Arial"/>
                <w:sz w:val="18"/>
                <w:szCs w:val="18"/>
                <w:color w:val="32406B"/>
              </w:rPr>
              <w:t>1,434</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820" w:type="dxa"/>
            <w:vAlign w:val="bottom"/>
          </w:tcPr>
          <w:p>
            <w:pPr>
              <w:jc w:val="right"/>
              <w:spacing w:after="0"/>
              <w:rPr>
                <w:sz w:val="20"/>
                <w:szCs w:val="20"/>
                <w:color w:val="auto"/>
              </w:rPr>
            </w:pPr>
            <w:r>
              <w:rPr>
                <w:rFonts w:ascii="Arial" w:cs="Arial" w:eastAsia="Arial" w:hAnsi="Arial"/>
                <w:sz w:val="18"/>
                <w:szCs w:val="18"/>
                <w:color w:val="32406B"/>
              </w:rPr>
              <w:t>5,647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General and administrative</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610</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32406B"/>
              </w:rPr>
              <w:t>Total operating expenses</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2,044</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7,788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32406B"/>
              </w:rPr>
              <w:t>Loss from operations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(2,044)</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(7,788)</w:t>
            </w:r>
          </w:p>
        </w:tc>
        <w:tc>
          <w:tcPr>
            <w:tcW w:w="0" w:type="dxa"/>
            <w:vAlign w:val="bottom"/>
          </w:tcPr>
          <w:p>
            <w:pPr>
              <w:spacing w:after="0"/>
              <w:rPr>
                <w:sz w:val="1"/>
                <w:szCs w:val="1"/>
                <w:color w:val="auto"/>
              </w:rPr>
            </w:pP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color w:val="32406B"/>
              </w:rPr>
              <w:t>Other income (expense):</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Interest income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32406B"/>
              </w:rPr>
              <w:t>Change in fair value of preferred stock warrant liability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32406B"/>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Change in fair value of derivative liability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32406B"/>
              </w:rPr>
              <w:t>Other expense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32406B"/>
              </w:rPr>
              <w:t>(5)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32406B"/>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Total other (expense) income, net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(454)</w:t>
            </w:r>
          </w:p>
        </w:tc>
        <w:tc>
          <w:tcPr>
            <w:tcW w:w="0" w:type="dxa"/>
            <w:vAlign w:val="bottom"/>
          </w:tcPr>
          <w:p>
            <w:pPr>
              <w:spacing w:after="0"/>
              <w:rPr>
                <w:sz w:val="1"/>
                <w:szCs w:val="1"/>
                <w:color w:val="auto"/>
              </w:rPr>
            </w:pP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color w:val="32406B"/>
              </w:rPr>
              <w:t>Net loss</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(2,077)</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(8,242)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32406B"/>
              </w:rPr>
              <w:t>Comprehensive loss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(2,077)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(8,242)</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32406B"/>
              </w:rPr>
              <w:t>Reconciliation of net loss to net loss attributable to common stockholders:</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32406B"/>
              </w:rPr>
              <w:t>Net loss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(2,077)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32406B"/>
              </w:rPr>
              <w:t>Accretion of issuance costs on redeemable convertible preferred stock</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32406B"/>
              </w:rPr>
              <w:t>(47)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32406B"/>
              </w:rPr>
              <w:t>(2,243)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32406B"/>
              </w:rPr>
              <w:t>Net loss attributable to common stockholders—basic and diluted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(2,124)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(10,485)</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32406B"/>
              </w:rPr>
              <w:t>Net loss per share attributable to common stockholders—basic and diluted (Note 12)</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(0.97)</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5" w:lineRule="exact"/>
              <w:rPr>
                <w:sz w:val="20"/>
                <w:szCs w:val="20"/>
                <w:color w:val="auto"/>
              </w:rPr>
            </w:pPr>
            <w:r>
              <w:rPr>
                <w:rFonts w:ascii="Arial" w:cs="Arial" w:eastAsia="Arial" w:hAnsi="Arial"/>
                <w:sz w:val="18"/>
                <w:szCs w:val="18"/>
                <w:color w:val="32406B"/>
                <w:w w:val="94"/>
              </w:rPr>
              <w:t>Weighted-average number of common shares used in computing net loss per share attributable to common</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stockholders—basic and diluted</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2,181,715</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9"/>
              </w:rPr>
              <w:t>2,324,790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32406B"/>
              </w:rPr>
              <w:t>Pro forma net loss per share attributable to common stockholders—basic and diluted (Note 12)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32406B"/>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5" w:lineRule="exact"/>
              <w:rPr>
                <w:sz w:val="20"/>
                <w:szCs w:val="20"/>
                <w:color w:val="auto"/>
              </w:rPr>
            </w:pPr>
            <w:r>
              <w:rPr>
                <w:rFonts w:ascii="Arial" w:cs="Arial" w:eastAsia="Arial" w:hAnsi="Arial"/>
                <w:sz w:val="18"/>
                <w:szCs w:val="18"/>
                <w:color w:val="32406B"/>
                <w:w w:val="94"/>
              </w:rPr>
              <w:t>Pro forma weighted-average number of common shares used in computing pro forma net income (loss) per</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share attributable to common stockholders—basic and diluted</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8"/>
              </w:rPr>
              <w:t>16,187,901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F-39</w:t>
      </w:r>
    </w:p>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CONDENSED CONSOLIDATED STATEMENTS OF REDEEMABLE CONVERTIBLE PREFERRED STOCK AND STOCKHOLDERS’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(DEFICIT)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 except share data)</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980" w:type="dxa"/>
            <w:vAlign w:val="bottom"/>
            <w:gridSpan w:val="4"/>
          </w:tcPr>
          <w:p>
            <w:pPr>
              <w:jc w:val="center"/>
              <w:ind w:left="231"/>
              <w:spacing w:after="0"/>
              <w:rPr>
                <w:sz w:val="20"/>
                <w:szCs w:val="20"/>
                <w:color w:val="auto"/>
              </w:rPr>
            </w:pPr>
            <w:r>
              <w:rPr>
                <w:rFonts w:ascii="Arial" w:cs="Arial" w:eastAsia="Arial" w:hAnsi="Arial"/>
                <w:sz w:val="13"/>
                <w:szCs w:val="13"/>
                <w:b w:val="1"/>
                <w:bCs w:val="1"/>
                <w:color w:val="32406B"/>
                <w:w w:val="81"/>
              </w:rPr>
              <w:t>Series Seed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4"/>
          </w:tcPr>
          <w:p>
            <w:pPr>
              <w:jc w:val="center"/>
              <w:ind w:left="391"/>
              <w:spacing w:after="0"/>
              <w:rPr>
                <w:sz w:val="20"/>
                <w:szCs w:val="20"/>
                <w:color w:val="auto"/>
              </w:rPr>
            </w:pPr>
            <w:r>
              <w:rPr>
                <w:rFonts w:ascii="Arial" w:cs="Arial" w:eastAsia="Arial" w:hAnsi="Arial"/>
                <w:sz w:val="13"/>
                <w:szCs w:val="13"/>
                <w:b w:val="1"/>
                <w:bCs w:val="1"/>
                <w:color w:val="32406B"/>
                <w:w w:val="84"/>
              </w:rPr>
              <w:t>Series A</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4"/>
          </w:tcPr>
          <w:p>
            <w:pPr>
              <w:jc w:val="center"/>
              <w:ind w:left="391"/>
              <w:spacing w:after="0"/>
              <w:rPr>
                <w:sz w:val="20"/>
                <w:szCs w:val="20"/>
                <w:color w:val="auto"/>
              </w:rPr>
            </w:pPr>
            <w:r>
              <w:rPr>
                <w:rFonts w:ascii="Arial" w:cs="Arial" w:eastAsia="Arial" w:hAnsi="Arial"/>
                <w:sz w:val="13"/>
                <w:szCs w:val="13"/>
                <w:b w:val="1"/>
                <w:bCs w:val="1"/>
                <w:color w:val="32406B"/>
                <w:w w:val="84"/>
              </w:rPr>
              <w:t>Series B</w:t>
            </w:r>
          </w:p>
        </w:tc>
        <w:tc>
          <w:tcPr>
            <w:tcW w:w="460" w:type="dxa"/>
            <w:vAlign w:val="bottom"/>
          </w:tcPr>
          <w:p>
            <w:pPr>
              <w:spacing w:after="0"/>
              <w:rPr>
                <w:sz w:val="13"/>
                <w:szCs w:val="13"/>
                <w:color w:val="auto"/>
              </w:rPr>
            </w:pPr>
          </w:p>
        </w:tc>
        <w:tc>
          <w:tcPr>
            <w:tcW w:w="140" w:type="dxa"/>
            <w:vAlign w:val="bottom"/>
            <w:tcBorders>
              <w:right w:val="single" w:sz="8" w:color="32406B"/>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80" w:type="dxa"/>
            <w:vAlign w:val="bottom"/>
            <w:gridSpan w:val="4"/>
          </w:tcPr>
          <w:p>
            <w:pPr>
              <w:jc w:val="center"/>
              <w:ind w:left="251"/>
              <w:spacing w:after="0" w:line="135" w:lineRule="exact"/>
              <w:rPr>
                <w:sz w:val="20"/>
                <w:szCs w:val="20"/>
                <w:color w:val="auto"/>
              </w:rPr>
            </w:pPr>
            <w:r>
              <w:rPr>
                <w:rFonts w:ascii="Arial" w:cs="Arial" w:eastAsia="Arial" w:hAnsi="Arial"/>
                <w:sz w:val="13"/>
                <w:szCs w:val="13"/>
                <w:b w:val="1"/>
                <w:bCs w:val="1"/>
                <w:color w:val="32406B"/>
                <w:w w:val="86"/>
              </w:rPr>
              <w:t>Redeemable</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6"/>
          </w:tcPr>
          <w:p>
            <w:pPr>
              <w:jc w:val="center"/>
              <w:ind w:right="200"/>
              <w:spacing w:after="0" w:line="135" w:lineRule="exact"/>
              <w:rPr>
                <w:sz w:val="20"/>
                <w:szCs w:val="20"/>
                <w:color w:val="auto"/>
              </w:rPr>
            </w:pPr>
            <w:r>
              <w:rPr>
                <w:rFonts w:ascii="Arial" w:cs="Arial" w:eastAsia="Arial" w:hAnsi="Arial"/>
                <w:sz w:val="13"/>
                <w:szCs w:val="13"/>
                <w:b w:val="1"/>
                <w:bCs w:val="1"/>
                <w:color w:val="32406B"/>
                <w:w w:val="86"/>
              </w:rPr>
              <w:t>Redeemable</w:t>
            </w:r>
          </w:p>
        </w:tc>
        <w:tc>
          <w:tcPr>
            <w:tcW w:w="1540" w:type="dxa"/>
            <w:vAlign w:val="bottom"/>
            <w:tcBorders>
              <w:right w:val="single" w:sz="8" w:color="32406B"/>
            </w:tcBorders>
            <w:gridSpan w:val="6"/>
          </w:tcPr>
          <w:p>
            <w:pPr>
              <w:jc w:val="center"/>
              <w:ind w:right="160"/>
              <w:spacing w:after="0" w:line="135" w:lineRule="exact"/>
              <w:rPr>
                <w:sz w:val="20"/>
                <w:szCs w:val="20"/>
                <w:color w:val="auto"/>
              </w:rPr>
            </w:pPr>
            <w:r>
              <w:rPr>
                <w:rFonts w:ascii="Arial" w:cs="Arial" w:eastAsia="Arial" w:hAnsi="Arial"/>
                <w:sz w:val="13"/>
                <w:szCs w:val="13"/>
                <w:b w:val="1"/>
                <w:bCs w:val="1"/>
                <w:color w:val="32406B"/>
                <w:w w:val="86"/>
              </w:rPr>
              <w:t>Redeemable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80" w:type="dxa"/>
            <w:vAlign w:val="bottom"/>
            <w:gridSpan w:val="4"/>
          </w:tcPr>
          <w:p>
            <w:pPr>
              <w:jc w:val="center"/>
              <w:ind w:left="231"/>
              <w:spacing w:after="0" w:line="140" w:lineRule="exact"/>
              <w:rPr>
                <w:sz w:val="20"/>
                <w:szCs w:val="20"/>
                <w:color w:val="auto"/>
              </w:rPr>
            </w:pPr>
            <w:r>
              <w:rPr>
                <w:rFonts w:ascii="Arial" w:cs="Arial" w:eastAsia="Arial" w:hAnsi="Arial"/>
                <w:sz w:val="13"/>
                <w:szCs w:val="13"/>
                <w:b w:val="1"/>
                <w:bCs w:val="1"/>
                <w:color w:val="32406B"/>
                <w:w w:val="89"/>
              </w:rPr>
              <w:t>Convertible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6"/>
          </w:tcPr>
          <w:p>
            <w:pPr>
              <w:jc w:val="center"/>
              <w:ind w:right="180"/>
              <w:spacing w:after="0" w:line="140" w:lineRule="exact"/>
              <w:rPr>
                <w:sz w:val="20"/>
                <w:szCs w:val="20"/>
                <w:color w:val="auto"/>
              </w:rPr>
            </w:pPr>
            <w:r>
              <w:rPr>
                <w:rFonts w:ascii="Arial" w:cs="Arial" w:eastAsia="Arial" w:hAnsi="Arial"/>
                <w:sz w:val="13"/>
                <w:szCs w:val="13"/>
                <w:b w:val="1"/>
                <w:bCs w:val="1"/>
                <w:color w:val="32406B"/>
                <w:w w:val="89"/>
              </w:rPr>
              <w:t>Convertible</w:t>
            </w:r>
          </w:p>
        </w:tc>
        <w:tc>
          <w:tcPr>
            <w:tcW w:w="1540" w:type="dxa"/>
            <w:vAlign w:val="bottom"/>
            <w:tcBorders>
              <w:right w:val="single" w:sz="8" w:color="32406B"/>
            </w:tcBorders>
            <w:gridSpan w:val="6"/>
          </w:tcPr>
          <w:p>
            <w:pPr>
              <w:jc w:val="center"/>
              <w:ind w:right="140"/>
              <w:spacing w:after="0" w:line="140" w:lineRule="exact"/>
              <w:rPr>
                <w:sz w:val="20"/>
                <w:szCs w:val="20"/>
                <w:color w:val="auto"/>
              </w:rPr>
            </w:pPr>
            <w:r>
              <w:rPr>
                <w:rFonts w:ascii="Arial" w:cs="Arial" w:eastAsia="Arial" w:hAnsi="Arial"/>
                <w:sz w:val="13"/>
                <w:szCs w:val="13"/>
                <w:b w:val="1"/>
                <w:bCs w:val="1"/>
                <w:color w:val="32406B"/>
                <w:w w:val="89"/>
              </w:rPr>
              <w:t>Convertible</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4"/>
          </w:tcPr>
          <w:p>
            <w:pPr>
              <w:jc w:val="right"/>
              <w:ind w:right="120"/>
              <w:spacing w:after="0" w:line="140" w:lineRule="exact"/>
              <w:rPr>
                <w:sz w:val="20"/>
                <w:szCs w:val="20"/>
                <w:color w:val="auto"/>
              </w:rPr>
            </w:pPr>
            <w:r>
              <w:rPr>
                <w:rFonts w:ascii="Arial" w:cs="Arial" w:eastAsia="Arial" w:hAnsi="Arial"/>
                <w:sz w:val="13"/>
                <w:szCs w:val="13"/>
                <w:b w:val="1"/>
                <w:bCs w:val="1"/>
                <w:color w:val="32406B"/>
              </w:rPr>
              <w:t>Additional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32406B"/>
                <w:w w:val="83"/>
              </w:rPr>
              <w:t>Total</w:t>
            </w: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8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32406B"/>
                <w:w w:val="86"/>
              </w:rPr>
              <w:t>Preferred Stock</w:t>
            </w:r>
          </w:p>
        </w:tc>
        <w:tc>
          <w:tcPr>
            <w:tcW w:w="162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32406B"/>
                <w:w w:val="88"/>
              </w:rPr>
              <w:t>Preferred Stock</w:t>
            </w:r>
          </w:p>
        </w:tc>
        <w:tc>
          <w:tcPr>
            <w:tcW w:w="1540" w:type="dxa"/>
            <w:vAlign w:val="bottom"/>
            <w:tcBorders>
              <w:right w:val="single" w:sz="8" w:color="32406B"/>
            </w:tcBorders>
            <w:gridSpan w:val="6"/>
          </w:tcPr>
          <w:p>
            <w:pPr>
              <w:jc w:val="center"/>
              <w:ind w:right="160"/>
              <w:spacing w:after="0"/>
              <w:rPr>
                <w:sz w:val="20"/>
                <w:szCs w:val="20"/>
                <w:color w:val="auto"/>
              </w:rPr>
            </w:pPr>
            <w:r>
              <w:rPr>
                <w:rFonts w:ascii="Arial" w:cs="Arial" w:eastAsia="Arial" w:hAnsi="Arial"/>
                <w:sz w:val="13"/>
                <w:szCs w:val="13"/>
                <w:b w:val="1"/>
                <w:bCs w:val="1"/>
                <w:color w:val="32406B"/>
                <w:w w:val="88"/>
              </w:rPr>
              <w:t>Preferred Stock</w:t>
            </w:r>
          </w:p>
        </w:tc>
        <w:tc>
          <w:tcPr>
            <w:tcW w:w="60" w:type="dxa"/>
            <w:vAlign w:val="bottom"/>
          </w:tcPr>
          <w:p>
            <w:pPr>
              <w:spacing w:after="0"/>
              <w:rPr>
                <w:sz w:val="12"/>
                <w:szCs w:val="12"/>
                <w:color w:val="auto"/>
              </w:rPr>
            </w:pPr>
          </w:p>
        </w:tc>
        <w:tc>
          <w:tcPr>
            <w:tcW w:w="1060" w:type="dxa"/>
            <w:vAlign w:val="bottom"/>
            <w:gridSpan w:val="3"/>
          </w:tcPr>
          <w:p>
            <w:pPr>
              <w:ind w:left="200"/>
              <w:spacing w:after="0"/>
              <w:rPr>
                <w:sz w:val="20"/>
                <w:szCs w:val="20"/>
                <w:color w:val="auto"/>
              </w:rPr>
            </w:pPr>
            <w:r>
              <w:rPr>
                <w:rFonts w:ascii="Arial" w:cs="Arial" w:eastAsia="Arial" w:hAnsi="Arial"/>
                <w:sz w:val="13"/>
                <w:szCs w:val="13"/>
                <w:b w:val="1"/>
                <w:bCs w:val="1"/>
                <w:color w:val="32406B"/>
                <w:w w:val="88"/>
              </w:rPr>
              <w:t>Common Stock</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32406B"/>
                <w:w w:val="92"/>
              </w:rPr>
              <w:t>Paid-in</w:t>
            </w:r>
          </w:p>
        </w:tc>
        <w:tc>
          <w:tcPr>
            <w:tcW w:w="880" w:type="dxa"/>
            <w:vAlign w:val="bottom"/>
            <w:gridSpan w:val="4"/>
          </w:tcPr>
          <w:p>
            <w:pPr>
              <w:ind w:left="60"/>
              <w:spacing w:after="0"/>
              <w:rPr>
                <w:sz w:val="20"/>
                <w:szCs w:val="20"/>
                <w:color w:val="auto"/>
              </w:rPr>
            </w:pPr>
            <w:r>
              <w:rPr>
                <w:rFonts w:ascii="Arial" w:cs="Arial" w:eastAsia="Arial" w:hAnsi="Arial"/>
                <w:sz w:val="13"/>
                <w:szCs w:val="13"/>
                <w:b w:val="1"/>
                <w:bCs w:val="1"/>
                <w:color w:val="32406B"/>
                <w:w w:val="97"/>
              </w:rPr>
              <w:t>Accumulated</w:t>
            </w:r>
          </w:p>
        </w:tc>
        <w:tc>
          <w:tcPr>
            <w:tcW w:w="80" w:type="dxa"/>
            <w:vAlign w:val="bottom"/>
          </w:tcPr>
          <w:p>
            <w:pPr>
              <w:spacing w:after="0"/>
              <w:rPr>
                <w:sz w:val="12"/>
                <w:szCs w:val="12"/>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32406B"/>
                <w:w w:val="86"/>
              </w:rPr>
              <w:t>Stockholders’</w:t>
            </w: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3"/>
                <w:szCs w:val="13"/>
                <w:b w:val="1"/>
                <w:bCs w:val="1"/>
                <w:color w:val="32406B"/>
              </w:rPr>
              <w:t>Shares</w:t>
            </w: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32406B"/>
                <w:w w:val="89"/>
              </w:rPr>
              <w:t>Amount</w:t>
            </w:r>
          </w:p>
        </w:tc>
        <w:tc>
          <w:tcPr>
            <w:tcW w:w="18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3"/>
                <w:szCs w:val="13"/>
                <w:b w:val="1"/>
                <w:bCs w:val="1"/>
                <w:color w:val="32406B"/>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32406B"/>
                <w:w w:val="93"/>
              </w:rPr>
              <w:t>Amount</w:t>
            </w:r>
          </w:p>
        </w:tc>
        <w:tc>
          <w:tcPr>
            <w:tcW w:w="18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3"/>
                <w:szCs w:val="13"/>
                <w:b w:val="1"/>
                <w:bCs w:val="1"/>
                <w:color w:val="32406B"/>
              </w:rPr>
              <w:t>Shares</w:t>
            </w: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32406B"/>
                <w:w w:val="93"/>
              </w:rPr>
              <w:t>Amount</w:t>
            </w:r>
          </w:p>
        </w:tc>
        <w:tc>
          <w:tcPr>
            <w:tcW w:w="140" w:type="dxa"/>
            <w:vAlign w:val="bottom"/>
            <w:tcBorders>
              <w:right w:val="single" w:sz="8" w:color="32406B"/>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jc w:val="right"/>
              <w:ind w:right="89"/>
              <w:spacing w:after="0" w:line="129" w:lineRule="exact"/>
              <w:rPr>
                <w:sz w:val="20"/>
                <w:szCs w:val="20"/>
                <w:color w:val="auto"/>
              </w:rPr>
            </w:pPr>
            <w:r>
              <w:rPr>
                <w:rFonts w:ascii="Arial" w:cs="Arial" w:eastAsia="Arial" w:hAnsi="Arial"/>
                <w:sz w:val="13"/>
                <w:szCs w:val="13"/>
                <w:b w:val="1"/>
                <w:bCs w:val="1"/>
                <w:color w:val="32406B"/>
              </w:rPr>
              <w:t>Shares</w:t>
            </w:r>
          </w:p>
        </w:tc>
        <w:tc>
          <w:tcPr>
            <w:tcW w:w="560" w:type="dxa"/>
            <w:vAlign w:val="bottom"/>
            <w:tcBorders>
              <w:top w:val="single" w:sz="8" w:color="auto"/>
            </w:tcBorders>
            <w:gridSpan w:val="3"/>
          </w:tcPr>
          <w:p>
            <w:pPr>
              <w:ind w:left="120"/>
              <w:spacing w:after="0" w:line="129" w:lineRule="exact"/>
              <w:rPr>
                <w:sz w:val="20"/>
                <w:szCs w:val="20"/>
                <w:color w:val="auto"/>
              </w:rPr>
            </w:pPr>
            <w:r>
              <w:rPr>
                <w:rFonts w:ascii="Arial" w:cs="Arial" w:eastAsia="Arial" w:hAnsi="Arial"/>
                <w:sz w:val="13"/>
                <w:szCs w:val="13"/>
                <w:b w:val="1"/>
                <w:bCs w:val="1"/>
                <w:color w:val="32406B"/>
                <w:w w:val="85"/>
              </w:rPr>
              <w:t>Amount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00"/>
              <w:spacing w:after="0" w:line="129" w:lineRule="exact"/>
              <w:rPr>
                <w:sz w:val="20"/>
                <w:szCs w:val="20"/>
                <w:color w:val="auto"/>
              </w:rPr>
            </w:pPr>
            <w:r>
              <w:rPr>
                <w:rFonts w:ascii="Arial" w:cs="Arial" w:eastAsia="Arial" w:hAnsi="Arial"/>
                <w:sz w:val="13"/>
                <w:szCs w:val="13"/>
                <w:b w:val="1"/>
                <w:bCs w:val="1"/>
                <w:color w:val="32406B"/>
                <w:w w:val="92"/>
              </w:rPr>
              <w:t>Capital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80"/>
              <w:spacing w:after="0" w:line="129" w:lineRule="exact"/>
              <w:rPr>
                <w:sz w:val="20"/>
                <w:szCs w:val="20"/>
                <w:color w:val="auto"/>
              </w:rPr>
            </w:pPr>
            <w:r>
              <w:rPr>
                <w:rFonts w:ascii="Arial" w:cs="Arial" w:eastAsia="Arial" w:hAnsi="Arial"/>
                <w:sz w:val="13"/>
                <w:szCs w:val="13"/>
                <w:b w:val="1"/>
                <w:bCs w:val="1"/>
                <w:color w:val="32406B"/>
              </w:rPr>
              <w:t>Deficit</w:t>
            </w:r>
          </w:p>
        </w:tc>
        <w:tc>
          <w:tcPr>
            <w:tcW w:w="1020" w:type="dxa"/>
            <w:vAlign w:val="bottom"/>
            <w:gridSpan w:val="4"/>
          </w:tcPr>
          <w:p>
            <w:pPr>
              <w:jc w:val="center"/>
              <w:ind w:right="40"/>
              <w:spacing w:after="0" w:line="129" w:lineRule="exact"/>
              <w:rPr>
                <w:sz w:val="20"/>
                <w:szCs w:val="20"/>
                <w:color w:val="auto"/>
              </w:rPr>
            </w:pPr>
            <w:r>
              <w:rPr>
                <w:rFonts w:ascii="Arial" w:cs="Arial" w:eastAsia="Arial" w:hAnsi="Arial"/>
                <w:sz w:val="13"/>
                <w:szCs w:val="13"/>
                <w:b w:val="1"/>
                <w:bCs w:val="1"/>
                <w:color w:val="32406B"/>
                <w:w w:val="89"/>
              </w:rPr>
              <w:t>(Deficit) Equity</w:t>
            </w:r>
          </w:p>
        </w:tc>
      </w:tr>
      <w:tr>
        <w:trPr>
          <w:trHeight w:val="142"/>
        </w:trPr>
        <w:tc>
          <w:tcPr>
            <w:tcW w:w="20" w:type="dxa"/>
            <w:vAlign w:val="bottom"/>
          </w:tcPr>
          <w:p>
            <w:pPr>
              <w:spacing w:after="0"/>
              <w:rPr>
                <w:sz w:val="12"/>
                <w:szCs w:val="12"/>
                <w:color w:val="auto"/>
              </w:rPr>
            </w:pPr>
          </w:p>
        </w:tc>
        <w:tc>
          <w:tcPr>
            <w:tcW w:w="2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32406B"/>
              </w:rPr>
              <w:t>Balance as of December 31, 2017</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3,333,333</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32406B"/>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w w:val="85"/>
              </w:rPr>
              <w:t>1,500</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31,450,499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25,000</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w:t>
            </w:r>
          </w:p>
        </w:tc>
        <w:tc>
          <w:tcPr>
            <w:tcW w:w="140" w:type="dxa"/>
            <w:vAlign w:val="bottom"/>
            <w:tcBorders>
              <w:top w:val="single" w:sz="8" w:color="CCEEFF"/>
              <w:right w:val="single" w:sz="8" w:color="32406B"/>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2,305,173</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32406B"/>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339</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32406B"/>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(23,474)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0"/>
                <w:szCs w:val="10"/>
                <w:color w:val="32406B"/>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(23,135)</w:t>
            </w:r>
          </w:p>
        </w:tc>
        <w:tc>
          <w:tcPr>
            <w:tcW w:w="100" w:type="dxa"/>
            <w:vAlign w:val="bottom"/>
            <w:tcBorders>
              <w:top w:val="single" w:sz="8" w:color="CCEEFF"/>
            </w:tcBorders>
            <w:shd w:val="clear" w:color="auto" w:fill="CCEEFF"/>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360" w:type="dxa"/>
            <w:vAlign w:val="bottom"/>
          </w:tcPr>
          <w:p>
            <w:pPr>
              <w:ind w:left="120"/>
              <w:spacing w:after="0" w:line="130" w:lineRule="exact"/>
              <w:rPr>
                <w:sz w:val="20"/>
                <w:szCs w:val="20"/>
                <w:color w:val="auto"/>
              </w:rPr>
            </w:pPr>
            <w:r>
              <w:rPr>
                <w:rFonts w:ascii="Arial" w:cs="Arial" w:eastAsia="Arial" w:hAnsi="Arial"/>
                <w:sz w:val="14"/>
                <w:szCs w:val="14"/>
                <w:color w:val="32406B"/>
              </w:rPr>
              <w:t>Issuance of series B redeemable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32406B"/>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280"/>
              <w:spacing w:after="0" w:line="149" w:lineRule="exact"/>
              <w:rPr>
                <w:sz w:val="20"/>
                <w:szCs w:val="20"/>
                <w:color w:val="auto"/>
              </w:rPr>
            </w:pPr>
            <w:r>
              <w:rPr>
                <w:rFonts w:ascii="Arial" w:cs="Arial" w:eastAsia="Arial" w:hAnsi="Arial"/>
                <w:sz w:val="14"/>
                <w:szCs w:val="14"/>
                <w:color w:val="32406B"/>
                <w:w w:val="99"/>
              </w:rPr>
              <w:t>convertible preferred stock, net of</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32406B"/>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tcPr>
          <w:p>
            <w:pPr>
              <w:ind w:left="280"/>
              <w:spacing w:after="0"/>
              <w:rPr>
                <w:sz w:val="20"/>
                <w:szCs w:val="20"/>
                <w:color w:val="auto"/>
              </w:rPr>
            </w:pPr>
            <w:r>
              <w:rPr>
                <w:rFonts w:ascii="Arial" w:cs="Arial" w:eastAsia="Arial" w:hAnsi="Arial"/>
                <w:sz w:val="14"/>
                <w:szCs w:val="14"/>
                <w:color w:val="32406B"/>
              </w:rPr>
              <w:t>issuance costs of $2,243</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32406B"/>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32406B"/>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32406B"/>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32406B"/>
              </w:rPr>
              <w:t>—</w:t>
            </w:r>
          </w:p>
        </w:tc>
        <w:tc>
          <w:tcPr>
            <w:tcW w:w="740" w:type="dxa"/>
            <w:vAlign w:val="bottom"/>
          </w:tcPr>
          <w:p>
            <w:pPr>
              <w:jc w:val="right"/>
              <w:spacing w:after="0"/>
              <w:rPr>
                <w:sz w:val="20"/>
                <w:szCs w:val="20"/>
                <w:color w:val="auto"/>
              </w:rPr>
            </w:pPr>
            <w:r>
              <w:rPr>
                <w:rFonts w:ascii="Arial" w:cs="Arial" w:eastAsia="Arial" w:hAnsi="Arial"/>
                <w:sz w:val="14"/>
                <w:szCs w:val="14"/>
                <w:color w:val="32406B"/>
              </w:rPr>
              <w:t>28,285,557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32406B"/>
              </w:rPr>
              <w:t>58,257</w:t>
            </w:r>
          </w:p>
        </w:tc>
        <w:tc>
          <w:tcPr>
            <w:tcW w:w="140" w:type="dxa"/>
            <w:vAlign w:val="bottom"/>
            <w:tcBorders>
              <w:right w:val="single" w:sz="8" w:color="32406B"/>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2406B"/>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32406B"/>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32406B"/>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32406B"/>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32406B"/>
              </w:rPr>
              <w:t>—</w:t>
            </w: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32406B"/>
              </w:rPr>
              <w:t>Issuance of series B redeemable</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32406B"/>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convertible preferred stock to</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32406B"/>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settled accrued liability of license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32406B"/>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280"/>
              <w:spacing w:after="0"/>
              <w:rPr>
                <w:sz w:val="20"/>
                <w:szCs w:val="20"/>
                <w:color w:val="auto"/>
              </w:rPr>
            </w:pPr>
            <w:r>
              <w:rPr>
                <w:rFonts w:ascii="Arial" w:cs="Arial" w:eastAsia="Arial" w:hAnsi="Arial"/>
                <w:sz w:val="14"/>
                <w:szCs w:val="14"/>
                <w:color w:val="32406B"/>
              </w:rPr>
              <w:t>cost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32406B"/>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32406B"/>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233,765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500</w:t>
            </w:r>
          </w:p>
        </w:tc>
        <w:tc>
          <w:tcPr>
            <w:tcW w:w="140" w:type="dxa"/>
            <w:vAlign w:val="bottom"/>
            <w:tcBorders>
              <w:right w:val="single" w:sz="8" w:color="32406B"/>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w:t>
            </w:r>
          </w:p>
        </w:tc>
      </w:tr>
      <w:tr>
        <w:trPr>
          <w:trHeight w:val="149"/>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32406B"/>
              </w:rPr>
              <w:t>Vesting of restricted stock awards</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32406B"/>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32406B"/>
            </w:tcBorders>
            <w:gridSpan w:val="2"/>
          </w:tcPr>
          <w:p>
            <w:pPr>
              <w:jc w:val="right"/>
              <w:ind w:right="140"/>
              <w:spacing w:after="0" w:line="149" w:lineRule="exact"/>
              <w:rPr>
                <w:sz w:val="20"/>
                <w:szCs w:val="20"/>
                <w:color w:val="auto"/>
              </w:rPr>
            </w:pPr>
            <w:r>
              <w:rPr>
                <w:rFonts w:ascii="Arial" w:cs="Arial" w:eastAsia="Arial" w:hAnsi="Arial"/>
                <w:sz w:val="14"/>
                <w:szCs w:val="14"/>
                <w:color w:val="32406B"/>
              </w:rPr>
              <w:t>—</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32406B"/>
              </w:rPr>
              <w:t>30,753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32406B"/>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w:t>
            </w: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32406B"/>
              </w:rPr>
              <w:t>Accretion of issuance costs related</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32406B"/>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to redeemable convertible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32406B"/>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280"/>
              <w:spacing w:after="0"/>
              <w:rPr>
                <w:sz w:val="20"/>
                <w:szCs w:val="20"/>
                <w:color w:val="auto"/>
              </w:rPr>
            </w:pPr>
            <w:r>
              <w:rPr>
                <w:rFonts w:ascii="Arial" w:cs="Arial" w:eastAsia="Arial" w:hAnsi="Arial"/>
                <w:sz w:val="14"/>
                <w:szCs w:val="14"/>
                <w:color w:val="32406B"/>
              </w:rPr>
              <w:t>preferred stock</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32406B"/>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32406B"/>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2,243</w:t>
            </w:r>
          </w:p>
        </w:tc>
        <w:tc>
          <w:tcPr>
            <w:tcW w:w="140" w:type="dxa"/>
            <w:vAlign w:val="bottom"/>
            <w:tcBorders>
              <w:right w:val="single" w:sz="8" w:color="32406B"/>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32406B"/>
              </w:rPr>
              <w:t>(339)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32406B"/>
              </w:rPr>
              <w:t>(1,904)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32406B"/>
              </w:rPr>
              <w:t>(2,243)</w:t>
            </w:r>
          </w:p>
        </w:tc>
      </w:tr>
      <w:tr>
        <w:trPr>
          <w:trHeight w:val="149"/>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32406B"/>
                <w:w w:val="98"/>
              </w:rPr>
              <w:t>Stock-based compensation expense</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32406B"/>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32406B"/>
            </w:tcBorders>
            <w:gridSpan w:val="2"/>
          </w:tcPr>
          <w:p>
            <w:pPr>
              <w:jc w:val="right"/>
              <w:ind w:right="140"/>
              <w:spacing w:after="0" w:line="149" w:lineRule="exact"/>
              <w:rPr>
                <w:sz w:val="20"/>
                <w:szCs w:val="20"/>
                <w:color w:val="auto"/>
              </w:rPr>
            </w:pPr>
            <w:r>
              <w:rPr>
                <w:rFonts w:ascii="Arial" w:cs="Arial" w:eastAsia="Arial" w:hAnsi="Arial"/>
                <w:sz w:val="14"/>
                <w:szCs w:val="14"/>
                <w:color w:val="32406B"/>
              </w:rPr>
              <w:t>—</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32406B"/>
              </w:rPr>
              <w:t>109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32406B"/>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32406B"/>
              </w:rPr>
              <w:t>109</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2406B"/>
              </w:rPr>
              <w:t>Net loss</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tcBorders>
              <w:right w:val="single" w:sz="8" w:color="32406B"/>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(8,242)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(8,242)</w:t>
            </w:r>
          </w:p>
        </w:tc>
      </w:tr>
      <w:tr>
        <w:trPr>
          <w:trHeight w:val="156"/>
        </w:trPr>
        <w:tc>
          <w:tcPr>
            <w:tcW w:w="2380" w:type="dxa"/>
            <w:vAlign w:val="bottom"/>
            <w:gridSpan w:val="2"/>
          </w:tcPr>
          <w:p>
            <w:pPr>
              <w:spacing w:after="0" w:line="155" w:lineRule="exact"/>
              <w:rPr>
                <w:sz w:val="20"/>
                <w:szCs w:val="20"/>
                <w:color w:val="auto"/>
              </w:rPr>
            </w:pPr>
            <w:r>
              <w:rPr>
                <w:rFonts w:ascii="Arial" w:cs="Arial" w:eastAsia="Arial" w:hAnsi="Arial"/>
                <w:sz w:val="14"/>
                <w:szCs w:val="14"/>
                <w:color w:val="32406B"/>
              </w:rPr>
              <w:t>Balances as of March 31, 2018</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3,333,333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w w:val="85"/>
              </w:rPr>
              <w:t>1,500</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31,450,499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25,000</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28,519,322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61,000</w:t>
            </w:r>
          </w:p>
        </w:tc>
        <w:tc>
          <w:tcPr>
            <w:tcW w:w="140" w:type="dxa"/>
            <w:vAlign w:val="bottom"/>
            <w:tcBorders>
              <w:right w:val="single" w:sz="8" w:color="32406B"/>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2,335,926</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w:t>
            </w: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109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(33,620)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(33,511)</w:t>
            </w:r>
          </w:p>
        </w:tc>
        <w:tc>
          <w:tcPr>
            <w:tcW w:w="100" w:type="dxa"/>
            <w:vAlign w:val="bottom"/>
          </w:tcPr>
          <w:p>
            <w:pPr>
              <w:spacing w:after="0"/>
              <w:rPr>
                <w:sz w:val="13"/>
                <w:szCs w:val="13"/>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32406B"/>
              </w:rPr>
              <w:t>Reclassification of warrants to</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32406B"/>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purchase shares of redeemable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32406B"/>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convertible preferred stock into</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32406B"/>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warrants to purchase common</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32406B"/>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280"/>
              <w:spacing w:after="0"/>
              <w:rPr>
                <w:sz w:val="20"/>
                <w:szCs w:val="20"/>
                <w:color w:val="auto"/>
              </w:rPr>
            </w:pPr>
            <w:r>
              <w:rPr>
                <w:rFonts w:ascii="Arial" w:cs="Arial" w:eastAsia="Arial" w:hAnsi="Arial"/>
                <w:sz w:val="14"/>
                <w:szCs w:val="14"/>
                <w:color w:val="32406B"/>
              </w:rPr>
              <w:t>stock</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32406B"/>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32406B"/>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tcBorders>
              <w:right w:val="single" w:sz="8" w:color="32406B"/>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47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47</w:t>
            </w:r>
          </w:p>
        </w:tc>
        <w:tc>
          <w:tcPr>
            <w:tcW w:w="100" w:type="dxa"/>
            <w:vAlign w:val="bottom"/>
            <w:shd w:val="clear" w:color="auto" w:fill="CCEEFF"/>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2360" w:type="dxa"/>
            <w:vAlign w:val="bottom"/>
          </w:tcPr>
          <w:p>
            <w:pPr>
              <w:ind w:left="120"/>
              <w:spacing w:after="0" w:line="130" w:lineRule="exact"/>
              <w:rPr>
                <w:sz w:val="20"/>
                <w:szCs w:val="20"/>
                <w:color w:val="auto"/>
              </w:rPr>
            </w:pPr>
            <w:r>
              <w:rPr>
                <w:rFonts w:ascii="Arial" w:cs="Arial" w:eastAsia="Arial" w:hAnsi="Arial"/>
                <w:sz w:val="14"/>
                <w:szCs w:val="14"/>
                <w:color w:val="32406B"/>
              </w:rPr>
              <w:t>Conversion of redeemable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32406B"/>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280"/>
              <w:spacing w:after="0" w:line="149" w:lineRule="exact"/>
              <w:rPr>
                <w:sz w:val="20"/>
                <w:szCs w:val="20"/>
                <w:color w:val="auto"/>
              </w:rPr>
            </w:pPr>
            <w:r>
              <w:rPr>
                <w:rFonts w:ascii="Arial" w:cs="Arial" w:eastAsia="Arial" w:hAnsi="Arial"/>
                <w:sz w:val="14"/>
                <w:szCs w:val="14"/>
                <w:color w:val="32406B"/>
              </w:rPr>
              <w:t>convertible preferred stock into</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32406B"/>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2360" w:type="dxa"/>
            <w:vAlign w:val="bottom"/>
          </w:tcPr>
          <w:p>
            <w:pPr>
              <w:ind w:left="280"/>
              <w:spacing w:after="0"/>
              <w:rPr>
                <w:sz w:val="20"/>
                <w:szCs w:val="20"/>
                <w:color w:val="auto"/>
              </w:rPr>
            </w:pPr>
            <w:r>
              <w:rPr>
                <w:rFonts w:ascii="Arial" w:cs="Arial" w:eastAsia="Arial" w:hAnsi="Arial"/>
                <w:sz w:val="14"/>
                <w:szCs w:val="14"/>
                <w:color w:val="32406B"/>
              </w:rPr>
              <w:t>common stock</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32406B"/>
                <w:w w:val="97"/>
              </w:rPr>
              <w:t>(3,333,333)</w:t>
            </w:r>
          </w:p>
        </w:tc>
        <w:tc>
          <w:tcPr>
            <w:tcW w:w="700" w:type="dxa"/>
            <w:vAlign w:val="bottom"/>
            <w:gridSpan w:val="4"/>
          </w:tcPr>
          <w:p>
            <w:pPr>
              <w:jc w:val="right"/>
              <w:ind w:right="140"/>
              <w:spacing w:after="0"/>
              <w:rPr>
                <w:sz w:val="20"/>
                <w:szCs w:val="20"/>
                <w:color w:val="auto"/>
              </w:rPr>
            </w:pPr>
            <w:r>
              <w:rPr>
                <w:rFonts w:ascii="Arial" w:cs="Arial" w:eastAsia="Arial" w:hAnsi="Arial"/>
                <w:sz w:val="14"/>
                <w:szCs w:val="14"/>
                <w:color w:val="32406B"/>
              </w:rPr>
              <w:t>(1,500)</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32406B"/>
                <w:w w:val="95"/>
              </w:rPr>
              <w:t>(31,450,499)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32406B"/>
                <w:w w:val="91"/>
              </w:rPr>
              <w:t>(25,000)</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32406B"/>
                <w:w w:val="95"/>
              </w:rPr>
              <w:t>(28,519,322)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right w:val="single" w:sz="8" w:color="32406B"/>
            </w:tcBorders>
            <w:gridSpan w:val="2"/>
          </w:tcPr>
          <w:p>
            <w:pPr>
              <w:jc w:val="right"/>
              <w:ind w:right="100"/>
              <w:spacing w:after="0"/>
              <w:rPr>
                <w:sz w:val="20"/>
                <w:szCs w:val="20"/>
                <w:color w:val="auto"/>
              </w:rPr>
            </w:pPr>
            <w:r>
              <w:rPr>
                <w:rFonts w:ascii="Arial" w:cs="Arial" w:eastAsia="Arial" w:hAnsi="Arial"/>
                <w:sz w:val="14"/>
                <w:szCs w:val="14"/>
                <w:color w:val="32406B"/>
                <w:w w:val="91"/>
              </w:rPr>
              <w:t>(61,000)</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2406B"/>
                <w:w w:val="94"/>
              </w:rPr>
              <w:t>15,320,213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32406B"/>
              </w:rPr>
              <w:t>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32406B"/>
              </w:rPr>
              <w:t>87,498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32406B"/>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2406B"/>
              </w:rPr>
              <w:t>87,500</w:t>
            </w:r>
          </w:p>
        </w:tc>
        <w:tc>
          <w:tcPr>
            <w:tcW w:w="100" w:type="dxa"/>
            <w:vAlign w:val="bottom"/>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32406B"/>
              </w:rPr>
              <w:t>Pro forma balance as of March 31,</w:t>
            </w: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32406B"/>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32406B"/>
              </w:rPr>
              <w:t>2018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32406B"/>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32406B"/>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32406B"/>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32406B"/>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32406B"/>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600" w:type="dxa"/>
            <w:vAlign w:val="bottom"/>
            <w:tcBorders>
              <w:right w:val="single" w:sz="8" w:color="32406B"/>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32406B"/>
                <w:w w:val="94"/>
              </w:rPr>
              <w:t>17,656,139</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32406B"/>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87,654</w:t>
            </w: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32406B"/>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32406B"/>
              </w:rPr>
              <w:t>(33,620)</w:t>
            </w:r>
          </w:p>
        </w:tc>
        <w:tc>
          <w:tcPr>
            <w:tcW w:w="240" w:type="dxa"/>
            <w:vAlign w:val="bottom"/>
            <w:gridSpan w:val="2"/>
            <w:shd w:val="clear" w:color="auto" w:fill="CCEEFF"/>
          </w:tcPr>
          <w:p>
            <w:pPr>
              <w:jc w:val="right"/>
              <w:ind w:right="43"/>
              <w:spacing w:after="0"/>
              <w:rPr>
                <w:sz w:val="20"/>
                <w:szCs w:val="20"/>
                <w:color w:val="auto"/>
              </w:rPr>
            </w:pPr>
            <w:r>
              <w:rPr>
                <w:rFonts w:ascii="Arial" w:cs="Arial" w:eastAsia="Arial" w:hAnsi="Arial"/>
                <w:sz w:val="14"/>
                <w:szCs w:val="14"/>
                <w:color w:val="32406B"/>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54,036</w:t>
            </w:r>
          </w:p>
        </w:tc>
        <w:tc>
          <w:tcPr>
            <w:tcW w:w="10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32406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F-40</w:t>
      </w:r>
    </w:p>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(amounts in thousands)</w:t>
      </w:r>
    </w:p>
    <w:p>
      <w:pPr>
        <w:spacing w:after="0" w:line="229"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32406B"/>
        </w:rPr>
        <w:t>Three Months Ended</w:t>
      </w:r>
    </w:p>
    <w:p>
      <w:pPr>
        <w:jc w:val="center"/>
        <w:ind w:left="9220"/>
        <w:spacing w:after="0" w:line="236" w:lineRule="auto"/>
        <w:rPr>
          <w:sz w:val="20"/>
          <w:szCs w:val="20"/>
          <w:color w:val="auto"/>
        </w:rPr>
      </w:pPr>
      <w:r>
        <w:rPr>
          <w:rFonts w:ascii="Arial" w:cs="Arial" w:eastAsia="Arial" w:hAnsi="Arial"/>
          <w:sz w:val="14"/>
          <w:szCs w:val="14"/>
          <w:b w:val="1"/>
          <w:bCs w:val="1"/>
          <w:color w:val="32406B"/>
        </w:rPr>
        <w:t>March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32406B"/>
              </w:rPr>
              <w:t>2017</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32406B"/>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Cash flows from operating activities: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32406B"/>
              </w:rPr>
              <w:t>Net loss</w:t>
            </w:r>
          </w:p>
        </w:tc>
        <w:tc>
          <w:tcPr>
            <w:tcW w:w="160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32406B"/>
                <w:w w:val="87"/>
              </w:rPr>
              <w:t>(2,077)</w:t>
            </w:r>
          </w:p>
        </w:tc>
        <w:tc>
          <w:tcPr>
            <w:tcW w:w="2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32406B"/>
                <w:w w:val="94"/>
              </w:rPr>
              <w:t>(8,242)</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32406B"/>
              </w:rPr>
              <w:t>Adjustments to reconcile net loss to net cash used in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32406B"/>
              </w:rPr>
              <w:t>Stock-based compensation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109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Depreciation and amortization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32406B"/>
              </w:rPr>
              <w:t>Impairment loss of property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235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Amortization of deferred offering costs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32406B"/>
              </w:rPr>
              <w:t>Deferred rent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136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32406B"/>
              </w:rPr>
              <w:t>(8)</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Change in fair value of preferred stock warrant liability</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32406B"/>
              </w:rPr>
              <w:t>Change in fair value of derivative liability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587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Changes in operating assets and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700"/>
              <w:spacing w:after="0"/>
              <w:rPr>
                <w:sz w:val="20"/>
                <w:szCs w:val="20"/>
                <w:color w:val="auto"/>
              </w:rPr>
            </w:pPr>
            <w:r>
              <w:rPr>
                <w:rFonts w:ascii="Arial" w:cs="Arial" w:eastAsia="Arial" w:hAnsi="Arial"/>
                <w:sz w:val="18"/>
                <w:szCs w:val="18"/>
                <w:color w:val="32406B"/>
              </w:rPr>
              <w:t>Prepaid expenses and other current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32406B"/>
              </w:rPr>
              <w:t>(105)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32406B"/>
              </w:rPr>
              <w:t>(189)</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Other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(306)</w:t>
            </w:r>
          </w:p>
        </w:tc>
      </w:tr>
      <w:tr>
        <w:trPr>
          <w:trHeight w:val="216"/>
        </w:trPr>
        <w:tc>
          <w:tcPr>
            <w:tcW w:w="20" w:type="dxa"/>
            <w:vAlign w:val="bottom"/>
          </w:tcPr>
          <w:p>
            <w:pPr>
              <w:spacing w:after="0"/>
              <w:rPr>
                <w:sz w:val="18"/>
                <w:szCs w:val="18"/>
                <w:color w:val="auto"/>
              </w:rPr>
            </w:pPr>
          </w:p>
        </w:tc>
        <w:tc>
          <w:tcPr>
            <w:tcW w:w="7800" w:type="dxa"/>
            <w:vAlign w:val="bottom"/>
          </w:tcPr>
          <w:p>
            <w:pPr>
              <w:ind w:left="700"/>
              <w:spacing w:after="0"/>
              <w:rPr>
                <w:sz w:val="20"/>
                <w:szCs w:val="20"/>
                <w:color w:val="auto"/>
              </w:rPr>
            </w:pPr>
            <w:r>
              <w:rPr>
                <w:rFonts w:ascii="Arial" w:cs="Arial" w:eastAsia="Arial" w:hAnsi="Arial"/>
                <w:sz w:val="18"/>
                <w:szCs w:val="18"/>
                <w:color w:val="32406B"/>
              </w:rPr>
              <w:t>Accounts payable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1,438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Accrued expenses and other current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352</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32406B"/>
              </w:rPr>
              <w:t>Net cash used in operating activities</w:t>
            </w: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0"/>
              </w:rPr>
              <w:t>(2,011)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4"/>
              </w:rPr>
              <w:t>(5,980)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Cash flows from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32406B"/>
              </w:rPr>
              <w:t>Purchases of property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32406B"/>
              </w:rPr>
              <w:t>(55)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32406B"/>
              </w:rPr>
              <w:t>(263)</w:t>
            </w: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Net cash used in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(263)</w:t>
            </w: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b w:val="1"/>
                <w:bCs w:val="1"/>
                <w:color w:val="32406B"/>
              </w:rPr>
              <w:t>Cash flows from financing activities:</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32406B"/>
              </w:rPr>
              <w:t>Proceeds from issuance of redeemable convertible preferred stock, net of issuance costs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3,487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7"/>
              </w:rPr>
              <w:t>58,263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32406B"/>
              </w:rPr>
              <w:t>Payments of initial public offering costs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32406B"/>
              </w:rPr>
              <w:t>(55)</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Net cash provided by financing activities</w:t>
            </w:r>
          </w:p>
        </w:tc>
        <w:tc>
          <w:tcPr>
            <w:tcW w:w="1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7"/>
              </w:rPr>
              <w:t>3,487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7"/>
              </w:rPr>
              <w:t>58,208</w:t>
            </w:r>
          </w:p>
        </w:tc>
        <w:tc>
          <w:tcPr>
            <w:tcW w:w="120" w:type="dxa"/>
            <w:vAlign w:val="bottom"/>
            <w:shd w:val="clear" w:color="auto" w:fill="CCEEFF"/>
          </w:tcPr>
          <w:p>
            <w:pPr>
              <w:spacing w:after="0"/>
              <w:rPr>
                <w:sz w:val="18"/>
                <w:szCs w:val="18"/>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b w:val="1"/>
                <w:bCs w:val="1"/>
                <w:color w:val="32406B"/>
              </w:rPr>
              <w:t>Net increase in cash and cash equivalents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w w:val="97"/>
              </w:rPr>
              <w:t>1,421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w w:val="87"/>
              </w:rPr>
              <w:t>51,965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 at beginning of period</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7"/>
              </w:rPr>
              <w:t>5,357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5,963</w:t>
            </w:r>
          </w:p>
        </w:tc>
        <w:tc>
          <w:tcPr>
            <w:tcW w:w="120" w:type="dxa"/>
            <w:vAlign w:val="bottom"/>
            <w:shd w:val="clear" w:color="auto" w:fill="CCEEFF"/>
          </w:tcPr>
          <w:p>
            <w:pPr>
              <w:spacing w:after="0"/>
              <w:rPr>
                <w:sz w:val="18"/>
                <w:szCs w:val="18"/>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color w:val="32406B"/>
              </w:rPr>
              <w:t>Cash and cash equivalents at end of period</w:t>
            </w:r>
          </w:p>
        </w:tc>
        <w:tc>
          <w:tcPr>
            <w:tcW w:w="1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7"/>
              </w:rPr>
              <w:t>6,778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7"/>
              </w:rPr>
              <w:t>57,928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Supplemental disclosure of non-cash investing and financing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32406B"/>
              </w:rPr>
              <w:t>Purchases of property and equipment included in accounts payable</w:t>
            </w:r>
          </w:p>
        </w:tc>
        <w:tc>
          <w:tcPr>
            <w:tcW w:w="160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480" w:type="dxa"/>
            <w:vAlign w:val="bottom"/>
          </w:tcPr>
          <w:p>
            <w:pPr>
              <w:jc w:val="right"/>
              <w:spacing w:after="0"/>
              <w:rPr>
                <w:sz w:val="20"/>
                <w:szCs w:val="20"/>
                <w:color w:val="auto"/>
              </w:rPr>
            </w:pPr>
            <w:r>
              <w:rPr>
                <w:rFonts w:ascii="Arial" w:cs="Arial" w:eastAsia="Arial" w:hAnsi="Arial"/>
                <w:sz w:val="18"/>
                <w:szCs w:val="18"/>
                <w:color w:val="32406B"/>
              </w:rPr>
              <w:t>247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500" w:type="dxa"/>
            <w:vAlign w:val="bottom"/>
          </w:tcPr>
          <w:p>
            <w:pPr>
              <w:jc w:val="right"/>
              <w:spacing w:after="0"/>
              <w:rPr>
                <w:sz w:val="20"/>
                <w:szCs w:val="20"/>
                <w:color w:val="auto"/>
              </w:rPr>
            </w:pPr>
            <w:r>
              <w:rPr>
                <w:rFonts w:ascii="Arial" w:cs="Arial" w:eastAsia="Arial" w:hAnsi="Arial"/>
                <w:sz w:val="18"/>
                <w:szCs w:val="18"/>
                <w:color w:val="32406B"/>
              </w:rPr>
              <w:t>88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32406B"/>
              </w:rPr>
              <w:t>Purchases of property and equipment paid for by landlord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32406B"/>
              </w:rPr>
              <w:t>Property and equipment held for sale</w:t>
            </w:r>
          </w:p>
        </w:tc>
        <w:tc>
          <w:tcPr>
            <w:tcW w:w="160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500" w:type="dxa"/>
            <w:vAlign w:val="bottom"/>
          </w:tcPr>
          <w:p>
            <w:pPr>
              <w:jc w:val="right"/>
              <w:spacing w:after="0"/>
              <w:rPr>
                <w:sz w:val="20"/>
                <w:szCs w:val="20"/>
                <w:color w:val="auto"/>
              </w:rPr>
            </w:pPr>
            <w:r>
              <w:rPr>
                <w:rFonts w:ascii="Arial" w:cs="Arial" w:eastAsia="Arial" w:hAnsi="Arial"/>
                <w:sz w:val="18"/>
                <w:szCs w:val="18"/>
                <w:color w:val="32406B"/>
              </w:rPr>
              <w:t>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32406B"/>
              </w:rPr>
              <w:t>Deferred offering costs included in accrued expenses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507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32406B"/>
              </w:rPr>
              <w:t>Accretion of issuance costs related to redeemable convertible preferred stock</w:t>
            </w:r>
          </w:p>
        </w:tc>
        <w:tc>
          <w:tcPr>
            <w:tcW w:w="160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480" w:type="dxa"/>
            <w:vAlign w:val="bottom"/>
          </w:tcPr>
          <w:p>
            <w:pPr>
              <w:jc w:val="right"/>
              <w:spacing w:after="0"/>
              <w:rPr>
                <w:sz w:val="20"/>
                <w:szCs w:val="20"/>
                <w:color w:val="auto"/>
              </w:rPr>
            </w:pPr>
            <w:r>
              <w:rPr>
                <w:rFonts w:ascii="Arial" w:cs="Arial" w:eastAsia="Arial" w:hAnsi="Arial"/>
                <w:sz w:val="18"/>
                <w:szCs w:val="18"/>
                <w:color w:val="32406B"/>
              </w:rPr>
              <w:t>47</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500" w:type="dxa"/>
            <w:vAlign w:val="bottom"/>
          </w:tcPr>
          <w:p>
            <w:pPr>
              <w:jc w:val="right"/>
              <w:spacing w:after="0"/>
              <w:rPr>
                <w:sz w:val="20"/>
                <w:szCs w:val="20"/>
                <w:color w:val="auto"/>
              </w:rPr>
            </w:pPr>
            <w:r>
              <w:rPr>
                <w:rFonts w:ascii="Arial" w:cs="Arial" w:eastAsia="Arial" w:hAnsi="Arial"/>
                <w:sz w:val="18"/>
                <w:szCs w:val="18"/>
                <w:color w:val="32406B"/>
              </w:rPr>
              <w:t>2,240</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F-41</w:t>
      </w:r>
    </w:p>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32406B"/>
        </w:rPr>
        <w:t>NOTES TO UNAUDITED CONDENSED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 Nature of the Business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32406B"/>
        </w:rPr>
        <w:t xml:space="preserve">AVROBIO, Inc. (the “Company” or “AVROBIO”) is a clinical stage gene therapy company focused on developing potentially curative </w:t>
      </w:r>
      <w:r>
        <w:rPr>
          <w:rFonts w:ascii="Arial" w:cs="Arial" w:eastAsia="Arial" w:hAnsi="Arial"/>
          <w:sz w:val="18"/>
          <w:szCs w:val="18"/>
          <w:i w:val="1"/>
          <w:iCs w:val="1"/>
          <w:color w:val="32406B"/>
        </w:rPr>
        <w:t>ex vivo</w:t>
      </w:r>
      <w:r>
        <w:rPr>
          <w:rFonts w:ascii="Arial" w:cs="Arial" w:eastAsia="Arial" w:hAnsi="Arial"/>
          <w:sz w:val="18"/>
          <w:szCs w:val="18"/>
          <w:color w:val="32406B"/>
        </w:rPr>
        <w:t xml:space="preserve"> lentiviral gene therapies to treat rare diseases following a single dose.</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32406B"/>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Through March 31, 2018, the Company has funded its operations primarily with proceeds from the sale of series Seed redeemable convertible preferred stock (the “Series Seed Preferred Stock”), series A redeemable convertible preferred stock (the “Series A Preferred Stock”) and series B redeemable convertible preferred stock (the “Series B Preferred Stock”), (the Series Seed Preferred Stock, the Series A Preferred Stock and the Series B Preferred Stock are collectively referred to as the “Preferred Stock”). The Company has incurred recurring losses since its inception, including net losses of $8,242 for the three months ended March 31, 2018. In addition, as of March 31, 2018, the Company had an accumulated deficit of $33,621. The Company expects to continue to generate operating losses for the near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32406B"/>
        </w:rPr>
        <w:t>The Company believes the cash and cash equivalents on hand as of March 31, 2018 of $57,928 will be sufficient to fund its operations and capital expenditure requirements through at least May 11, 2019.</w:t>
      </w:r>
    </w:p>
    <w:p>
      <w:pPr>
        <w:spacing w:after="0" w:line="275" w:lineRule="exact"/>
        <w:rPr>
          <w:sz w:val="20"/>
          <w:szCs w:val="20"/>
          <w:color w:val="auto"/>
        </w:rPr>
      </w:pPr>
    </w:p>
    <w:p>
      <w:pPr>
        <w:ind w:left="640" w:right="7440" w:hanging="436"/>
        <w:spacing w:after="0" w:line="378" w:lineRule="auto"/>
        <w:tabs>
          <w:tab w:leader="none" w:pos="379" w:val="left"/>
        </w:tabs>
        <w:numPr>
          <w:ilvl w:val="0"/>
          <w:numId w:val="115"/>
        </w:numPr>
        <w:rPr>
          <w:rFonts w:ascii="Arial" w:cs="Arial" w:eastAsia="Arial" w:hAnsi="Arial"/>
          <w:sz w:val="18"/>
          <w:szCs w:val="18"/>
          <w:b w:val="1"/>
          <w:bCs w:val="1"/>
          <w:color w:val="32406B"/>
        </w:rPr>
      </w:pPr>
      <w:r>
        <w:rPr>
          <w:rFonts w:ascii="Arial" w:cs="Arial" w:eastAsia="Arial" w:hAnsi="Arial"/>
          <w:sz w:val="18"/>
          <w:szCs w:val="18"/>
          <w:b w:val="1"/>
          <w:bCs w:val="1"/>
          <w:color w:val="32406B"/>
        </w:rPr>
        <w:t xml:space="preserve">Summary of Significant Accounting Policies </w:t>
      </w:r>
      <w:r>
        <w:rPr>
          <w:rFonts w:ascii="Arial" w:cs="Arial" w:eastAsia="Arial" w:hAnsi="Arial"/>
          <w:sz w:val="18"/>
          <w:szCs w:val="18"/>
          <w:b w:val="1"/>
          <w:bCs w:val="1"/>
          <w:i w:val="1"/>
          <w:iCs w:val="1"/>
          <w:color w:val="32406B"/>
        </w:rPr>
        <w:t>Basis of presentation</w:t>
      </w:r>
    </w:p>
    <w:p>
      <w:pPr>
        <w:ind w:left="200" w:right="120" w:firstLine="441"/>
        <w:spacing w:after="0" w:line="259" w:lineRule="auto"/>
        <w:rPr>
          <w:sz w:val="20"/>
          <w:szCs w:val="20"/>
          <w:color w:val="auto"/>
        </w:rPr>
      </w:pPr>
      <w:r>
        <w:rPr>
          <w:rFonts w:ascii="Arial" w:cs="Arial" w:eastAsia="Arial" w:hAnsi="Arial"/>
          <w:sz w:val="18"/>
          <w:szCs w:val="18"/>
          <w:color w:val="32406B"/>
        </w:rPr>
        <w:t>The accompanying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32406B"/>
        </w:rPr>
        <w:t>The unaudited condensed consolidated interim financial statements have been prepared on the same basis as the audited annual consolidated financial statements as of and for the year ended December 31, 2017, and, in the opinion of management, reflect all adjustments, consisting of normal recurring adjustments, necessary for the fair presentation of the Company’s financial position as of March 31, 2018, and the results of its operations and its cash flows for the three months ended March 31, 2017 and 2018.</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F-42</w:t>
      </w:r>
    </w:p>
    <w:p>
      <w:pPr>
        <w:sectPr>
          <w:pgSz w:w="11900" w:h="16838" w:orient="portrait"/>
          <w:cols w:equalWidth="0" w:num="1">
            <w:col w:w="11200"/>
          </w:cols>
          <w:pgMar w:left="240" w:top="460"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2. Summary of Significant Accounting Policies (continued)</w:t>
      </w:r>
    </w:p>
    <w:p>
      <w:pPr>
        <w:spacing w:after="0" w:line="135"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32406B"/>
        </w:rPr>
        <w:t>The results for the three months ended March 31, 2018 are not necessarily indicative of the results to be expected for the year ending December 31, 2018, any other interim periods, or any future year or period. These interim financial statements should be read in conjunction with the audited financial statements as of and for the year ended December 31, 2017, and the notes thereto, which are included elsewhere in the Company’s confidentially submitted Registration Statement on Form S-1.</w:t>
      </w:r>
    </w:p>
    <w:p>
      <w:pPr>
        <w:spacing w:after="0" w:line="18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32406B"/>
        </w:rPr>
        <w:t>The Company’s significant accounting policies are disclosed in the audited consolidated financial statements for the year ended December 31, 2017 included in the Company’s Form S-1. Since the date of such consolidated financial statements, there have been no changes to the Company’s significant accounting policies.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Unaudited Pro Forma Information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The accompanying unaudited pro forma condensed consolidated balance sheet and statement of redeemable convertible preferred stock and stockholders’ (deficit) equity as of March 31, 2018 has been prepared to give effect, upon the closing of a qualified initial public offering (“IPO”), to the conversion of all outstanding shares of redeemable convertible preferred stock into 15,320,213 shares of common stock and the conversion of the outstanding warrant to purchase shares of redeemable convertible preferred stock as of March 31, 2018 into a warrant to purchase shares of common stock as if the Company’s proposed IPO had occurred on March 31, 2018.</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In the accompanying unaudited condensed consolidated statements of operations and comprehensive loss, the unaudited pro forma basic and diluted net loss per share attributable to common stockholders for the three months ended March 31, 2018 has been computed using the weighted-average number of common shares outstanding after giving pro forma effect to the conversion of all outstanding shares of redeemable convertible preferred stock into shares of common stock and the conversion of the outstanding warrant to purchase shares of redeemable convertible preferred stock as of March 31, 2018 into a warrant to purchase shares of common stock, as if such conversion had occurred at the beginning of the period presented or the date of original issuance, whichever is later. Accordingly, the effect of the accretion to redemption value of the redeemable convertible preferred stock has been excluded from the determination of pro forma basic and diluted loss per share attributable to common stockholders. Additionally, the changes in the fair value of the warrant to purchase redeemable convertible preferred stock has been excluded from the determination of pro forma basic and diluted net loss per share attributable to common stockholders as these instruments are not required be recorded at fair value once it becomes a warrant to purchase common stock.</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Subsequent Event Considerations</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32406B"/>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16.</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F-43</w:t>
      </w:r>
    </w:p>
    <w:p>
      <w:pPr>
        <w:sectPr>
          <w:pgSz w:w="11900" w:h="16838" w:orient="portrait"/>
          <w:cols w:equalWidth="0" w:num="1">
            <w:col w:w="11180"/>
          </w:cols>
          <w:pgMar w:left="240" w:top="460" w:right="4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3. Fair Value of Financial Assets and Liabilities</w:t>
      </w:r>
    </w:p>
    <w:p>
      <w:pPr>
        <w:spacing w:after="0" w:line="12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32406B"/>
        </w:rPr>
        <w:t>The following table presents information about the Company’s financial assets and liabilities measured at fair value on a recurring basis and indicates the level of the fair value hierarchy utilized to determine such fair values as of December 31, 2017 and March 31, 2018, respectively:</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gridSpan w:val="7"/>
          </w:tcPr>
          <w:p>
            <w:pPr>
              <w:jc w:val="center"/>
              <w:spacing w:after="0"/>
              <w:rPr>
                <w:sz w:val="20"/>
                <w:szCs w:val="20"/>
                <w:color w:val="auto"/>
              </w:rPr>
            </w:pPr>
            <w:r>
              <w:rPr>
                <w:rFonts w:ascii="Arial" w:cs="Arial" w:eastAsia="Arial" w:hAnsi="Arial"/>
                <w:sz w:val="14"/>
                <w:szCs w:val="14"/>
                <w:b w:val="1"/>
                <w:bCs w:val="1"/>
                <w:color w:val="32406B"/>
                <w:w w:val="92"/>
              </w:rPr>
              <w:t>Fair Value Measurements as of</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32406B"/>
                <w:w w:val="92"/>
              </w:rPr>
              <w:t>December 31, 2017 Using: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32406B"/>
              </w:rPr>
              <w:t>Level 1</w:t>
            </w:r>
          </w:p>
        </w:tc>
        <w:tc>
          <w:tcPr>
            <w:tcW w:w="82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32406B"/>
                <w:w w:val="92"/>
              </w:rPr>
              <w:t>Level 2</w:t>
            </w:r>
          </w:p>
        </w:tc>
        <w:tc>
          <w:tcPr>
            <w:tcW w:w="360" w:type="dxa"/>
            <w:vAlign w:val="bottom"/>
          </w:tcPr>
          <w:p>
            <w:pPr>
              <w:spacing w:after="0"/>
              <w:rPr>
                <w:sz w:val="12"/>
                <w:szCs w:val="12"/>
                <w:color w:val="auto"/>
              </w:rPr>
            </w:pPr>
          </w:p>
        </w:tc>
        <w:tc>
          <w:tcPr>
            <w:tcW w:w="8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32406B"/>
              </w:rPr>
              <w:t>Level 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32406B"/>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32406B"/>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32406B"/>
              </w:rPr>
              <w:t>Money market funds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32406B"/>
                <w:w w:val="79"/>
              </w:rPr>
              <w:t>$</w:t>
            </w:r>
          </w:p>
        </w:tc>
        <w:tc>
          <w:tcPr>
            <w:tcW w:w="500" w:type="dxa"/>
            <w:vAlign w:val="bottom"/>
          </w:tcPr>
          <w:p>
            <w:pPr>
              <w:jc w:val="right"/>
              <w:spacing w:after="0"/>
              <w:rPr>
                <w:sz w:val="20"/>
                <w:szCs w:val="20"/>
                <w:color w:val="auto"/>
              </w:rPr>
            </w:pPr>
            <w:r>
              <w:rPr>
                <w:rFonts w:ascii="Arial" w:cs="Arial" w:eastAsia="Arial" w:hAnsi="Arial"/>
                <w:sz w:val="18"/>
                <w:szCs w:val="18"/>
                <w:color w:val="32406B"/>
              </w:rPr>
              <w:t>5,684</w:t>
            </w:r>
          </w:p>
        </w:tc>
        <w:tc>
          <w:tcPr>
            <w:tcW w:w="540" w:type="dxa"/>
            <w:vAlign w:val="bottom"/>
            <w:gridSpan w:val="2"/>
          </w:tcPr>
          <w:p>
            <w:pPr>
              <w:ind w:left="360"/>
              <w:spacing w:after="0"/>
              <w:rPr>
                <w:sz w:val="20"/>
                <w:szCs w:val="20"/>
                <w:color w:val="auto"/>
              </w:rPr>
            </w:pPr>
            <w:r>
              <w:rPr>
                <w:rFonts w:ascii="Arial" w:cs="Arial" w:eastAsia="Arial" w:hAnsi="Arial"/>
                <w:sz w:val="18"/>
                <w:szCs w:val="18"/>
                <w:color w:val="32406B"/>
              </w:rPr>
              <w:t>$</w:t>
            </w:r>
          </w:p>
        </w:tc>
        <w:tc>
          <w:tcPr>
            <w:tcW w:w="280" w:type="dxa"/>
            <w:vAlign w:val="bottom"/>
          </w:tcPr>
          <w:p>
            <w:pPr>
              <w:ind w:left="80"/>
              <w:spacing w:after="0"/>
              <w:rPr>
                <w:sz w:val="20"/>
                <w:szCs w:val="20"/>
                <w:color w:val="auto"/>
              </w:rPr>
            </w:pPr>
            <w:r>
              <w:rPr>
                <w:rFonts w:ascii="Arial" w:cs="Arial" w:eastAsia="Arial" w:hAnsi="Arial"/>
                <w:sz w:val="18"/>
                <w:szCs w:val="18"/>
                <w:color w:val="32406B"/>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32406B"/>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32406B"/>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32406B"/>
                <w:w w:val="99"/>
              </w:rPr>
              <w:t>$</w:t>
            </w:r>
          </w:p>
        </w:tc>
        <w:tc>
          <w:tcPr>
            <w:tcW w:w="500" w:type="dxa"/>
            <w:vAlign w:val="bottom"/>
          </w:tcPr>
          <w:p>
            <w:pPr>
              <w:jc w:val="right"/>
              <w:spacing w:after="0"/>
              <w:rPr>
                <w:sz w:val="20"/>
                <w:szCs w:val="20"/>
                <w:color w:val="auto"/>
              </w:rPr>
            </w:pPr>
            <w:r>
              <w:rPr>
                <w:rFonts w:ascii="Arial" w:cs="Arial" w:eastAsia="Arial" w:hAnsi="Arial"/>
                <w:sz w:val="18"/>
                <w:szCs w:val="18"/>
                <w:color w:val="32406B"/>
              </w:rPr>
              <w:t>5,684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32406B"/>
                <w:w w:val="99"/>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5,708</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32406B"/>
                <w:w w:val="99"/>
              </w:rPr>
              <w:t>—</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32406B"/>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5,708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32406B"/>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32406B"/>
              </w:rPr>
              <w:t>Derivative liability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32406B"/>
                <w:w w:val="79"/>
              </w:rPr>
              <w:t>$</w:t>
            </w:r>
          </w:p>
        </w:tc>
        <w:tc>
          <w:tcPr>
            <w:tcW w:w="500" w:type="dxa"/>
            <w:vAlign w:val="bottom"/>
          </w:tcPr>
          <w:p>
            <w:pPr>
              <w:jc w:val="right"/>
              <w:spacing w:after="0"/>
              <w:rPr>
                <w:sz w:val="20"/>
                <w:szCs w:val="20"/>
                <w:color w:val="auto"/>
              </w:rPr>
            </w:pPr>
            <w:r>
              <w:rPr>
                <w:rFonts w:ascii="Arial" w:cs="Arial" w:eastAsia="Arial" w:hAnsi="Arial"/>
                <w:sz w:val="18"/>
                <w:szCs w:val="18"/>
                <w:color w:val="32406B"/>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32406B"/>
              </w:rPr>
              <w:t>$</w:t>
            </w:r>
          </w:p>
        </w:tc>
        <w:tc>
          <w:tcPr>
            <w:tcW w:w="280" w:type="dxa"/>
            <w:vAlign w:val="bottom"/>
          </w:tcPr>
          <w:p>
            <w:pPr>
              <w:ind w:left="80"/>
              <w:spacing w:after="0"/>
              <w:rPr>
                <w:sz w:val="20"/>
                <w:szCs w:val="20"/>
                <w:color w:val="auto"/>
              </w:rPr>
            </w:pPr>
            <w:r>
              <w:rPr>
                <w:rFonts w:ascii="Arial" w:cs="Arial" w:eastAsia="Arial" w:hAnsi="Arial"/>
                <w:sz w:val="18"/>
                <w:szCs w:val="18"/>
                <w:color w:val="32406B"/>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32406B"/>
              </w:rPr>
              <w:t>$</w:t>
            </w:r>
          </w:p>
        </w:tc>
        <w:tc>
          <w:tcPr>
            <w:tcW w:w="340" w:type="dxa"/>
            <w:vAlign w:val="bottom"/>
          </w:tcPr>
          <w:p>
            <w:pPr>
              <w:jc w:val="right"/>
              <w:spacing w:after="0"/>
              <w:rPr>
                <w:sz w:val="20"/>
                <w:szCs w:val="20"/>
                <w:color w:val="auto"/>
              </w:rPr>
            </w:pPr>
            <w:r>
              <w:rPr>
                <w:rFonts w:ascii="Arial" w:cs="Arial" w:eastAsia="Arial" w:hAnsi="Arial"/>
                <w:sz w:val="18"/>
                <w:szCs w:val="18"/>
                <w:color w:val="32406B"/>
              </w:rPr>
              <w:t>371</w:t>
            </w:r>
          </w:p>
        </w:tc>
        <w:tc>
          <w:tcPr>
            <w:tcW w:w="3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32406B"/>
                <w:w w:val="99"/>
              </w:rPr>
              <w:t>$</w:t>
            </w:r>
          </w:p>
        </w:tc>
        <w:tc>
          <w:tcPr>
            <w:tcW w:w="500" w:type="dxa"/>
            <w:vAlign w:val="bottom"/>
          </w:tcPr>
          <w:p>
            <w:pPr>
              <w:jc w:val="right"/>
              <w:spacing w:after="0"/>
              <w:rPr>
                <w:sz w:val="20"/>
                <w:szCs w:val="20"/>
                <w:color w:val="auto"/>
              </w:rPr>
            </w:pPr>
            <w:r>
              <w:rPr>
                <w:rFonts w:ascii="Arial" w:cs="Arial" w:eastAsia="Arial" w:hAnsi="Arial"/>
                <w:sz w:val="18"/>
                <w:szCs w:val="18"/>
                <w:color w:val="32406B"/>
              </w:rPr>
              <w:t>371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Warrant to purchase redeemable convertible preferred stock</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32406B"/>
                <w:w w:val="99"/>
              </w:rPr>
              <w:t>—</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35</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32406B"/>
                <w:w w:val="99"/>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32406B"/>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406</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406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0" w:type="dxa"/>
            <w:vAlign w:val="bottom"/>
            <w:gridSpan w:val="7"/>
          </w:tcPr>
          <w:p>
            <w:pPr>
              <w:jc w:val="center"/>
              <w:spacing w:after="0"/>
              <w:rPr>
                <w:sz w:val="20"/>
                <w:szCs w:val="20"/>
                <w:color w:val="auto"/>
              </w:rPr>
            </w:pPr>
            <w:r>
              <w:rPr>
                <w:rFonts w:ascii="Arial" w:cs="Arial" w:eastAsia="Arial" w:hAnsi="Arial"/>
                <w:sz w:val="14"/>
                <w:szCs w:val="14"/>
                <w:b w:val="1"/>
                <w:bCs w:val="1"/>
                <w:color w:val="32406B"/>
                <w:w w:val="92"/>
              </w:rPr>
              <w:t>Fair Value Measurements as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32406B"/>
                <w:w w:val="95"/>
              </w:rPr>
              <w:t>March 31, 2018 Using: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32406B"/>
              </w:rPr>
              <w:t>Level 1</w:t>
            </w:r>
          </w:p>
        </w:tc>
        <w:tc>
          <w:tcPr>
            <w:tcW w:w="82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32406B"/>
                <w:w w:val="92"/>
              </w:rPr>
              <w:t>Level 2</w:t>
            </w:r>
          </w:p>
        </w:tc>
        <w:tc>
          <w:tcPr>
            <w:tcW w:w="360" w:type="dxa"/>
            <w:vAlign w:val="bottom"/>
          </w:tcPr>
          <w:p>
            <w:pPr>
              <w:spacing w:after="0"/>
              <w:rPr>
                <w:sz w:val="12"/>
                <w:szCs w:val="12"/>
                <w:color w:val="auto"/>
              </w:rPr>
            </w:pPr>
          </w:p>
        </w:tc>
        <w:tc>
          <w:tcPr>
            <w:tcW w:w="8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32406B"/>
              </w:rPr>
              <w:t>Level 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32406B"/>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32406B"/>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32406B"/>
              </w:rPr>
              <w:t>Money market funds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32406B"/>
                <w:w w:val="79"/>
              </w:rPr>
              <w:t>$</w:t>
            </w:r>
          </w:p>
        </w:tc>
        <w:tc>
          <w:tcPr>
            <w:tcW w:w="500" w:type="dxa"/>
            <w:vAlign w:val="bottom"/>
          </w:tcPr>
          <w:p>
            <w:pPr>
              <w:jc w:val="right"/>
              <w:spacing w:after="0"/>
              <w:rPr>
                <w:sz w:val="20"/>
                <w:szCs w:val="20"/>
                <w:color w:val="auto"/>
              </w:rPr>
            </w:pPr>
            <w:r>
              <w:rPr>
                <w:rFonts w:ascii="Arial" w:cs="Arial" w:eastAsia="Arial" w:hAnsi="Arial"/>
                <w:sz w:val="18"/>
                <w:szCs w:val="18"/>
                <w:color w:val="32406B"/>
                <w:w w:val="87"/>
              </w:rPr>
              <w:t>57,459</w:t>
            </w:r>
          </w:p>
        </w:tc>
        <w:tc>
          <w:tcPr>
            <w:tcW w:w="540" w:type="dxa"/>
            <w:vAlign w:val="bottom"/>
            <w:gridSpan w:val="2"/>
          </w:tcPr>
          <w:p>
            <w:pPr>
              <w:ind w:left="360"/>
              <w:spacing w:after="0"/>
              <w:rPr>
                <w:sz w:val="20"/>
                <w:szCs w:val="20"/>
                <w:color w:val="auto"/>
              </w:rPr>
            </w:pPr>
            <w:r>
              <w:rPr>
                <w:rFonts w:ascii="Arial" w:cs="Arial" w:eastAsia="Arial" w:hAnsi="Arial"/>
                <w:sz w:val="18"/>
                <w:szCs w:val="18"/>
                <w:color w:val="32406B"/>
              </w:rPr>
              <w:t>$</w:t>
            </w:r>
          </w:p>
        </w:tc>
        <w:tc>
          <w:tcPr>
            <w:tcW w:w="280" w:type="dxa"/>
            <w:vAlign w:val="bottom"/>
          </w:tcPr>
          <w:p>
            <w:pPr>
              <w:ind w:left="80"/>
              <w:spacing w:after="0"/>
              <w:rPr>
                <w:sz w:val="20"/>
                <w:szCs w:val="20"/>
                <w:color w:val="auto"/>
              </w:rPr>
            </w:pPr>
            <w:r>
              <w:rPr>
                <w:rFonts w:ascii="Arial" w:cs="Arial" w:eastAsia="Arial" w:hAnsi="Arial"/>
                <w:sz w:val="18"/>
                <w:szCs w:val="18"/>
                <w:color w:val="32406B"/>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32406B"/>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32406B"/>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32406B"/>
                <w:w w:val="99"/>
              </w:rPr>
              <w:t>$</w:t>
            </w:r>
          </w:p>
        </w:tc>
        <w:tc>
          <w:tcPr>
            <w:tcW w:w="500" w:type="dxa"/>
            <w:vAlign w:val="bottom"/>
          </w:tcPr>
          <w:p>
            <w:pPr>
              <w:jc w:val="right"/>
              <w:spacing w:after="0"/>
              <w:rPr>
                <w:sz w:val="20"/>
                <w:szCs w:val="20"/>
                <w:color w:val="auto"/>
              </w:rPr>
            </w:pPr>
            <w:r>
              <w:rPr>
                <w:rFonts w:ascii="Arial" w:cs="Arial" w:eastAsia="Arial" w:hAnsi="Arial"/>
                <w:sz w:val="18"/>
                <w:szCs w:val="18"/>
                <w:color w:val="32406B"/>
                <w:w w:val="87"/>
              </w:rPr>
              <w:t>57,459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Restricted cash</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24</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7"/>
              </w:rPr>
              <w:t>57,483</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32406B"/>
                <w:w w:val="99"/>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32406B"/>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7"/>
              </w:rPr>
              <w:t>57,483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32406B"/>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32406B"/>
              </w:rPr>
              <w:t>Derivative liability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32406B"/>
                <w:w w:val="79"/>
              </w:rPr>
              <w:t>$</w:t>
            </w:r>
          </w:p>
        </w:tc>
        <w:tc>
          <w:tcPr>
            <w:tcW w:w="500" w:type="dxa"/>
            <w:vAlign w:val="bottom"/>
          </w:tcPr>
          <w:p>
            <w:pPr>
              <w:jc w:val="right"/>
              <w:spacing w:after="0"/>
              <w:rPr>
                <w:sz w:val="20"/>
                <w:szCs w:val="20"/>
                <w:color w:val="auto"/>
              </w:rPr>
            </w:pPr>
            <w:r>
              <w:rPr>
                <w:rFonts w:ascii="Arial" w:cs="Arial" w:eastAsia="Arial" w:hAnsi="Arial"/>
                <w:sz w:val="18"/>
                <w:szCs w:val="18"/>
                <w:color w:val="32406B"/>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32406B"/>
              </w:rPr>
              <w:t>$</w:t>
            </w:r>
          </w:p>
        </w:tc>
        <w:tc>
          <w:tcPr>
            <w:tcW w:w="280" w:type="dxa"/>
            <w:vAlign w:val="bottom"/>
          </w:tcPr>
          <w:p>
            <w:pPr>
              <w:ind w:left="80"/>
              <w:spacing w:after="0"/>
              <w:rPr>
                <w:sz w:val="20"/>
                <w:szCs w:val="20"/>
                <w:color w:val="auto"/>
              </w:rPr>
            </w:pPr>
            <w:r>
              <w:rPr>
                <w:rFonts w:ascii="Arial" w:cs="Arial" w:eastAsia="Arial" w:hAnsi="Arial"/>
                <w:sz w:val="18"/>
                <w:szCs w:val="18"/>
                <w:color w:val="32406B"/>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32406B"/>
              </w:rPr>
              <w:t>$</w:t>
            </w:r>
          </w:p>
        </w:tc>
        <w:tc>
          <w:tcPr>
            <w:tcW w:w="340" w:type="dxa"/>
            <w:vAlign w:val="bottom"/>
          </w:tcPr>
          <w:p>
            <w:pPr>
              <w:jc w:val="right"/>
              <w:spacing w:after="0"/>
              <w:rPr>
                <w:sz w:val="20"/>
                <w:szCs w:val="20"/>
                <w:color w:val="auto"/>
              </w:rPr>
            </w:pPr>
            <w:r>
              <w:rPr>
                <w:rFonts w:ascii="Arial" w:cs="Arial" w:eastAsia="Arial" w:hAnsi="Arial"/>
                <w:sz w:val="18"/>
                <w:szCs w:val="18"/>
                <w:color w:val="32406B"/>
              </w:rPr>
              <w:t>958</w:t>
            </w:r>
          </w:p>
        </w:tc>
        <w:tc>
          <w:tcPr>
            <w:tcW w:w="3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32406B"/>
                <w:w w:val="99"/>
              </w:rPr>
              <w:t>$</w:t>
            </w:r>
          </w:p>
        </w:tc>
        <w:tc>
          <w:tcPr>
            <w:tcW w:w="500" w:type="dxa"/>
            <w:vAlign w:val="bottom"/>
          </w:tcPr>
          <w:p>
            <w:pPr>
              <w:jc w:val="right"/>
              <w:spacing w:after="0"/>
              <w:rPr>
                <w:sz w:val="20"/>
                <w:szCs w:val="20"/>
                <w:color w:val="auto"/>
              </w:rPr>
            </w:pPr>
            <w:r>
              <w:rPr>
                <w:rFonts w:ascii="Arial" w:cs="Arial" w:eastAsia="Arial" w:hAnsi="Arial"/>
                <w:sz w:val="18"/>
                <w:szCs w:val="18"/>
                <w:color w:val="32406B"/>
              </w:rPr>
              <w:t>958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Warrant to purchase redeemable convertible preferred stock</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32406B"/>
                <w:w w:val="99"/>
              </w:rPr>
              <w:t>—</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47</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32406B"/>
                <w:w w:val="99"/>
              </w:rPr>
              <w:t>—</w:t>
            </w:r>
          </w:p>
        </w:tc>
        <w:tc>
          <w:tcPr>
            <w:tcW w:w="3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w w:val="87"/>
              </w:rPr>
              <w:t>$1,005</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1,005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During the three months ended March 31, 2017 and 2018, there were no transfers between Level 1, Level 2 and Level 3.</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Valuation of the Warrant to Purchase Preferred Stock</w:t>
      </w:r>
    </w:p>
    <w:p>
      <w:pPr>
        <w:spacing w:after="0" w:line="11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32406B"/>
        </w:rPr>
        <w:t>The warrant to purchase preferred stock liability in the table above is composed of the fair value of a warrant to purchase shares of Series A Preferred Stock that was issued to a lender in connection with a loan and security agreement in 2017. The fair value of the warrant to purchase preferred stock was determined based on significant inputs not observable in the market, which represents a Level 3 measurement within the fair value hierarchy.</w:t>
      </w:r>
    </w:p>
    <w:p>
      <w:pPr>
        <w:spacing w:after="0" w:line="14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32406B"/>
        </w:rPr>
        <w:t>In order to determine the fair value of the warrant to purchase preferred stock, the Company utilizes available facts and circumstances to estimate the number of shares of Series A Preferred Stock for which the warrant will ultimately be exercisable. The Company then used the Black-Scholes option-pricing model, which incorporates assumptions and estimates, to value the warrant to purchase preferred stock. Estimates and</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F-44</w:t>
      </w:r>
    </w:p>
    <w:p>
      <w:pPr>
        <w:sectPr>
          <w:pgSz w:w="11900" w:h="16838" w:orient="portrait"/>
          <w:cols w:equalWidth="0" w:num="1">
            <w:col w:w="11240"/>
          </w:cols>
          <w:pgMar w:left="240" w:top="460"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3. Fair Value of Financial Assets and Liabilities (continued)</w:t>
      </w:r>
    </w:p>
    <w:p>
      <w:pPr>
        <w:spacing w:after="0" w:line="135"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32406B"/>
        </w:rPr>
        <w:t>assumptions impacting the fair value measurement include the fair value of the underlying shares of Series A Preferred Stock, the remaining contractual term of the warrant, risk-free interest rate, expected dividend yield and expected volatility of the price of the underlying preferred stock. The Company determined the fair value of the underlying preferred stock based on various valuation methodologies. The Company lacks company-specific historical and implied volatility information of its stock. Therefore, it estimates its expected stock volatility based on the historical volatility of publicly traded guideline companies for a term equal to the remaining contractual term of the warrant. The risk-free interest rate is determined by reference to the U.S. Treasury yield curve for time periods approximately equal to the remaining contractual term of the warrant. The Company estimated no expected dividend yield based on the fact that the Company has never paid or declared dividends and does not intend to do so in the foreseeable future.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assumptions that the Company used to determine the fair value of the warrant to purchase preferred stock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860" w:type="dxa"/>
            <w:vAlign w:val="bottom"/>
            <w:gridSpan w:val="4"/>
          </w:tcPr>
          <w:p>
            <w:pPr>
              <w:ind w:left="2000"/>
              <w:spacing w:after="0"/>
              <w:rPr>
                <w:sz w:val="20"/>
                <w:szCs w:val="20"/>
                <w:color w:val="auto"/>
              </w:rPr>
            </w:pPr>
            <w:r>
              <w:rPr>
                <w:rFonts w:ascii="Arial" w:cs="Arial" w:eastAsia="Arial" w:hAnsi="Arial"/>
                <w:sz w:val="14"/>
                <w:szCs w:val="14"/>
                <w:b w:val="1"/>
                <w:bCs w:val="1"/>
                <w:color w:val="32406B"/>
              </w:rPr>
              <w:t>December 31, 2017</w:t>
            </w:r>
          </w:p>
        </w:tc>
        <w:tc>
          <w:tcPr>
            <w:tcW w:w="1720" w:type="dxa"/>
            <w:vAlign w:val="bottom"/>
            <w:gridSpan w:val="4"/>
          </w:tcPr>
          <w:p>
            <w:pPr>
              <w:ind w:left="540"/>
              <w:spacing w:after="0"/>
              <w:rPr>
                <w:sz w:val="20"/>
                <w:szCs w:val="20"/>
                <w:color w:val="auto"/>
              </w:rPr>
            </w:pPr>
            <w:r>
              <w:rPr>
                <w:rFonts w:ascii="Arial" w:cs="Arial" w:eastAsia="Arial" w:hAnsi="Arial"/>
                <w:sz w:val="14"/>
                <w:szCs w:val="14"/>
                <w:b w:val="1"/>
                <w:bCs w:val="1"/>
                <w:color w:val="32406B"/>
              </w:rPr>
              <w:t>March 31, 2018</w:t>
            </w: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Remaining contractual term</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9.48</w:t>
            </w:r>
          </w:p>
        </w:tc>
        <w:tc>
          <w:tcPr>
            <w:tcW w:w="7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9.23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32406B"/>
              </w:rPr>
              <w:t>Risk-free interest rate</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32406B"/>
              </w:rPr>
              <w:t>2.40%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rPr>
              <w:t>2.74%</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32406B"/>
              </w:rPr>
              <w:t>Expected volatility</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32406B"/>
              </w:rPr>
              <w:t>82.00%</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82.00%</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32406B"/>
              </w:rPr>
              <w:t>Expected dividend yield</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32406B"/>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rPr>
              <w:t>0%</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32406B"/>
              </w:rPr>
              <w:t>Fair value of Series A Preferred Stock per share</w:t>
            </w:r>
          </w:p>
        </w:tc>
        <w:tc>
          <w:tcPr>
            <w:tcW w:w="242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32406B"/>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1.42</w:t>
            </w: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32406B"/>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1.88</w:t>
            </w:r>
          </w:p>
        </w:tc>
        <w:tc>
          <w:tcPr>
            <w:tcW w:w="2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32406B"/>
        </w:rPr>
        <w:t>The following table sets forth a summary of changes in the fair value of the Company’s preferred stock warrant liability for which fair value is determined by Level 3 inputs: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4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32406B"/>
              </w:rPr>
              <w:t>Warrant</w:t>
            </w: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32406B"/>
              </w:rPr>
              <w:t>Liability</w:t>
            </w: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Balance as of December 31, 2017</w:t>
            </w:r>
          </w:p>
        </w:tc>
        <w:tc>
          <w:tcPr>
            <w:tcW w:w="4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32406B"/>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35</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32406B"/>
              </w:rPr>
              <w:t>Change in fair value.</w:t>
            </w:r>
          </w:p>
        </w:tc>
        <w:tc>
          <w:tcPr>
            <w:tcW w:w="4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32406B"/>
              </w:rPr>
              <w:t>Balance as of March 31, 2018</w:t>
            </w:r>
          </w:p>
        </w:tc>
        <w:tc>
          <w:tcPr>
            <w:tcW w:w="42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32406B"/>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Valuation of Derivative</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32406B"/>
        </w:rPr>
        <w:t>In January 2016, in connection with a license agreement entered into with University Health Network (“UHN”), and as part of the initial consideration for the license, the Company issued 1,161,665 shares of common stock to UHN pursuant to a stock purchase agreement (the “Stock Purchase Agreement”). The Stock Purchase Agreement contains a provision requiring the Company to make a cash payment to UHN of up to $2,000 if UHN’s fully diluted ownership is reduced within specified percentages as part of an IPO by the Company. The Company concluded the anti-dilution feature represented a derivative instrument and should be measured at fair value, with changes in fair value recognized as a gain or loss to other income (expense), net in the consolidated statements of operations and comprehensive loss. The initial fair value of the derivative of $49 was recorded as research and development expense in January 2016.</w:t>
      </w:r>
    </w:p>
    <w:p>
      <w:pPr>
        <w:spacing w:after="0" w:line="18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32406B"/>
        </w:rPr>
        <w:t>On March 31, 2017 and 2018, the Company remeasured the fair value of the derivative, using current assumptions, resulting in an increase in fair value of $32 and $587, respectively, which was recorded in other expense in the accompanying condensed consolidated statements of operations and comprehensive loss for the three months ended March 31, 2017 and 2018. The Company will continue to re-measure the fair value of the liability at the end of each reporting period until the completion of an IPO.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F-45</w:t>
      </w:r>
    </w:p>
    <w:p>
      <w:pPr>
        <w:sectPr>
          <w:pgSz w:w="11900" w:h="16838" w:orient="portrait"/>
          <w:cols w:equalWidth="0" w:num="1">
            <w:col w:w="11240"/>
          </w:cols>
          <w:pgMar w:left="240" w:top="459" w:right="4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3. Fair Value of Financial Assets and Liabilities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The following table sets forth a summary of changes in the fair value of the Company’s derivative liability for which fair value is determined by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Level 3 inputs: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6"/>
          </w:tcPr>
          <w:p>
            <w:pPr>
              <w:ind w:left="40"/>
              <w:spacing w:after="0"/>
              <w:rPr>
                <w:sz w:val="20"/>
                <w:szCs w:val="20"/>
                <w:color w:val="auto"/>
              </w:rPr>
            </w:pPr>
            <w:r>
              <w:rPr>
                <w:rFonts w:ascii="Arial" w:cs="Arial" w:eastAsia="Arial" w:hAnsi="Arial"/>
                <w:sz w:val="14"/>
                <w:szCs w:val="14"/>
                <w:b w:val="1"/>
                <w:bCs w:val="1"/>
                <w:color w:val="32406B"/>
              </w:rPr>
              <w:t>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32406B"/>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Balance as of December 31, 2017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32406B"/>
                <w:w w:val="9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371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32406B"/>
              </w:rPr>
              <w:t>Change in fair 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587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32406B"/>
              </w:rPr>
              <w:t>Balance as of March 31, 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32406B"/>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4. Prepaid Expenses and Other Current Assets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32406B"/>
              </w:rPr>
              <w:t>Prepaid expenses and other current assets consisted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6"/>
          </w:tcPr>
          <w:p>
            <w:pPr>
              <w:ind w:left="80"/>
              <w:spacing w:after="0"/>
              <w:rPr>
                <w:sz w:val="20"/>
                <w:szCs w:val="20"/>
                <w:color w:val="auto"/>
              </w:rPr>
            </w:pPr>
            <w:r>
              <w:rPr>
                <w:rFonts w:ascii="Arial" w:cs="Arial" w:eastAsia="Arial" w:hAnsi="Arial"/>
                <w:sz w:val="14"/>
                <w:szCs w:val="14"/>
                <w:b w:val="1"/>
                <w:bCs w:val="1"/>
                <w:color w:val="32406B"/>
              </w:rPr>
              <w:t>December 31,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5"/>
          </w:tcPr>
          <w:p>
            <w:pPr>
              <w:ind w:left="20"/>
              <w:spacing w:after="0"/>
              <w:rPr>
                <w:sz w:val="20"/>
                <w:szCs w:val="20"/>
                <w:color w:val="auto"/>
              </w:rPr>
            </w:pPr>
            <w:r>
              <w:rPr>
                <w:rFonts w:ascii="Arial" w:cs="Arial" w:eastAsia="Arial" w:hAnsi="Arial"/>
                <w:sz w:val="14"/>
                <w:szCs w:val="14"/>
                <w:b w:val="1"/>
                <w:bCs w:val="1"/>
                <w:color w:val="32406B"/>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32406B"/>
              </w:rPr>
              <w:t>2017</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32406B"/>
              </w:rPr>
              <w:t>2018</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32406B"/>
              </w:rPr>
              <w:t>Prepaid development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163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32406B"/>
              </w:rPr>
              <w:t>Prepaid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32406B"/>
              </w:rPr>
              <w:t>122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32406B"/>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32406B"/>
              </w:rPr>
              <w:t>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32406B"/>
              </w:rPr>
              <w:t>60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rPr>
              <w:t>$</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32406B"/>
              </w:rPr>
              <w:t>345</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5. Property and Equipment,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32406B"/>
              </w:rPr>
              <w:t>Property and equipment, net consisted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260" w:type="dxa"/>
            <w:vAlign w:val="bottom"/>
            <w:gridSpan w:val="7"/>
          </w:tcPr>
          <w:p>
            <w:pPr>
              <w:spacing w:after="0"/>
              <w:rPr>
                <w:sz w:val="20"/>
                <w:szCs w:val="20"/>
                <w:color w:val="auto"/>
              </w:rPr>
            </w:pPr>
            <w:r>
              <w:rPr>
                <w:rFonts w:ascii="Arial" w:cs="Arial" w:eastAsia="Arial" w:hAnsi="Arial"/>
                <w:sz w:val="14"/>
                <w:szCs w:val="14"/>
                <w:b w:val="1"/>
                <w:bCs w:val="1"/>
                <w:color w:val="32406B"/>
              </w:rPr>
              <w:t>December 31,</w:t>
            </w:r>
          </w:p>
        </w:tc>
        <w:tc>
          <w:tcPr>
            <w:tcW w:w="1140" w:type="dxa"/>
            <w:vAlign w:val="bottom"/>
            <w:gridSpan w:val="7"/>
          </w:tcPr>
          <w:p>
            <w:pPr>
              <w:ind w:left="380"/>
              <w:spacing w:after="0"/>
              <w:rPr>
                <w:sz w:val="20"/>
                <w:szCs w:val="20"/>
                <w:color w:val="auto"/>
              </w:rPr>
            </w:pPr>
            <w:r>
              <w:rPr>
                <w:rFonts w:ascii="Arial" w:cs="Arial" w:eastAsia="Arial" w:hAnsi="Arial"/>
                <w:sz w:val="14"/>
                <w:szCs w:val="14"/>
                <w:b w:val="1"/>
                <w:bCs w:val="1"/>
                <w:color w:val="32406B"/>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32406B"/>
                <w:w w:val="96"/>
              </w:rPr>
              <w:t>2017</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32406B"/>
                <w:w w:val="89"/>
              </w:rPr>
              <w:t>2018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32406B"/>
              </w:rPr>
              <w:t>Laboratory and office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32406B"/>
                <w:w w:val="71"/>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395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32406B"/>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240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181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32406B"/>
              </w:rPr>
              <w:t>Computer equipment and software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394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629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32406B"/>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32406B"/>
                <w:w w:val="71"/>
              </w:rPr>
              <w:t>$</w:t>
            </w: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349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32406B"/>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Depreciation and amortization expense for the three months ended March 31, 2017 and 2018 was $2 and $21,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32406B"/>
        </w:rPr>
        <w:t>F-46</w:t>
      </w:r>
    </w:p>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6.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Accrued expenses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32406B"/>
                <w:w w:val="90"/>
              </w:rPr>
              <w:t>December 31,</w:t>
            </w:r>
          </w:p>
        </w:tc>
        <w:tc>
          <w:tcPr>
            <w:tcW w:w="1280" w:type="dxa"/>
            <w:vAlign w:val="bottom"/>
            <w:gridSpan w:val="4"/>
          </w:tcPr>
          <w:p>
            <w:pPr>
              <w:ind w:left="580"/>
              <w:spacing w:after="0"/>
              <w:rPr>
                <w:sz w:val="20"/>
                <w:szCs w:val="20"/>
                <w:color w:val="auto"/>
              </w:rPr>
            </w:pPr>
            <w:r>
              <w:rPr>
                <w:rFonts w:ascii="Arial" w:cs="Arial" w:eastAsia="Arial" w:hAnsi="Arial"/>
                <w:sz w:val="14"/>
                <w:szCs w:val="14"/>
                <w:b w:val="1"/>
                <w:bCs w:val="1"/>
                <w:color w:val="32406B"/>
              </w:rPr>
              <w:t>March 31,</w:t>
            </w:r>
          </w:p>
        </w:tc>
      </w:tr>
      <w:tr>
        <w:trPr>
          <w:trHeight w:val="171"/>
        </w:trPr>
        <w:tc>
          <w:tcPr>
            <w:tcW w:w="20" w:type="dxa"/>
            <w:vAlign w:val="bottom"/>
          </w:tcPr>
          <w:p>
            <w:pPr>
              <w:spacing w:after="0"/>
              <w:rPr>
                <w:sz w:val="14"/>
                <w:szCs w:val="14"/>
                <w:color w:val="auto"/>
              </w:rPr>
            </w:pPr>
          </w:p>
        </w:tc>
        <w:tc>
          <w:tcPr>
            <w:tcW w:w="8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32406B"/>
              </w:rPr>
              <w:t>2017</w:t>
            </w: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32406B"/>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32406B"/>
              </w:rPr>
              <w:t>Compensation and benefit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794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32406B"/>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32406B"/>
              </w:rPr>
              <w:t>Short-term deferred 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32406B"/>
              </w:rPr>
              <w:t>146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32406B"/>
              </w:rPr>
              <w:t>Research and development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831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32406B"/>
              </w:rPr>
              <w:t>Consulting and professional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267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32406B"/>
              </w:rPr>
              <w:t>532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32406B"/>
              </w:rPr>
              <w:t>Preferred stock issuance cost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32406B"/>
              </w:rPr>
              <w:t>Legal services fee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31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32406B"/>
              </w:rPr>
              <w:t>451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32406B"/>
              </w:rPr>
              <w:t>Other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81</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2,098</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3,009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7. Loan Agreement and Warrant to Purchase Preferred Stock</w:t>
      </w:r>
    </w:p>
    <w:p>
      <w:pPr>
        <w:spacing w:after="0" w:line="12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32406B"/>
        </w:rPr>
        <w:t>On June 23, 2017, the Company entered into the Loan Agreement with a lender, which provided for the issuance of term loans of up to $10,000, subject to the achievement of various development and corporate milestones. Any outstanding principal amounts under the Loan Agreement will accrue interest at a floating per annum rate equal to the greater of 1% and the “prime rate,” as defined in the Loan Agreement, minus 3%.</w:t>
      </w:r>
    </w:p>
    <w:p>
      <w:pPr>
        <w:spacing w:after="0" w:line="14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32406B"/>
        </w:rPr>
        <w:t>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 As of March 31, 2018, the Company had not drawn down from the facility and $10,000 was available to the Company.</w:t>
      </w:r>
    </w:p>
    <w:p>
      <w:pPr>
        <w:spacing w:after="0" w:line="17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32406B"/>
        </w:rPr>
        <w:t>The Loan Agreement contains customary indemnification obligations and customary events of default. In the event of default by the Company under the Loan Agreement, the lender would be entitled to exercise their remedies thereunder, including the right to accelerate the debt, upon which the Company may be required to repay all amounts then outstanding under the Loan Agreement or the lender may take possession of the collateral securing the Loan Agreement. No events of default had occurred through March 31, 2018.</w:t>
      </w:r>
    </w:p>
    <w:p>
      <w:pPr>
        <w:spacing w:after="0" w:line="18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32406B"/>
        </w:rPr>
        <w:t>The Loan Agreement also includes certain restrictions on, among other things, the Company’s ability to incur additional indebtedness, change the name or location of its business, merge with or acquire other entities, pay dividends or make other distributions to holders of the Company’s capital stock, make certain investments, engage in transactions with affiliates, create liens, open new deposit accounts, sell assets or pay subordinated debt.</w:t>
      </w:r>
    </w:p>
    <w:p>
      <w:pPr>
        <w:spacing w:after="0" w:line="14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32406B"/>
        </w:rPr>
        <w:t>In connection with the Loan Agreement, the Company agreed to issue a warrant to the lender for the purchase of up to 188,702 shares of the Company’s Series A Preferred Stock with an exercise price of $0.7949 per share. The warrant expires on June 22, 2027. The warrant is initially exercisable for the purchase of up to 28,305 shares of Series A Preferred Stock and can become exercisable for up to an additional 160,397 shares of Series A Preferred Stock based on the amounts drawn under the Loan Agreement. On the issuance date of the warrant, the Company recorded a deferred financing cost and a liability for the warrant to purchase preferred stock in the Company’s consolidated balance sheet equal to the issuance-date fair value of the warrant. As of March 31, 2018, the warrant is exercisable for up to 28,305 shares of Series A Preferred Stock.</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F-47</w:t>
      </w:r>
    </w:p>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7. Loan Agreement and Warrant to Purchase Preferred Stock (continued)</w:t>
      </w:r>
    </w:p>
    <w:p>
      <w:pPr>
        <w:spacing w:after="0" w:line="13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32406B"/>
        </w:rPr>
        <w:t>On the date of issuance, the fair value of the warrant was determined to be $18. The Company remeasured the liability associated with the warrant as of December 31, 2017 and March 31, 2018, and determined that the fair value of the preferred stock warrant liability was $35 and $47, respectively. The Company recognized a loss of $12 in the condensed consolidated statements of operations and comprehensive loss for the three months ended March 31, 2018, related to the change in fair value of the warrant.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8. Redeemable Convertible Preferred Stock</w:t>
      </w:r>
    </w:p>
    <w:p>
      <w:pPr>
        <w:spacing w:after="0" w:line="121"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32406B"/>
        </w:rPr>
        <w:t>As of March 31, 2018, the authorized capital stock of the Company included 63,491,857 shares of $0.0001 par value preferred stock, of which 3,333,333 shares have been designated as Series Seed redeemable convertible preferred stock (the “Series Seed Preferred Stock), 31,639,202 shares have been designated as Series A redeemable convertible preferred stock (the “Series A Preferred Stock) and 28,519,322 shares have been designated as Series B redeemable convertible preferred stock (the “Series B Preferred Stock) (the Series Seed Preferred Stock, the Series A Preferred Stock and the Series B Preferred Stock are collectively referred to as the “Preferred Stock”).</w:t>
      </w:r>
    </w:p>
    <w:p>
      <w:pPr>
        <w:spacing w:after="0" w:line="17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32406B"/>
        </w:rPr>
        <w:t>In January 2018, the Company issued and sold 28,519,322 shares of Series B Preferred Stock, at a price of $2.1389 per share, for total proceeds of $58,757, net of issuance costs of $2,243.</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As of December 31, 2017 and March 31, 2018, the Preferred Stock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32406B"/>
                <w:w w:val="91"/>
              </w:rPr>
              <w:t>December 31, 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6"/>
              </w:rPr>
              <w:t>Preferred</w:t>
            </w:r>
          </w:p>
        </w:tc>
        <w:tc>
          <w:tcPr>
            <w:tcW w:w="2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rPr>
              <w:t>Preferred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32406B"/>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89"/>
              </w:rPr>
              <w:t>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32406B"/>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32406B"/>
                <w:w w:val="95"/>
              </w:rPr>
              <w:t>Liquidation</w:t>
            </w: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89"/>
              </w:rPr>
              <w:t>Shares</w:t>
            </w: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0"/>
              </w:rPr>
              <w:t>Issued and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32406B"/>
                <w:w w:val="95"/>
              </w:rPr>
              <w:t>Authorized</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32406B"/>
                <w:w w:val="92"/>
              </w:rPr>
              <w:t>Outstanding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32406B"/>
                <w:w w:val="90"/>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7"/>
              <w:spacing w:after="0"/>
              <w:rPr>
                <w:sz w:val="20"/>
                <w:szCs w:val="20"/>
                <w:color w:val="auto"/>
              </w:rPr>
            </w:pPr>
            <w:r>
              <w:rPr>
                <w:rFonts w:ascii="Arial" w:cs="Arial" w:eastAsia="Arial" w:hAnsi="Arial"/>
                <w:sz w:val="14"/>
                <w:szCs w:val="14"/>
                <w:b w:val="1"/>
                <w:bCs w:val="1"/>
                <w:color w:val="32406B"/>
                <w:w w:val="88"/>
              </w:rPr>
              <w:t>Preference</w:t>
            </w:r>
          </w:p>
        </w:tc>
        <w:tc>
          <w:tcPr>
            <w:tcW w:w="2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32406B"/>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Series Seed preferred stock</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3,333,333</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1,500,000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1,500,000</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806,711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32406B"/>
              </w:rPr>
              <w:t>Series A preferred stock</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7"/>
              </w:rPr>
              <w:t>31,639,202</w:t>
            </w:r>
          </w:p>
        </w:tc>
        <w:tc>
          <w:tcPr>
            <w:tcW w:w="2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9"/>
              </w:rPr>
              <w:t>31,450,499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7"/>
              </w:rPr>
              <w:t>25,000,000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9"/>
              </w:rPr>
              <w:t>25,000,000</w:t>
            </w:r>
          </w:p>
        </w:tc>
        <w:tc>
          <w:tcPr>
            <w:tcW w:w="2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7,611,438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34,972,535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9"/>
              </w:rPr>
              <w:t>34,783,832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26,500,000</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9"/>
              </w:rPr>
              <w:t>26,500,000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8,418,149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32406B"/>
                <w:w w:val="94"/>
              </w:rPr>
              <w:t>March 31, 2018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6"/>
              </w:rPr>
              <w:t>Preferred</w:t>
            </w:r>
          </w:p>
        </w:tc>
        <w:tc>
          <w:tcPr>
            <w:tcW w:w="2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rPr>
              <w:t>Preferred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32406B"/>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89"/>
              </w:rPr>
              <w:t>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32406B"/>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32406B"/>
                <w:w w:val="95"/>
              </w:rPr>
              <w:t>Liquidation</w:t>
            </w: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89"/>
              </w:rPr>
              <w:t>Shares</w:t>
            </w: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0"/>
              </w:rPr>
              <w:t>Issued and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32406B"/>
                <w:w w:val="95"/>
              </w:rPr>
              <w:t>Authorized</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32406B"/>
                <w:w w:val="92"/>
              </w:rPr>
              <w:t>Outstanding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32406B"/>
                <w:w w:val="90"/>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7"/>
              <w:spacing w:after="0"/>
              <w:rPr>
                <w:sz w:val="20"/>
                <w:szCs w:val="20"/>
                <w:color w:val="auto"/>
              </w:rPr>
            </w:pPr>
            <w:r>
              <w:rPr>
                <w:rFonts w:ascii="Arial" w:cs="Arial" w:eastAsia="Arial" w:hAnsi="Arial"/>
                <w:sz w:val="14"/>
                <w:szCs w:val="14"/>
                <w:b w:val="1"/>
                <w:bCs w:val="1"/>
                <w:color w:val="32406B"/>
                <w:w w:val="88"/>
              </w:rPr>
              <w:t>Preference</w:t>
            </w:r>
          </w:p>
        </w:tc>
        <w:tc>
          <w:tcPr>
            <w:tcW w:w="2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32406B"/>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Series Seed preferred stock</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3,333,333</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1,500,000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1,500,000</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806,711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32406B"/>
              </w:rPr>
              <w:t>Series A preferred stock</w:t>
            </w:r>
          </w:p>
        </w:tc>
        <w:tc>
          <w:tcPr>
            <w:tcW w:w="920" w:type="dxa"/>
            <w:vAlign w:val="bottom"/>
          </w:tcPr>
          <w:p>
            <w:pPr>
              <w:jc w:val="right"/>
              <w:spacing w:after="0"/>
              <w:rPr>
                <w:sz w:val="20"/>
                <w:szCs w:val="20"/>
                <w:color w:val="auto"/>
              </w:rPr>
            </w:pPr>
            <w:r>
              <w:rPr>
                <w:rFonts w:ascii="Arial" w:cs="Arial" w:eastAsia="Arial" w:hAnsi="Arial"/>
                <w:sz w:val="18"/>
                <w:szCs w:val="18"/>
                <w:color w:val="32406B"/>
                <w:w w:val="97"/>
              </w:rPr>
              <w:t>31,639,202</w:t>
            </w:r>
          </w:p>
        </w:tc>
        <w:tc>
          <w:tcPr>
            <w:tcW w:w="1180" w:type="dxa"/>
            <w:vAlign w:val="bottom"/>
            <w:gridSpan w:val="2"/>
          </w:tcPr>
          <w:p>
            <w:pPr>
              <w:jc w:val="right"/>
              <w:spacing w:after="0"/>
              <w:rPr>
                <w:sz w:val="20"/>
                <w:szCs w:val="20"/>
                <w:color w:val="auto"/>
              </w:rPr>
            </w:pPr>
            <w:r>
              <w:rPr>
                <w:rFonts w:ascii="Arial" w:cs="Arial" w:eastAsia="Arial" w:hAnsi="Arial"/>
                <w:sz w:val="18"/>
                <w:szCs w:val="18"/>
                <w:color w:val="32406B"/>
              </w:rPr>
              <w:t>31,450,499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32406B"/>
                <w:w w:val="97"/>
              </w:rPr>
              <w:t>25,000,000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w w:val="99"/>
              </w:rPr>
              <w:t>25,000,000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32406B"/>
              </w:rPr>
              <w:t>7,611,438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32406B"/>
              </w:rPr>
              <w:t>Series B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28,519,322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28,519,322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61,000,000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9"/>
              </w:rPr>
              <w:t>61,000,000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6,902,064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63,491,857</w:t>
            </w: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9"/>
              </w:rPr>
              <w:t>63,303,154</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87,500,000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9"/>
              </w:rPr>
              <w:t>87,500,000</w:t>
            </w:r>
          </w:p>
        </w:tc>
        <w:tc>
          <w:tcPr>
            <w:tcW w:w="2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15,320,213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32406B"/>
        </w:rPr>
        <w:t>As of March 31, 2018, the rights and preferences of the holders of the Preferred Stock had not been changed since December 31, 2017, except for the following which were amended upon issuance of Series B Preferred Stock:</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Liquidation Rights—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32406B"/>
        </w:rPr>
        <w:t>In the event of any voluntary or involuntary liquidation event, dissolution, winding up of the Company or upon the occurrence of certain events designated by a majority of the holders of the Preferred Stock to be 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F-48</w:t>
      </w:r>
    </w:p>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8. Redeemable Convertible Preferred Stock (continued)</w:t>
      </w:r>
    </w:p>
    <w:p>
      <w:pPr>
        <w:spacing w:after="0" w:line="135"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32406B"/>
        </w:rPr>
        <w:t>deemed liquidation event, each holder of the then outstanding Series A Preferred Stock and Series B Preferred Stock will be entitled to receive, prior and in preference to any distributions to the holders of Series Seed Preferred Stock and common stock, an amount equal to the greater of (i) $0.7949 per share for Series A and $2.1389 per share for Series B Preferred Stock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After the payment of all preferential amounts to the holders of Series A Preferred Stock and Series B Preferred Stock, each holder of the then outstanding Series Seed Preferred Stock will be entitled to receive, prior and in preference to any distributions to the holders of common stock, an amount equal to the greater of (i) $0.45 per share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88" w:lineRule="exact"/>
        <w:rPr>
          <w:sz w:val="20"/>
          <w:szCs w:val="20"/>
          <w:color w:val="auto"/>
        </w:rPr>
      </w:pPr>
    </w:p>
    <w:p>
      <w:pPr>
        <w:ind w:left="200" w:right="760" w:firstLine="441"/>
        <w:spacing w:after="0" w:line="308" w:lineRule="auto"/>
        <w:rPr>
          <w:sz w:val="20"/>
          <w:szCs w:val="20"/>
          <w:color w:val="auto"/>
        </w:rPr>
      </w:pPr>
      <w:r>
        <w:rPr>
          <w:rFonts w:ascii="Arial" w:cs="Arial" w:eastAsia="Arial" w:hAnsi="Arial"/>
          <w:sz w:val="17"/>
          <w:szCs w:val="17"/>
          <w:color w:val="32406B"/>
        </w:rPr>
        <w:t>After payments have been made in full to the holders of the Preferred Stock, then, to the extent available, the remaining amounts will be distributed among the holders of the shares of common stock, pro rata based on the number of shares held by each holder.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Conversion—</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32406B"/>
        </w:rPr>
        <w:t>Each share of Preferred Stock is convertible into common stock, at any time, at the option of the holder, and without the payment of additional consideration, at the applicable conversion ratio then in effect for each series of Preferred Stock, initially set to be one-for-one, and subject to adjustment in accordance with anti-dilution provisions. In addition, each share of Preferred Stock will be automatically converted into common stock at the applicable conversion ratio then in effect for each series of Preferred Stock upon the earlier of a qualified IPO which results in net proceeds of at least $50,000 with the issuance price at least 1.5 times the original issue price of Series B Preferred Stock and the listing of the Company’s common stock on the New York Stock Exchange or the Nasdaq Stock Market, or upon a vote of the holders of a majority of the outstanding Preferred Stock. As of March 31, 2018, each share of Preferred Stock was convertible into 0.242 shares of common stock and can be adjusted in the event of any stock dividend, stock split, combination or other similar recapitalization with respect to the Preferred Stock.</w:t>
      </w:r>
    </w:p>
    <w:p>
      <w:pPr>
        <w:spacing w:after="0" w:line="179"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32406B"/>
        </w:rPr>
        <w:t>The Company evaluated each series of its Preferred Stock and determined that each individual series is considered an equity host. In making this determination, the Company’s analysis followed the whole instrument approach which compares an individual feature against the entire preferred stock instrument which includes that feature. The Company’s analysis was based on a consideration of the economic characteristics and risks of each series of Preferred Stock. More specifically, the Company evaluated all of the stated and implied substantive terms and features, including: (1) whether the Preferred Stock included redemption features, (2) how and when any redemption features could be exercised, (3) whether the holders of Preferred Stock were entitled to dividends, (4) the voting rights of the Preferred Stock and (5) the existence and nature of any conversion rights.</w:t>
      </w:r>
    </w:p>
    <w:p>
      <w:pPr>
        <w:spacing w:after="0" w:line="16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32406B"/>
        </w:rPr>
        <w:t>As a result of the Company’s conclusion that the Preferred Stock represents an equity host, the conversion feature of all series of Preferred Stock is considered to be clearly and closely related to the associated Preferred Stock host instrument. Accordingly, the conversion feature of all series of Preferred Stock is not considered an embedded derivative that requires bifurcation.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F-49</w:t>
      </w:r>
    </w:p>
    <w:p>
      <w:pPr>
        <w:sectPr>
          <w:pgSz w:w="11900" w:h="16838" w:orient="portrait"/>
          <w:cols w:equalWidth="0" w:num="1">
            <w:col w:w="11220"/>
          </w:cols>
          <w:pgMar w:left="240" w:top="460"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8. Redeemable Convertible Preferred Stock (continued)</w:t>
      </w:r>
    </w:p>
    <w:p>
      <w:pPr>
        <w:spacing w:after="0" w:line="13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The Company accounts for potential beneficial conversion features at the time of issuance. The Company’s common stock into which each series of the Company’s Preferred Stock is convertible had an estimated fair value less than the effective conversion prices of the Preferred Stock at the time of each of the issuances of Preferred Stock. Therefore, there was no intrinsic value on the respective commitment dates. In addition, the Company considered the other features included within the Preferred Stock and determined that none of the other features required bifurcation and separate accounting.</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Redemption—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32406B"/>
        </w:rPr>
        <w:t>The Series Seed Preferred Stock, Series A Preferred Stock and Series B Preferred Stock are redeemable at $0.45 per share, $0.7949 per share and $2.1389 per share, respectively, (adjusted in the event of any stock dividend, stock split, combination or other similar activity) plus any declared but unpaid dividends, on or after January 19, 2023 at the written election of at least a majority of the holders of Preferred Stock voting together as a single class. The redemption is paid in three annual installments. No bifurcation of the redemption feature was required as the feature does not contain the characteristics of a derivative instrument.</w:t>
      </w:r>
    </w:p>
    <w:p>
      <w:pPr>
        <w:spacing w:after="0" w:line="18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32406B"/>
        </w:rPr>
        <w:t>As the Preferred Stock is redeemable upon the passage of time, the Preferred Stock has been classified outside of permanent equity. The Company has elected to record the changes in the redemption value immediately as they occur.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9. Common Stock</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As of March 31, 2018, the authorized capital stock of the Company included 82,000,000 shares of common stock, $0.0001 par value, respectively. The voting, dividend and liquidation rights of the holders of the Company’s common stock are subject to and qualified by the rights, powers and preferences of the holders of the Preferred Stock set forth above.</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32406B"/>
        </w:rPr>
        <w:t>Each share of common stock entitles the holder to one vote, together with the holders of the Preferred Stock, on all matters submitted to the stockholders for a vote. The holders of the Preferred Stock, voting as a single class, are entitled to elect three directors of the Company. The holders of common stock, together with the holders of the Preferred Stock and voting as a single class, are entitled to elect two directors of the Company. The holders of common stock and of any other class or series of voting stock (including the Preferred Stock), voting together as a single class, are entitled to elect the remaining directors of the Company. Common stockholders are entitled to receive dividends, as may be declared by the Board, if any, subject to the preferential dividend rights of the Preferred Stock. Through March 31 2018, no cash dividends have been declared or paid.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F-50</w:t>
      </w:r>
    </w:p>
    <w:p>
      <w:pPr>
        <w:sectPr>
          <w:pgSz w:w="11900" w:h="16838" w:orient="portrait"/>
          <w:cols w:equalWidth="0" w:num="1">
            <w:col w:w="11200"/>
          </w:cols>
          <w:pgMar w:left="24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9. Common Stock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At December 31, 2017 and March 31, 2018, the Company has reserved the following shares of common stock for future issuance: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32406B"/>
                <w:w w:val="90"/>
              </w:rPr>
              <w:t>December 31,</w:t>
            </w:r>
          </w:p>
        </w:tc>
        <w:tc>
          <w:tcPr>
            <w:tcW w:w="38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32406B"/>
              </w:rPr>
              <w:t>March 31,</w:t>
            </w: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860" w:type="dxa"/>
            <w:vAlign w:val="bottom"/>
          </w:tcPr>
          <w:p>
            <w:pPr>
              <w:jc w:val="right"/>
              <w:ind w:right="214"/>
              <w:spacing w:after="0"/>
              <w:rPr>
                <w:sz w:val="20"/>
                <w:szCs w:val="20"/>
                <w:color w:val="auto"/>
              </w:rPr>
            </w:pPr>
            <w:r>
              <w:rPr>
                <w:rFonts w:ascii="Arial" w:cs="Arial" w:eastAsia="Arial" w:hAnsi="Arial"/>
                <w:sz w:val="14"/>
                <w:szCs w:val="14"/>
                <w:b w:val="1"/>
                <w:bCs w:val="1"/>
                <w:color w:val="32406B"/>
              </w:rPr>
              <w:t>2017</w:t>
            </w:r>
          </w:p>
        </w:tc>
        <w:tc>
          <w:tcPr>
            <w:tcW w:w="128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32406B"/>
              </w:rPr>
              <w:t>2018</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Shares reserved for Series Seed Preferred Stock outstanding</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806,711</w:t>
            </w: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806,711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32406B"/>
              </w:rPr>
              <w:t>Shares reserved for Series A Preferred Stock outstanding</w:t>
            </w:r>
          </w:p>
        </w:tc>
        <w:tc>
          <w:tcPr>
            <w:tcW w:w="860" w:type="dxa"/>
            <w:vAlign w:val="bottom"/>
          </w:tcPr>
          <w:p>
            <w:pPr>
              <w:jc w:val="right"/>
              <w:spacing w:after="0"/>
              <w:rPr>
                <w:sz w:val="20"/>
                <w:szCs w:val="20"/>
                <w:color w:val="auto"/>
              </w:rPr>
            </w:pPr>
            <w:r>
              <w:rPr>
                <w:rFonts w:ascii="Arial" w:cs="Arial" w:eastAsia="Arial" w:hAnsi="Arial"/>
                <w:sz w:val="18"/>
                <w:szCs w:val="18"/>
                <w:color w:val="32406B"/>
              </w:rPr>
              <w:t>7,611,438</w:t>
            </w:r>
          </w:p>
        </w:tc>
        <w:tc>
          <w:tcPr>
            <w:tcW w:w="1280" w:type="dxa"/>
            <w:vAlign w:val="bottom"/>
            <w:gridSpan w:val="2"/>
          </w:tcPr>
          <w:p>
            <w:pPr>
              <w:jc w:val="right"/>
              <w:spacing w:after="0"/>
              <w:rPr>
                <w:sz w:val="20"/>
                <w:szCs w:val="20"/>
                <w:color w:val="auto"/>
              </w:rPr>
            </w:pPr>
            <w:r>
              <w:rPr>
                <w:rFonts w:ascii="Arial" w:cs="Arial" w:eastAsia="Arial" w:hAnsi="Arial"/>
                <w:sz w:val="18"/>
                <w:szCs w:val="18"/>
                <w:color w:val="32406B"/>
              </w:rPr>
              <w:t>7,611,438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32406B"/>
              </w:rPr>
              <w:t>Shares reserved for Series B Preferred Stock outstanding</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6,902,064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32406B"/>
              </w:rPr>
              <w:t>Shares reserved for vesting of restricted stock awards</w:t>
            </w:r>
          </w:p>
        </w:tc>
        <w:tc>
          <w:tcPr>
            <w:tcW w:w="860" w:type="dxa"/>
            <w:vAlign w:val="bottom"/>
          </w:tcPr>
          <w:p>
            <w:pPr>
              <w:jc w:val="right"/>
              <w:spacing w:after="0"/>
              <w:rPr>
                <w:sz w:val="20"/>
                <w:szCs w:val="20"/>
                <w:color w:val="auto"/>
              </w:rPr>
            </w:pPr>
            <w:r>
              <w:rPr>
                <w:rFonts w:ascii="Arial" w:cs="Arial" w:eastAsia="Arial" w:hAnsi="Arial"/>
                <w:sz w:val="18"/>
                <w:szCs w:val="18"/>
                <w:color w:val="32406B"/>
              </w:rPr>
              <w:t>276,301</w:t>
            </w:r>
          </w:p>
        </w:tc>
        <w:tc>
          <w:tcPr>
            <w:tcW w:w="1280" w:type="dxa"/>
            <w:vAlign w:val="bottom"/>
            <w:gridSpan w:val="2"/>
          </w:tcPr>
          <w:p>
            <w:pPr>
              <w:jc w:val="right"/>
              <w:spacing w:after="0"/>
              <w:rPr>
                <w:sz w:val="20"/>
                <w:szCs w:val="20"/>
                <w:color w:val="auto"/>
              </w:rPr>
            </w:pPr>
            <w:r>
              <w:rPr>
                <w:rFonts w:ascii="Arial" w:cs="Arial" w:eastAsia="Arial" w:hAnsi="Arial"/>
                <w:sz w:val="18"/>
                <w:szCs w:val="18"/>
                <w:color w:val="32406B"/>
              </w:rPr>
              <w:t>245,548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32406B"/>
              </w:rPr>
              <w:t>Shares reserved for exercise of outstanding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1,034,961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1,788,750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32406B"/>
              </w:rPr>
              <w:t>Shares reserved for issuance under the 2015 Stock Option and Grant Plan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143,717</w:t>
            </w:r>
          </w:p>
        </w:tc>
        <w:tc>
          <w:tcPr>
            <w:tcW w:w="3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58,472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32406B"/>
              </w:rPr>
              <w:t>Total shares of authorized common stock reserved for future issuance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9,873,128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17,412,983</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10. Stock-Based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Amended and Restated 2015 Stock Option and Grant Plan</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32406B"/>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54"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32406B"/>
        </w:rPr>
        <w:t>The total number of common shares that may be issued under the 2015 Plan was 2,008,564 shares as of March 31, 2018, of which 58,472 shares remained available for future grant.</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Shares that expire, are terminated, surrendered or canceled under the 2015 Plan without having been fully exercised will be available for future awards. In addition, shares of common stock that are tendered to the Company by a participant to exercise an award are added to the number of shares of common stock available for future awards.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The 2015 Plan is administered by the Board. Equity awards granted to employees and members of the Board typically vest over four years.</w:t>
      </w:r>
    </w:p>
    <w:p>
      <w:pPr>
        <w:spacing w:after="0" w:line="23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32406B"/>
        </w:rPr>
        <w:t>During the three months ended March 31, 2018, the Company granted options to purchase 753,789 shares of common stock to employees and members of the Board. No options were granted by the Company during the three months ended March 31, 2017.</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F-51</w:t>
      </w:r>
    </w:p>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10. Stock-Based Compensation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Stock Option Valuation</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32406B"/>
        </w:rPr>
        <w:t>The assumptions that the Company used to determine the grant-date fair value of stock options granted to employees and members of the Board were as follows, presented on a weighted-average basis: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6"/>
          </w:tcPr>
          <w:p>
            <w:pPr>
              <w:jc w:val="center"/>
              <w:ind w:left="585"/>
              <w:spacing w:after="0"/>
              <w:rPr>
                <w:sz w:val="20"/>
                <w:szCs w:val="20"/>
                <w:color w:val="auto"/>
              </w:rPr>
            </w:pPr>
            <w:r>
              <w:rPr>
                <w:rFonts w:ascii="Arial" w:cs="Arial" w:eastAsia="Arial" w:hAnsi="Arial"/>
                <w:sz w:val="14"/>
                <w:szCs w:val="14"/>
                <w:b w:val="1"/>
                <w:bCs w:val="1"/>
                <w:color w:val="32406B"/>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32406B"/>
                <w:w w:val="94"/>
              </w:rPr>
              <w:t>March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32406B"/>
              </w:rPr>
              <w:t>Expected option life (years)</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73"/>
              <w:spacing w:after="0"/>
              <w:rPr>
                <w:sz w:val="20"/>
                <w:szCs w:val="20"/>
                <w:color w:val="auto"/>
              </w:rPr>
            </w:pPr>
            <w:r>
              <w:rPr>
                <w:rFonts w:ascii="Arial" w:cs="Arial" w:eastAsia="Arial" w:hAnsi="Arial"/>
                <w:sz w:val="18"/>
                <w:szCs w:val="18"/>
                <w:color w:val="32406B"/>
              </w:rPr>
              <w:t>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32406B"/>
              </w:rPr>
              <w:t>Risk-free interest rate</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33"/>
              <w:spacing w:after="0"/>
              <w:rPr>
                <w:sz w:val="20"/>
                <w:szCs w:val="20"/>
                <w:color w:val="auto"/>
              </w:rPr>
            </w:pPr>
            <w:r>
              <w:rPr>
                <w:rFonts w:ascii="Arial" w:cs="Arial" w:eastAsia="Arial" w:hAnsi="Arial"/>
                <w:sz w:val="18"/>
                <w:szCs w:val="18"/>
                <w:color w:val="32406B"/>
              </w:rPr>
              <w:t>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32406B"/>
              </w:rPr>
              <w:t>Expected volatility</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32406B"/>
              </w:rPr>
              <w:t>84.00%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32406B"/>
              </w:rPr>
              <w:t>Expected dividend yield</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00" w:type="dxa"/>
            <w:vAlign w:val="bottom"/>
            <w:gridSpan w:val="6"/>
          </w:tcPr>
          <w:p>
            <w:pPr>
              <w:ind w:left="420"/>
              <w:spacing w:after="0"/>
              <w:rPr>
                <w:sz w:val="20"/>
                <w:szCs w:val="20"/>
                <w:color w:val="auto"/>
              </w:rPr>
            </w:pPr>
            <w:r>
              <w:rPr>
                <w:rFonts w:ascii="Arial" w:cs="Arial" w:eastAsia="Arial" w:hAnsi="Arial"/>
                <w:sz w:val="18"/>
                <w:szCs w:val="18"/>
                <w:color w:val="32406B"/>
                <w:w w:val="93"/>
              </w:rPr>
              <w:t>The following table summarizes the Company’s stock option activity for the three months ended March 31, 2018:</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32406B"/>
                <w:w w:val="94"/>
              </w:rPr>
              <w:t>Weighted-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32406B"/>
              </w:rPr>
              <w:t>Weighted-</w:t>
            </w:r>
          </w:p>
        </w:tc>
        <w:tc>
          <w:tcPr>
            <w:tcW w:w="2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32406B"/>
                <w:w w:val="90"/>
              </w:rPr>
              <w:t>Average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32406B"/>
                <w:w w:val="94"/>
              </w:rPr>
              <w:t>Remaining</w:t>
            </w:r>
          </w:p>
        </w:tc>
        <w:tc>
          <w:tcPr>
            <w:tcW w:w="1260" w:type="dxa"/>
            <w:vAlign w:val="bottom"/>
            <w:gridSpan w:val="4"/>
            <w:vMerge w:val="restart"/>
          </w:tcPr>
          <w:p>
            <w:pPr>
              <w:jc w:val="center"/>
              <w:ind w:left="394"/>
              <w:spacing w:after="0"/>
              <w:rPr>
                <w:sz w:val="20"/>
                <w:szCs w:val="20"/>
                <w:color w:val="auto"/>
              </w:rPr>
            </w:pPr>
            <w:r>
              <w:rPr>
                <w:rFonts w:ascii="Arial" w:cs="Arial" w:eastAsia="Arial" w:hAnsi="Arial"/>
                <w:sz w:val="14"/>
                <w:szCs w:val="14"/>
                <w:b w:val="1"/>
                <w:bCs w:val="1"/>
                <w:color w:val="32406B"/>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32406B"/>
                <w:w w:val="99"/>
              </w:rPr>
              <w:t>Number of</w:t>
            </w:r>
          </w:p>
        </w:tc>
        <w:tc>
          <w:tcPr>
            <w:tcW w:w="540" w:type="dxa"/>
            <w:vAlign w:val="bottom"/>
          </w:tcPr>
          <w:p>
            <w:pPr>
              <w:spacing w:after="0"/>
              <w:rPr>
                <w:sz w:val="12"/>
                <w:szCs w:val="12"/>
                <w:color w:val="auto"/>
              </w:rPr>
            </w:pPr>
          </w:p>
        </w:tc>
        <w:tc>
          <w:tcPr>
            <w:tcW w:w="9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32406B"/>
                <w:w w:val="90"/>
              </w:rPr>
              <w:t>Average</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32406B"/>
              </w:rPr>
              <w:t>Contractual</w:t>
            </w:r>
          </w:p>
        </w:tc>
        <w:tc>
          <w:tcPr>
            <w:tcW w:w="12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32406B"/>
                <w:w w:val="90"/>
              </w:rPr>
              <w:t>Exercise</w:t>
            </w:r>
          </w:p>
        </w:tc>
        <w:tc>
          <w:tcPr>
            <w:tcW w:w="22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32406B"/>
                <w:w w:val="93"/>
              </w:rPr>
              <w:t>Term</w:t>
            </w:r>
          </w:p>
        </w:tc>
        <w:tc>
          <w:tcPr>
            <w:tcW w:w="56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32406B"/>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780" w:type="dxa"/>
            <w:vAlign w:val="bottom"/>
          </w:tcPr>
          <w:p>
            <w:pPr>
              <w:jc w:val="right"/>
              <w:ind w:right="74"/>
              <w:spacing w:after="0"/>
              <w:rPr>
                <w:sz w:val="20"/>
                <w:szCs w:val="20"/>
                <w:color w:val="auto"/>
              </w:rPr>
            </w:pPr>
            <w:r>
              <w:rPr>
                <w:rFonts w:ascii="Arial" w:cs="Arial" w:eastAsia="Arial" w:hAnsi="Arial"/>
                <w:sz w:val="14"/>
                <w:szCs w:val="14"/>
                <w:b w:val="1"/>
                <w:bCs w:val="1"/>
                <w:color w:val="32406B"/>
              </w:rPr>
              <w:t>Options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32406B"/>
                <w:w w:val="93"/>
              </w:rPr>
              <w:t>Price</w:t>
            </w:r>
          </w:p>
        </w:tc>
        <w:tc>
          <w:tcPr>
            <w:tcW w:w="22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32406B"/>
                <w:w w:val="92"/>
              </w:rPr>
              <w:t>(Years)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2406B"/>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Outstanding as of December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4"/>
              </w:rPr>
              <w:t>1,034,961</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32406B"/>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0.78</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8.94</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3,427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32406B"/>
              </w:rPr>
              <w:t>Granted</w:t>
            </w:r>
          </w:p>
        </w:tc>
        <w:tc>
          <w:tcPr>
            <w:tcW w:w="780" w:type="dxa"/>
            <w:vAlign w:val="bottom"/>
          </w:tcPr>
          <w:p>
            <w:pPr>
              <w:jc w:val="right"/>
              <w:spacing w:after="0"/>
              <w:rPr>
                <w:sz w:val="20"/>
                <w:szCs w:val="20"/>
                <w:color w:val="auto"/>
              </w:rPr>
            </w:pPr>
            <w:r>
              <w:rPr>
                <w:rFonts w:ascii="Arial" w:cs="Arial" w:eastAsia="Arial" w:hAnsi="Arial"/>
                <w:sz w:val="18"/>
                <w:szCs w:val="18"/>
                <w:color w:val="32406B"/>
              </w:rPr>
              <w:t>753,789</w:t>
            </w:r>
          </w:p>
        </w:tc>
        <w:tc>
          <w:tcPr>
            <w:tcW w:w="660" w:type="dxa"/>
            <w:vAlign w:val="bottom"/>
            <w:gridSpan w:val="2"/>
          </w:tcPr>
          <w:p>
            <w:pPr>
              <w:ind w:left="540"/>
              <w:spacing w:after="0"/>
              <w:rPr>
                <w:sz w:val="20"/>
                <w:szCs w:val="20"/>
                <w:color w:val="auto"/>
              </w:rPr>
            </w:pPr>
            <w:r>
              <w:rPr>
                <w:rFonts w:ascii="Arial" w:cs="Arial" w:eastAsia="Arial" w:hAnsi="Arial"/>
                <w:sz w:val="18"/>
                <w:szCs w:val="18"/>
                <w:color w:val="32406B"/>
                <w:w w:val="99"/>
              </w:rPr>
              <w:t>$</w:t>
            </w:r>
          </w:p>
        </w:tc>
        <w:tc>
          <w:tcPr>
            <w:tcW w:w="520" w:type="dxa"/>
            <w:vAlign w:val="bottom"/>
          </w:tcPr>
          <w:p>
            <w:pPr>
              <w:jc w:val="right"/>
              <w:spacing w:after="0"/>
              <w:rPr>
                <w:sz w:val="20"/>
                <w:szCs w:val="20"/>
                <w:color w:val="auto"/>
              </w:rPr>
            </w:pPr>
            <w:r>
              <w:rPr>
                <w:rFonts w:ascii="Arial" w:cs="Arial" w:eastAsia="Arial" w:hAnsi="Arial"/>
                <w:sz w:val="18"/>
                <w:szCs w:val="18"/>
                <w:color w:val="32406B"/>
              </w:rPr>
              <w:t>5.00</w:t>
            </w:r>
          </w:p>
        </w:tc>
        <w:tc>
          <w:tcPr>
            <w:tcW w:w="3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32406B"/>
              </w:rPr>
              <w:t>9.96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32406B"/>
              </w:rPr>
              <w:t>Exercised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32406B"/>
              </w:rPr>
              <w:t>Cancelled or forfeited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32406B"/>
              </w:rPr>
              <w:t>Outstanding as of March 31, 2018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4"/>
              </w:rPr>
              <w:t>1,788,750</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32406B"/>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2.56</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9.22</w:t>
            </w:r>
          </w:p>
        </w:tc>
        <w:tc>
          <w:tcPr>
            <w:tcW w:w="68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32406B"/>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0"/>
              </w:rPr>
              <w:t>11,075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32406B"/>
              </w:rPr>
              <w:t>Exercisable as of March 31, 2018</w:t>
            </w:r>
          </w:p>
        </w:tc>
        <w:tc>
          <w:tcPr>
            <w:tcW w:w="780" w:type="dxa"/>
            <w:vAlign w:val="bottom"/>
            <w:tcBorders>
              <w:bottom w:val="single" w:sz="8" w:color="auto"/>
            </w:tcBorders>
          </w:tcPr>
          <w:p>
            <w:pPr>
              <w:spacing w:after="0" w:line="20" w:lineRule="exact"/>
              <w:rPr>
                <w:sz w:val="1"/>
                <w:szCs w:val="1"/>
                <w:color w:val="auto"/>
              </w:rPr>
            </w:pPr>
          </w:p>
        </w:tc>
        <w:tc>
          <w:tcPr>
            <w:tcW w:w="660" w:type="dxa"/>
            <w:vAlign w:val="bottom"/>
            <w:gridSpan w:val="2"/>
            <w:vMerge w:val="restart"/>
          </w:tcPr>
          <w:p>
            <w:pPr>
              <w:ind w:left="540"/>
              <w:spacing w:after="0"/>
              <w:rPr>
                <w:sz w:val="20"/>
                <w:szCs w:val="20"/>
                <w:color w:val="auto"/>
              </w:rPr>
            </w:pPr>
            <w:r>
              <w:rPr>
                <w:rFonts w:ascii="Arial" w:cs="Arial" w:eastAsia="Arial" w:hAnsi="Arial"/>
                <w:sz w:val="18"/>
                <w:szCs w:val="18"/>
                <w:color w:val="32406B"/>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32406B"/>
              </w:rPr>
              <w:t>0.68</w:t>
            </w:r>
          </w:p>
        </w:tc>
        <w:tc>
          <w:tcPr>
            <w:tcW w:w="340" w:type="dxa"/>
            <w:vAlign w:val="bottom"/>
          </w:tcPr>
          <w:p>
            <w:pPr>
              <w:spacing w:after="0" w:line="20" w:lineRule="exact"/>
              <w:rPr>
                <w:sz w:val="1"/>
                <w:szCs w:val="1"/>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32406B"/>
              </w:rPr>
              <w:t>8.22</w:t>
            </w:r>
          </w:p>
        </w:tc>
        <w:tc>
          <w:tcPr>
            <w:tcW w:w="680" w:type="dxa"/>
            <w:vAlign w:val="bottom"/>
            <w:gridSpan w:val="2"/>
            <w:vMerge w:val="restart"/>
          </w:tcPr>
          <w:p>
            <w:pPr>
              <w:jc w:val="center"/>
              <w:ind w:left="434"/>
              <w:spacing w:after="0"/>
              <w:rPr>
                <w:sz w:val="20"/>
                <w:szCs w:val="20"/>
                <w:color w:val="auto"/>
              </w:rPr>
            </w:pPr>
            <w:r>
              <w:rPr>
                <w:rFonts w:ascii="Arial" w:cs="Arial" w:eastAsia="Arial" w:hAnsi="Arial"/>
                <w:sz w:val="18"/>
                <w:szCs w:val="18"/>
                <w:color w:val="32406B"/>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32406B"/>
              </w:rPr>
              <w:t>1,802</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222,905</w:t>
            </w:r>
          </w:p>
        </w:tc>
        <w:tc>
          <w:tcPr>
            <w:tcW w:w="6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32406B"/>
              </w:rPr>
              <w:t>Unvested as of March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4"/>
              </w:rPr>
              <w:t>1,565,845</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32406B"/>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2.83</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9.37</w:t>
            </w:r>
          </w:p>
        </w:tc>
        <w:tc>
          <w:tcPr>
            <w:tcW w:w="68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32406B"/>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32406B"/>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at March 31,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The weighted-average grant-date fair value of the Company’s stock options granted during the three months ended March 31, 2018 was $6.99.</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Restricted Common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summarizes the Company’s restricted common stock activity for the three months ended March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32406B"/>
              </w:rPr>
              <w:t>Number</w:t>
            </w:r>
          </w:p>
        </w:tc>
        <w:tc>
          <w:tcPr>
            <w:tcW w:w="158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32406B"/>
                <w:w w:val="91"/>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32406B"/>
              </w:rPr>
              <w:t>Grant 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32406B"/>
                <w:w w:val="90"/>
              </w:rPr>
              <w:t>of Shares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32406B"/>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Issued and unvested as of December 31, 2017</w:t>
            </w:r>
          </w:p>
        </w:tc>
        <w:tc>
          <w:tcPr>
            <w:tcW w:w="40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5"/>
              </w:rPr>
              <w:t>276,301</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32406B"/>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0.42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32406B"/>
              </w:rPr>
              <w:t>Vested</w:t>
            </w:r>
          </w:p>
        </w:tc>
        <w:tc>
          <w:tcPr>
            <w:tcW w:w="5140" w:type="dxa"/>
            <w:vAlign w:val="bottom"/>
            <w:gridSpan w:val="3"/>
          </w:tcPr>
          <w:p>
            <w:pPr>
              <w:jc w:val="right"/>
              <w:ind w:right="380"/>
              <w:spacing w:after="0"/>
              <w:rPr>
                <w:sz w:val="20"/>
                <w:szCs w:val="20"/>
                <w:color w:val="auto"/>
              </w:rPr>
            </w:pPr>
            <w:r>
              <w:rPr>
                <w:rFonts w:ascii="Arial" w:cs="Arial" w:eastAsia="Arial" w:hAnsi="Arial"/>
                <w:sz w:val="18"/>
                <w:szCs w:val="18"/>
                <w:color w:val="32406B"/>
              </w:rPr>
              <w:t>(30,753)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32406B"/>
              </w:rPr>
              <w:t>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32406B"/>
              </w:rPr>
              <w:t>Forfeited, canceled or expired</w:t>
            </w:r>
          </w:p>
        </w:tc>
        <w:tc>
          <w:tcPr>
            <w:tcW w:w="40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32406B"/>
              </w:rPr>
              <w:t>Issued an unvested as of March 31, 2018</w:t>
            </w:r>
          </w:p>
        </w:tc>
        <w:tc>
          <w:tcPr>
            <w:tcW w:w="40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5"/>
              </w:rPr>
              <w:t>245,548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32406B"/>
              </w:rPr>
              <w:t>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140" w:type="dxa"/>
            <w:vAlign w:val="bottom"/>
            <w:gridSpan w:val="3"/>
          </w:tcPr>
          <w:p>
            <w:pPr>
              <w:jc w:val="right"/>
              <w:ind w:right="3780"/>
              <w:spacing w:after="0"/>
              <w:rPr>
                <w:sz w:val="20"/>
                <w:szCs w:val="20"/>
                <w:color w:val="auto"/>
              </w:rPr>
            </w:pPr>
            <w:r>
              <w:rPr>
                <w:rFonts w:ascii="Arial" w:cs="Arial" w:eastAsia="Arial" w:hAnsi="Arial"/>
                <w:sz w:val="18"/>
                <w:szCs w:val="18"/>
                <w:color w:val="32406B"/>
              </w:rPr>
              <w:t>F-52</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10. Stock-Based Compensation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The total fair value of restricted common stock vested during the three months ended March 31, 2017 and 2018 was $9 and $13, respectively.</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Stock-based compensation expense was allocated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ind w:left="100"/>
              <w:spacing w:after="0"/>
              <w:rPr>
                <w:sz w:val="20"/>
                <w:szCs w:val="20"/>
                <w:color w:val="auto"/>
              </w:rPr>
            </w:pPr>
            <w:r>
              <w:rPr>
                <w:rFonts w:ascii="Arial" w:cs="Arial" w:eastAsia="Arial" w:hAnsi="Arial"/>
                <w:sz w:val="14"/>
                <w:szCs w:val="14"/>
                <w:b w:val="1"/>
                <w:bCs w:val="1"/>
                <w:color w:val="32406B"/>
              </w:rPr>
              <w:t>Three Months Ended</w:t>
            </w: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32406B"/>
                <w:w w:val="99"/>
              </w:rPr>
              <w:t>March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32406B"/>
                <w:w w:val="89"/>
              </w:rPr>
              <w:t>2017</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32406B"/>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32406B"/>
              </w:rPr>
              <w:t>Research and development</w:t>
            </w:r>
          </w:p>
        </w:tc>
        <w:tc>
          <w:tcPr>
            <w:tcW w:w="3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32406B"/>
              </w:rPr>
              <w:t>General and administrative</w:t>
            </w:r>
          </w:p>
        </w:tc>
        <w:tc>
          <w:tcPr>
            <w:tcW w:w="3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14</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32406B"/>
              </w:rPr>
              <w:t>Total stock based compensation expense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32406B"/>
        </w:rPr>
        <w:t>As of March 31, 2018, total unrecognized compensation cost related to the unvested stock-based awards was $6,043, which is expected to be recognized over a weighted-average period of 3.81 years.</w:t>
      </w:r>
    </w:p>
    <w:p>
      <w:pPr>
        <w:spacing w:after="0" w:line="275" w:lineRule="exact"/>
        <w:rPr>
          <w:sz w:val="20"/>
          <w:szCs w:val="20"/>
          <w:color w:val="auto"/>
        </w:rPr>
      </w:pPr>
    </w:p>
    <w:p>
      <w:pPr>
        <w:ind w:left="640" w:right="8900" w:hanging="436"/>
        <w:spacing w:after="0" w:line="425" w:lineRule="auto"/>
        <w:tabs>
          <w:tab w:leader="none" w:pos="460" w:val="left"/>
        </w:tabs>
        <w:numPr>
          <w:ilvl w:val="0"/>
          <w:numId w:val="116"/>
        </w:numPr>
        <w:rPr>
          <w:rFonts w:ascii="Arial" w:cs="Arial" w:eastAsia="Arial" w:hAnsi="Arial"/>
          <w:sz w:val="16"/>
          <w:szCs w:val="16"/>
          <w:b w:val="1"/>
          <w:bCs w:val="1"/>
          <w:color w:val="32406B"/>
        </w:rPr>
      </w:pPr>
      <w:r>
        <w:rPr>
          <w:rFonts w:ascii="Arial" w:cs="Arial" w:eastAsia="Arial" w:hAnsi="Arial"/>
          <w:sz w:val="16"/>
          <w:szCs w:val="16"/>
          <w:b w:val="1"/>
          <w:bCs w:val="1"/>
          <w:color w:val="32406B"/>
        </w:rPr>
        <w:t xml:space="preserve">License Agreements </w:t>
      </w:r>
      <w:r>
        <w:rPr>
          <w:rFonts w:ascii="Arial" w:cs="Arial" w:eastAsia="Arial" w:hAnsi="Arial"/>
          <w:sz w:val="16"/>
          <w:szCs w:val="16"/>
          <w:b w:val="1"/>
          <w:bCs w:val="1"/>
          <w:i w:val="1"/>
          <w:iCs w:val="1"/>
          <w:color w:val="32406B"/>
        </w:rPr>
        <w:t>Agreements with UHN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Fabry License Agreement—</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32406B"/>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32406B"/>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 digit percentage of annual net sales of licensed products and a lower single-digit royalty percentage in certain circumstances. Additionally, the Company has agreed to pay a low double-digit royalty percentage of all sublicensing revenue. The agreement requires the Company to meet certain performance milestones within specified timeframes.</w:t>
      </w:r>
    </w:p>
    <w:p>
      <w:pPr>
        <w:spacing w:after="0" w:line="16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32406B"/>
        </w:rPr>
        <w:t>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F-53</w:t>
      </w:r>
    </w:p>
    <w:p>
      <w:pPr>
        <w:sectPr>
          <w:pgSz w:w="11900" w:h="16838" w:orient="portrait"/>
          <w:cols w:equalWidth="0" w:num="1">
            <w:col w:w="11240"/>
          </w:cols>
          <w:pgMar w:left="240" w:top="460" w:right="4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11. License Agreements (continued)</w:t>
      </w:r>
    </w:p>
    <w:p>
      <w:pPr>
        <w:spacing w:after="0" w:line="135"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32406B"/>
        </w:rPr>
        <w:t>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32406B"/>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For the three months ended March 31, 2017 and 2018, no upfront fee and maintenance fees were incurred related to Fabry license agreement.</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Interleukin 12 License Agreement—</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32406B"/>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The fair value of the shares issued to UHN of $480 and the upfront fee was expensed upon the execution of the agreement. In addition, the Company agreed to pay UHN up to $2,000 upon the closing of an IPO if certain criteria are met. This obligation is considered a derivative instrument and was initially recorded at fair value of $49.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 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73"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32406B"/>
        </w:rPr>
        <w:t>The agreement requires the Company to meet certain due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58"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32406B"/>
        </w:rPr>
        <w:t>For the three months ended March 31, 2017 and 2018, the Company recorded research and development expense related to this agreement with UHN of $151 and $41, respectively, which consists of upfront fees, the fair value of the shares and derivative instrument issued to UHN, and license maintenance fees and development milestone payments.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F-54</w:t>
      </w:r>
    </w:p>
    <w:p>
      <w:pPr>
        <w:sectPr>
          <w:pgSz w:w="11900" w:h="16838" w:orient="portrait"/>
          <w:cols w:equalWidth="0" w:num="1">
            <w:col w:w="11220"/>
          </w:cols>
          <w:pgMar w:left="240" w:top="460"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11. License Agreements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Agreement with BioMarin Pharmaceutical Inc. (“BioMarin”)</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32406B"/>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Series B Preferred Stock to BioMarin at the time of our Series B Preferred Stock financing in January 2018. Both the upfront cash payment of $500 and the value of the shares Series B Preferred Stock issued of $500 were recorded as research and development expense during the year ended December 31, 2017.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upfront fees related to the license were recorded for the three months ended March 31, 2018.</w:t>
      </w:r>
    </w:p>
    <w:p>
      <w:pPr>
        <w:spacing w:after="0" w:line="166"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32406B"/>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Agreement with GenStem Therapeutics, Inc. (“GenStem”)</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 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No upfront fees related to the license were recorded for the three months ended March 31, 2018.</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Agreement with Lund University Rights Holders</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32406B"/>
        </w:rPr>
        <w:t>On November 17, 2016, the Company entered into a license agreement with affiliates of Lund University, along with certain other relevant rights holders that may be added from time to time, pursuant to which such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F-55</w:t>
      </w:r>
    </w:p>
    <w:p>
      <w:pPr>
        <w:sectPr>
          <w:pgSz w:w="11900" w:h="16838" w:orient="portrait"/>
          <w:cols w:equalWidth="0" w:num="1">
            <w:col w:w="11200"/>
          </w:cols>
          <w:pgMar w:left="24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11. License Agreements (continued)</w:t>
      </w:r>
    </w:p>
    <w:p>
      <w:pPr>
        <w:spacing w:after="0" w:line="135" w:lineRule="exact"/>
        <w:rPr>
          <w:sz w:val="20"/>
          <w:szCs w:val="20"/>
          <w:color w:val="auto"/>
        </w:rPr>
      </w:pPr>
    </w:p>
    <w:p>
      <w:pPr>
        <w:ind w:left="200" w:right="100"/>
        <w:spacing w:after="0" w:line="285" w:lineRule="auto"/>
        <w:rPr>
          <w:sz w:val="20"/>
          <w:szCs w:val="20"/>
          <w:color w:val="auto"/>
        </w:rPr>
      </w:pPr>
      <w:r>
        <w:rPr>
          <w:rFonts w:ascii="Arial" w:cs="Arial" w:eastAsia="Arial" w:hAnsi="Arial"/>
          <w:sz w:val="16"/>
          <w:szCs w:val="16"/>
          <w:color w:val="32406B"/>
        </w:rPr>
        <w:t>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w:t>
      </w:r>
    </w:p>
    <w:p>
      <w:pPr>
        <w:spacing w:after="0" w:line="2" w:lineRule="exact"/>
        <w:rPr>
          <w:sz w:val="20"/>
          <w:szCs w:val="20"/>
          <w:color w:val="auto"/>
        </w:rPr>
      </w:pPr>
    </w:p>
    <w:p>
      <w:pPr>
        <w:jc w:val="both"/>
        <w:ind w:left="200" w:right="40" w:firstLine="4"/>
        <w:spacing w:after="0" w:line="273" w:lineRule="auto"/>
        <w:tabs>
          <w:tab w:leader="none" w:pos="505" w:val="left"/>
        </w:tabs>
        <w:numPr>
          <w:ilvl w:val="0"/>
          <w:numId w:val="117"/>
        </w:numPr>
        <w:rPr>
          <w:rFonts w:ascii="Arial" w:cs="Arial" w:eastAsia="Arial" w:hAnsi="Arial"/>
          <w:sz w:val="17"/>
          <w:szCs w:val="17"/>
          <w:color w:val="32406B"/>
        </w:rPr>
      </w:pPr>
      <w:r>
        <w:rPr>
          <w:rFonts w:ascii="Arial" w:cs="Arial" w:eastAsia="Arial" w:hAnsi="Arial"/>
          <w:sz w:val="17"/>
          <w:szCs w:val="17"/>
          <w:color w:val="32406B"/>
        </w:rPr>
        <w:t>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upfront fees related to the license were recorded for the three months ended March 31, 2017 and 2018.</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12. Net Loss per Share and Unaudited Pro Forma Net Loss per Share</w:t>
      </w:r>
    </w:p>
    <w:p>
      <w:pPr>
        <w:spacing w:after="0" w:line="12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32406B"/>
        </w:rPr>
        <w:t>For purposes of the diluted net loss per share calculation, stock options, unvested restricted stock, the warrant to purchase shares of Series A Preferred Stock and Preferred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7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32406B"/>
        </w:rPr>
        <w:t>The following potentially dilutive common stock equivalents, presented based on amounts outstanding at each period end, were excluded from the computation of diluted net loss per share attributable to common stockholders for the periods indicated because including them would have had an anti-dilutive effect:</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1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32406B"/>
                <w:w w:val="95"/>
              </w:rPr>
              <w:t>Three Months Ended</w:t>
            </w: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1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32406B"/>
                <w:w w:val="99"/>
              </w:rPr>
              <w:t>March 31,</w:t>
            </w:r>
          </w:p>
        </w:tc>
      </w:tr>
      <w:tr>
        <w:trPr>
          <w:trHeight w:val="142"/>
        </w:trPr>
        <w:tc>
          <w:tcPr>
            <w:tcW w:w="20" w:type="dxa"/>
            <w:vAlign w:val="bottom"/>
          </w:tcPr>
          <w:p>
            <w:pPr>
              <w:spacing w:after="0"/>
              <w:rPr>
                <w:sz w:val="12"/>
                <w:szCs w:val="12"/>
                <w:color w:val="auto"/>
              </w:rPr>
            </w:pPr>
          </w:p>
        </w:tc>
        <w:tc>
          <w:tcPr>
            <w:tcW w:w="89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32406B"/>
              </w:rPr>
              <w:t>2017</w:t>
            </w:r>
          </w:p>
        </w:tc>
        <w:tc>
          <w:tcPr>
            <w:tcW w:w="28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32406B"/>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32406B"/>
              </w:rPr>
              <w:t>Options to purchase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599,439</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1,788,750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32406B"/>
              </w:rPr>
              <w:t>Restricted common stock</w:t>
            </w:r>
          </w:p>
        </w:tc>
        <w:tc>
          <w:tcPr>
            <w:tcW w:w="840" w:type="dxa"/>
            <w:vAlign w:val="bottom"/>
          </w:tcPr>
          <w:p>
            <w:pPr>
              <w:jc w:val="right"/>
              <w:spacing w:after="0"/>
              <w:rPr>
                <w:sz w:val="20"/>
                <w:szCs w:val="20"/>
                <w:color w:val="auto"/>
              </w:rPr>
            </w:pPr>
            <w:r>
              <w:rPr>
                <w:rFonts w:ascii="Arial" w:cs="Arial" w:eastAsia="Arial" w:hAnsi="Arial"/>
                <w:sz w:val="18"/>
                <w:szCs w:val="18"/>
                <w:color w:val="32406B"/>
              </w:rPr>
              <w:t>388,735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245,548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32406B"/>
              </w:rPr>
              <w:t>Redeemable convertible preferred stock (as converted to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4,155,742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9"/>
              </w:rPr>
              <w:t>15,320,213</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r>
              <w:rPr>
                <w:rFonts w:ascii="Arial" w:cs="Arial" w:eastAsia="Arial" w:hAnsi="Arial"/>
                <w:sz w:val="18"/>
                <w:szCs w:val="18"/>
                <w:color w:val="32406B"/>
              </w:rPr>
              <w:t>Warrants to purchase redeemable convertible preferred stock (as converted to common stock)</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920" w:type="dxa"/>
            <w:vAlign w:val="bottom"/>
          </w:tcPr>
          <w:p>
            <w:pPr>
              <w:jc w:val="right"/>
              <w:spacing w:after="0"/>
              <w:rPr>
                <w:sz w:val="20"/>
                <w:szCs w:val="20"/>
                <w:color w:val="auto"/>
              </w:rPr>
            </w:pPr>
            <w:r>
              <w:rPr>
                <w:rFonts w:ascii="Arial" w:cs="Arial" w:eastAsia="Arial" w:hAnsi="Arial"/>
                <w:sz w:val="18"/>
                <w:szCs w:val="18"/>
                <w:color w:val="32406B"/>
              </w:rPr>
              <w:t>6,850</w:t>
            </w:r>
          </w:p>
        </w:tc>
        <w:tc>
          <w:tcPr>
            <w:tcW w:w="80" w:type="dxa"/>
            <w:vAlign w:val="bottom"/>
          </w:tcPr>
          <w:p>
            <w:pPr>
              <w:spacing w:after="0"/>
              <w:rPr>
                <w:sz w:val="20"/>
                <w:szCs w:val="20"/>
                <w:color w:val="auto"/>
              </w:rPr>
            </w:pP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Unaudited Pro Forma Net Loss per Share Attributable to Common Stockholders</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32406B"/>
        </w:rPr>
        <w:t>The unaudited pro forma basic and diluted net loss per share attributable to common stockholders for the three months ended March 31, 2018 has been prepared to give effect to adjustments arising upon the closing of a qualified IPO. The unaudited pro forma net loss attributable to common stockholders used in the calculation of unaudited pro forma basic and diluted net loss per share attributable to common stockholders does not include the effects of the accretion of Preferred Stock to redemption value or the change in fair value of the warrant to purchase shares of Series A Preferred Stock because the calculation gives effect to the conversion of shares of Preferred Stock outstanding as of March 31, 2018 into common stock and the conversion of the warrant to purchase shares of Series A Preferred Stock outstanding as of March 31, 2018 into a warrant to purchase shares of common stock, as if such conversion had occurred at the beginning of the period presented or the date of original issuance, whichever is later.</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F-56</w:t>
      </w:r>
    </w:p>
    <w:p>
      <w:pPr>
        <w:sectPr>
          <w:pgSz w:w="11900" w:h="16838" w:orient="portrait"/>
          <w:cols w:equalWidth="0" w:num="1">
            <w:col w:w="11240"/>
          </w:cols>
          <w:pgMar w:left="240" w:top="459" w:right="4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12. Net Loss per Share and Unaudited Pro Forma Net Loss per Share (continued)</w:t>
      </w:r>
    </w:p>
    <w:p>
      <w:pPr>
        <w:spacing w:after="0" w:line="13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32406B"/>
        </w:rPr>
        <w:t>A reconciliation of pro forma net loss and the pro forma weighted-average number of common shares used in computing pro forma basic and diluted net loss per share applicable to common stockholders is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32406B"/>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32406B"/>
                <w:w w:val="98"/>
              </w:rPr>
              <w:t>March 31,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Numerator:</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32406B"/>
              </w:rPr>
              <w:t>Net loss attributable to common stockholders</w:t>
            </w:r>
          </w:p>
        </w:tc>
        <w:tc>
          <w:tcPr>
            <w:tcW w:w="120" w:type="dxa"/>
            <w:vAlign w:val="bottom"/>
            <w:gridSpan w:val="2"/>
          </w:tcPr>
          <w:p>
            <w:pPr>
              <w:spacing w:after="0"/>
              <w:rPr>
                <w:sz w:val="20"/>
                <w:szCs w:val="20"/>
                <w:color w:val="auto"/>
              </w:rPr>
            </w:pPr>
            <w:r>
              <w:rPr>
                <w:rFonts w:ascii="Arial" w:cs="Arial" w:eastAsia="Arial" w:hAnsi="Arial"/>
                <w:sz w:val="18"/>
                <w:szCs w:val="18"/>
                <w:color w:val="32406B"/>
                <w:w w:val="9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32406B"/>
              </w:rPr>
              <w:t>(10,485)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Accretion of issuance cost on redeemable convertible preferred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2,243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32406B"/>
              </w:rPr>
              <w:t>Change in fair value of preferred stock warrant liability</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Pro forma net loss attributable to common stockholders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32406B"/>
                <w:w w:val="9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(8,230)</w:t>
            </w:r>
          </w:p>
        </w:tc>
        <w:tc>
          <w:tcPr>
            <w:tcW w:w="0" w:type="dxa"/>
            <w:vAlign w:val="bottom"/>
          </w:tcPr>
          <w:p>
            <w:pPr>
              <w:spacing w:after="0"/>
              <w:rPr>
                <w:sz w:val="1"/>
                <w:szCs w:val="1"/>
                <w:color w:val="auto"/>
              </w:rPr>
            </w:pPr>
          </w:p>
        </w:tc>
      </w:tr>
      <w:tr>
        <w:trPr>
          <w:trHeight w:val="223"/>
        </w:trPr>
        <w:tc>
          <w:tcPr>
            <w:tcW w:w="9560" w:type="dxa"/>
            <w:vAlign w:val="bottom"/>
            <w:gridSpan w:val="2"/>
          </w:tcPr>
          <w:p>
            <w:pPr>
              <w:spacing w:after="0"/>
              <w:rPr>
                <w:sz w:val="20"/>
                <w:szCs w:val="20"/>
                <w:color w:val="auto"/>
              </w:rPr>
            </w:pPr>
            <w:r>
              <w:rPr>
                <w:rFonts w:ascii="Arial" w:cs="Arial" w:eastAsia="Arial" w:hAnsi="Arial"/>
                <w:sz w:val="18"/>
                <w:szCs w:val="18"/>
                <w:b w:val="1"/>
                <w:bCs w:val="1"/>
                <w:color w:val="32406B"/>
              </w:rPr>
              <w:t>Denominator:</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4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Weighted-average number of common shares used in computing net loss per share attributable to common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stockholders—basic and diluted</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2,324,790</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32406B"/>
              </w:rPr>
              <w:t>Pro forma adjustment to reflect assumed conversion of redeemable convertible preferred stock into common stock</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13,863,111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4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Pro forma weighted-average number of common shares used in computing pro forma net loss per share attributable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to common stockholders—basic and diluted</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16,187,901</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32406B"/>
              </w:rPr>
              <w:t>Pro forma net loss per share attributable to common stockholders—basic and diluted</w:t>
            </w:r>
          </w:p>
        </w:tc>
        <w:tc>
          <w:tcPr>
            <w:tcW w:w="1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(0.51)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right="8220" w:hanging="436"/>
        <w:spacing w:after="0" w:line="425" w:lineRule="auto"/>
        <w:tabs>
          <w:tab w:leader="none" w:pos="469" w:val="left"/>
        </w:tabs>
        <w:numPr>
          <w:ilvl w:val="0"/>
          <w:numId w:val="118"/>
        </w:numPr>
        <w:rPr>
          <w:rFonts w:ascii="Arial" w:cs="Arial" w:eastAsia="Arial" w:hAnsi="Arial"/>
          <w:sz w:val="16"/>
          <w:szCs w:val="16"/>
          <w:b w:val="1"/>
          <w:bCs w:val="1"/>
          <w:color w:val="32406B"/>
        </w:rPr>
      </w:pPr>
      <w:r>
        <w:rPr>
          <w:rFonts w:ascii="Arial" w:cs="Arial" w:eastAsia="Arial" w:hAnsi="Arial"/>
          <w:sz w:val="16"/>
          <w:szCs w:val="16"/>
          <w:b w:val="1"/>
          <w:bCs w:val="1"/>
          <w:color w:val="32406B"/>
        </w:rPr>
        <w:t xml:space="preserve">Commitments and Contingencies </w:t>
      </w:r>
      <w:r>
        <w:rPr>
          <w:rFonts w:ascii="Arial" w:cs="Arial" w:eastAsia="Arial" w:hAnsi="Arial"/>
          <w:sz w:val="16"/>
          <w:szCs w:val="16"/>
          <w:b w:val="1"/>
          <w:bCs w:val="1"/>
          <w:i w:val="1"/>
          <w:iCs w:val="1"/>
          <w:color w:val="32406B"/>
        </w:rPr>
        <w:t>Lease Agreements</w:t>
      </w:r>
    </w:p>
    <w:p>
      <w:pPr>
        <w:spacing w:after="0" w:line="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32406B"/>
        </w:rPr>
        <w:t>On January 12, 2018, the Company entered into a lease agreement for office space located in Cambridge, Massachusetts. The lease agreement expires in January 2023, with a landlord who is an affiliate of the landlord of the Company’s current lease facility. The annual lease payments are subject to a 3% increase each year. The Company recognizes rent expense on a straight-line basis over the lease period and has recorded deferred rent for rent expense incurred but not yet paid. The Company received a tenant incentive allowance of $181 in 2018. Such incentive allowance is being amortized as a reduction of rent expense on a straight-line basis over the lease period. In accordance with the lease agreement, the Company is required to maintain a security deposit of $209, which was recorded in other assets. In contemplation of this agreement, the Company terminated its existing lease agreement.</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Company recorded rent expense of $57 and $171 during the three months ended March 31, 2017 and 2018, respectively.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Legal Proceedings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32406B"/>
        </w:rPr>
        <w:t>The Company, from time to time, may be party to litigation arising in the ordinary course of business. The Company was not subject to any material legal proceedings during the three months ended March 31, 2017 and 2018, and, to the best of its knowledge, no material legal proceedings are currently pending or threatened.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Other</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32406B"/>
        </w:rPr>
        <w:t>The Company is also party to various agreements, principally relating to licensed technology, that require future payments relating to milestones not met at December 31, 2017 and March 31, 2018, or royalties on future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F-57</w:t>
      </w:r>
    </w:p>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13. Commitments and Contingencies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sales of specified products. No milestone or royalty payments under these agreements are expected to be payable in the immediate future.</w:t>
      </w:r>
    </w:p>
    <w:p>
      <w:pPr>
        <w:spacing w:after="0" w:line="23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32406B"/>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14. 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UHN</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32406B"/>
        </w:rPr>
        <w:t>In connection with the Company’s entry into a license agreement with UHN on January 27, 2016, the Company issued UHN 1,161,665 shares of its common stock. As a result of the issuance of common stock, UHN owned 9.65% and 5.90% of the Company’s fully diluted equity as of December 31, 2017 and March 31, 2018, respectively. Upon the closing of the sale of shares of common stock in an IPO, if UHN’s fully-diluted percentage ownership of the Company is reduced within a range of specified percentages, then the Company is obligated to pay UHN an amount up to $2,000. See Note 3 for further discussion on the accounting treatment for this provision.</w:t>
      </w:r>
    </w:p>
    <w:p>
      <w:pPr>
        <w:spacing w:after="0" w:line="173"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32406B"/>
        </w:rPr>
        <w:t>During the three months ended March 31, 2017 and 2018, the Company recognized $151 and $41 respectively, of research and development expense related to the license agreements with UHN.</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The Company recorded research and development expenses of $7 and $3 related to participation on the scientific advisory board and consulting services performed by a member of the Board who is affiliated with UHN during the years ended December 31, 2016 and 2017, respectively. As of December 31, 2016 and 2017, there was $7 and $10, respectively, included in accrued expenses on the Company’s consolidated balance sheets related to these services.</w:t>
      </w:r>
    </w:p>
    <w:p>
      <w:pPr>
        <w:spacing w:after="0" w:line="18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32406B"/>
        </w:rPr>
        <w:t>For the years ended December 31, 2016 and 2017 the Company recorded expenses of $13 and $86, respectively, related to consulting services provided by an entity affiliated with an officer of the Company and a member of the Board. The entity is also a shareholder of the Company and owned 2.25% and 1.00% of the Company’s fully diluted equity as of December 31, 2016 and 2017, respectively.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Others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32406B"/>
        </w:rPr>
        <w:t>For the three months ended March 31, 2017, the Company recorded expenses of $15 related to services provided by an entity affiliated with a member of the Board and the use of office space. The lease was terminated in February 2017.</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15. Recently Issued Accounting Pronouncements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32406B"/>
        </w:rPr>
        <w:t xml:space="preserve">In July 2017, the FASB issued ASU 2017-11, </w:t>
      </w:r>
      <w:r>
        <w:rPr>
          <w:rFonts w:ascii="Arial" w:cs="Arial" w:eastAsia="Arial" w:hAnsi="Arial"/>
          <w:sz w:val="18"/>
          <w:szCs w:val="18"/>
          <w:i w:val="1"/>
          <w:iCs w:val="1"/>
          <w:color w:val="32406B"/>
        </w:rPr>
        <w:t>Earnings Per Share (Topic 260), Distinguishing Liabilities from Equity (Topic 480), Derivatives and</w:t>
      </w:r>
      <w:r>
        <w:rPr>
          <w:rFonts w:ascii="Arial" w:cs="Arial" w:eastAsia="Arial" w:hAnsi="Arial"/>
          <w:sz w:val="18"/>
          <w:szCs w:val="18"/>
          <w:color w:val="32406B"/>
        </w:rPr>
        <w:t xml:space="preserve"> </w:t>
      </w:r>
      <w:r>
        <w:rPr>
          <w:rFonts w:ascii="Arial" w:cs="Arial" w:eastAsia="Arial" w:hAnsi="Arial"/>
          <w:sz w:val="18"/>
          <w:szCs w:val="18"/>
          <w:i w:val="1"/>
          <w:iCs w:val="1"/>
          <w:color w:val="32406B"/>
        </w:rPr>
        <w:t>Hedging (Topic 815) I. Accounting for Certain Financial Instruments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F-58</w:t>
      </w:r>
    </w:p>
    <w:p>
      <w:pPr>
        <w:sectPr>
          <w:pgSz w:w="11900" w:h="16838" w:orient="portrait"/>
          <w:cols w:equalWidth="0" w:num="1">
            <w:col w:w="11200"/>
          </w:cols>
          <w:pgMar w:left="240" w:top="460"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15. Recently Issued Accounting Pronouncements (continued)</w:t>
      </w:r>
    </w:p>
    <w:p>
      <w:pPr>
        <w:spacing w:after="0" w:line="135"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i w:val="1"/>
          <w:iCs w:val="1"/>
          <w:color w:val="32406B"/>
        </w:rPr>
        <w:t>with Down Round Features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32406B"/>
        </w:rPr>
        <w:t>. Part I applies to entities that issue financial instruments such as</w:t>
      </w:r>
      <w:r>
        <w:rPr>
          <w:rFonts w:ascii="Arial" w:cs="Arial" w:eastAsia="Arial" w:hAnsi="Arial"/>
          <w:sz w:val="16"/>
          <w:szCs w:val="16"/>
          <w:i w:val="1"/>
          <w:iCs w:val="1"/>
          <w:color w:val="32406B"/>
        </w:rPr>
        <w:t xml:space="preserve"> </w:t>
      </w:r>
      <w:r>
        <w:rPr>
          <w:rFonts w:ascii="Arial" w:cs="Arial" w:eastAsia="Arial" w:hAnsi="Arial"/>
          <w:sz w:val="16"/>
          <w:szCs w:val="16"/>
          <w:color w:val="32406B"/>
        </w:rPr>
        <w:t>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 impact that the adoption of ASU 2017-11 will have on its consolidated financial statements.</w:t>
      </w:r>
    </w:p>
    <w:p>
      <w:pPr>
        <w:spacing w:after="0" w:line="16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 xml:space="preserve">In May 2017, the FASB issued ASU No. 2017-09, </w:t>
      </w:r>
      <w:r>
        <w:rPr>
          <w:rFonts w:ascii="Arial" w:cs="Arial" w:eastAsia="Arial" w:hAnsi="Arial"/>
          <w:sz w:val="16"/>
          <w:szCs w:val="16"/>
          <w:i w:val="1"/>
          <w:iCs w:val="1"/>
          <w:color w:val="32406B"/>
        </w:rPr>
        <w:t>Compensation—Stock Compensation (Topic 718): Scope of Modification Accounting</w:t>
      </w:r>
      <w:r>
        <w:rPr>
          <w:rFonts w:ascii="Arial" w:cs="Arial" w:eastAsia="Arial" w:hAnsi="Arial"/>
          <w:sz w:val="16"/>
          <w:szCs w:val="16"/>
          <w:color w:val="32406B"/>
        </w:rPr>
        <w:t xml:space="preserve"> (“ASU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is currently evaluating the impact that the adoption of ASU 2017-09 will have on its consolidated financial statements.</w:t>
      </w:r>
    </w:p>
    <w:p>
      <w:pPr>
        <w:spacing w:after="0" w:line="16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 xml:space="preserve">In November 2016, the FASB issued ASU No. 2016-18, </w:t>
      </w:r>
      <w:r>
        <w:rPr>
          <w:rFonts w:ascii="Arial" w:cs="Arial" w:eastAsia="Arial" w:hAnsi="Arial"/>
          <w:sz w:val="18"/>
          <w:szCs w:val="18"/>
          <w:i w:val="1"/>
          <w:iCs w:val="1"/>
          <w:color w:val="32406B"/>
        </w:rPr>
        <w:t>Statement of Cash Flows (Topic 230): Restricted Cash</w:t>
      </w:r>
      <w:r>
        <w:rPr>
          <w:rFonts w:ascii="Arial" w:cs="Arial" w:eastAsia="Arial" w:hAnsi="Arial"/>
          <w:sz w:val="18"/>
          <w:szCs w:val="18"/>
          <w:color w:val="32406B"/>
        </w:rPr>
        <w:t xml:space="preserve"> (“ASU 2016-18”), which requires restricted cash to be presented with cash and cash equivalents on the statement of cash flows and disclosure of how the statement of cash flows reconciles to the balance sheet if restricted cash is shown separately from cash and cash equivalents on the balance sheet. For public entities, the standard is effective for annual periods beginning after December 15, 2017, including interim periods within those fiscal years. For all other entities, the standard is effective for annual periods beginning after December 15, 2018, including interim periods within fiscal years beginning after December 15, 2019. Early adoption is permitted. The Company is currently evaluating the impact that the adoption of ASU 2016-18 will have on its consolidated financial statements.</w:t>
      </w:r>
    </w:p>
    <w:p>
      <w:pPr>
        <w:spacing w:after="0" w:line="189"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32406B"/>
        </w:rPr>
        <w:t xml:space="preserve">In August 2016, the FASB issued ASU No. 2016-15, </w:t>
      </w:r>
      <w:r>
        <w:rPr>
          <w:rFonts w:ascii="Arial" w:cs="Arial" w:eastAsia="Arial" w:hAnsi="Arial"/>
          <w:sz w:val="18"/>
          <w:szCs w:val="18"/>
          <w:i w:val="1"/>
          <w:iCs w:val="1"/>
          <w:color w:val="32406B"/>
        </w:rPr>
        <w:t>Statement of Cash Flows: Classification of Certain Cash Receipts and Cash Payments</w:t>
      </w:r>
      <w:r>
        <w:rPr>
          <w:rFonts w:ascii="Arial" w:cs="Arial" w:eastAsia="Arial" w:hAnsi="Arial"/>
          <w:sz w:val="18"/>
          <w:szCs w:val="18"/>
          <w:color w:val="32406B"/>
        </w:rPr>
        <w:t xml:space="preserve"> (“ASU 2016-15”), to address diversity in practice in how certain cash receipts and cash payments are presented and classified in the statement of cash flows. For public entities, the standard is effective for annual periods beginning after December 15, 2017, including interim periods within those fiscal years. For all other entities, the standard is effective for fiscal years beginning after December 15, 2018, and interim periods within fiscal years beginning after December 15, 2019. The Company is currently evaluating the impact that the adoption of ASU 2016-15 will have on its consolidated financial statements.</w:t>
      </w:r>
    </w:p>
    <w:p>
      <w:pPr>
        <w:spacing w:after="0" w:line="193"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32406B"/>
        </w:rPr>
        <w:t xml:space="preserve">In February 2016, the FASB issued ASU No. 2016-02, </w:t>
      </w:r>
      <w:r>
        <w:rPr>
          <w:rFonts w:ascii="Arial" w:cs="Arial" w:eastAsia="Arial" w:hAnsi="Arial"/>
          <w:sz w:val="16"/>
          <w:szCs w:val="16"/>
          <w:i w:val="1"/>
          <w:iCs w:val="1"/>
          <w:color w:val="32406B"/>
        </w:rPr>
        <w:t>Leases (Topic 842)</w:t>
      </w:r>
      <w:r>
        <w:rPr>
          <w:rFonts w:ascii="Arial" w:cs="Arial" w:eastAsia="Arial" w:hAnsi="Arial"/>
          <w:sz w:val="16"/>
          <w:szCs w:val="16"/>
          <w:color w:val="32406B"/>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F-59</w:t>
      </w:r>
    </w:p>
    <w:p>
      <w:pPr>
        <w:sectPr>
          <w:pgSz w:w="11900" w:h="16838" w:orient="portrait"/>
          <w:cols w:equalWidth="0" w:num="1">
            <w:col w:w="11180"/>
          </w:cols>
          <w:pgMar w:left="240" w:top="459"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15. Recently Issued Accounting Pronouncements (continued)</w:t>
      </w:r>
    </w:p>
    <w:p>
      <w:pPr>
        <w:spacing w:after="0" w:line="135"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32406B"/>
        </w:rPr>
        <w:t>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w:t>
      </w:r>
    </w:p>
    <w:p>
      <w:pPr>
        <w:ind w:left="200"/>
        <w:spacing w:after="0" w:line="292" w:lineRule="auto"/>
        <w:rPr>
          <w:sz w:val="20"/>
          <w:szCs w:val="20"/>
          <w:color w:val="auto"/>
        </w:rPr>
      </w:pPr>
      <w:r>
        <w:rPr>
          <w:rFonts w:ascii="Arial" w:cs="Arial" w:eastAsia="Arial" w:hAnsi="Arial"/>
          <w:sz w:val="16"/>
          <w:szCs w:val="16"/>
          <w:color w:val="32406B"/>
        </w:rPr>
        <w:t>12 months regardless of their classification. Leases with a term of 12 months or less may be accounted for similar to existing guidance for operating leases today. ASU 2016-02 supersedes the previous leases standard, ASC 840, Leases. For public entities, not-for-profit entities and an employee benefit plan that files financial statements with the U.S. Securities and Exchange Commission (SEC), the standard is effective for public entities for annual periods beginning after December 15, 2018 including interim periods within those fiscal years. For all other entities, the standard is effective for fiscal years beginning after December 15, 2019, and interim periods within fiscal years beginning after December 15, 2020. Early adoption is permitted.</w:t>
      </w:r>
    </w:p>
    <w:p>
      <w:pPr>
        <w:spacing w:after="0" w:line="16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32406B"/>
        </w:rPr>
        <w:t xml:space="preserve">In September 2017, the FASB issued ASU No. 2017-13, </w:t>
      </w:r>
      <w:r>
        <w:rPr>
          <w:rFonts w:ascii="Arial" w:cs="Arial" w:eastAsia="Arial" w:hAnsi="Arial"/>
          <w:sz w:val="18"/>
          <w:szCs w:val="18"/>
          <w:i w:val="1"/>
          <w:iCs w:val="1"/>
          <w:color w:val="32406B"/>
        </w:rPr>
        <w:t>Revenue Recognition (Topic 605), Revenue from Contracts with Customers (Topic 606),</w:t>
      </w:r>
      <w:r>
        <w:rPr>
          <w:rFonts w:ascii="Arial" w:cs="Arial" w:eastAsia="Arial" w:hAnsi="Arial"/>
          <w:sz w:val="18"/>
          <w:szCs w:val="18"/>
          <w:color w:val="32406B"/>
        </w:rPr>
        <w:t xml:space="preserve"> </w:t>
      </w:r>
      <w:r>
        <w:rPr>
          <w:rFonts w:ascii="Arial" w:cs="Arial" w:eastAsia="Arial" w:hAnsi="Arial"/>
          <w:sz w:val="18"/>
          <w:szCs w:val="18"/>
          <w:i w:val="1"/>
          <w:iCs w:val="1"/>
          <w:color w:val="32406B"/>
        </w:rPr>
        <w:t>Leases (Topic 840), and Leases (Topic 842)</w:t>
      </w:r>
      <w:r>
        <w:rPr>
          <w:rFonts w:ascii="Arial" w:cs="Arial" w:eastAsia="Arial" w:hAnsi="Arial"/>
          <w:sz w:val="18"/>
          <w:szCs w:val="18"/>
          <w:color w:val="32406B"/>
        </w:rPr>
        <w:t>, which provides additional clarification and implementation guidance related to ASU 2016-02 and has the</w:t>
      </w:r>
      <w:r>
        <w:rPr>
          <w:rFonts w:ascii="Arial" w:cs="Arial" w:eastAsia="Arial" w:hAnsi="Arial"/>
          <w:sz w:val="18"/>
          <w:szCs w:val="18"/>
          <w:i w:val="1"/>
          <w:iCs w:val="1"/>
          <w:color w:val="32406B"/>
        </w:rPr>
        <w:t xml:space="preserve"> </w:t>
      </w:r>
      <w:r>
        <w:rPr>
          <w:rFonts w:ascii="Arial" w:cs="Arial" w:eastAsia="Arial" w:hAnsi="Arial"/>
          <w:sz w:val="18"/>
          <w:szCs w:val="18"/>
          <w:color w:val="32406B"/>
        </w:rPr>
        <w:t>same effective date and transition requirements as ASU 2016-02. The Company is currently evaluating the impact that the adoption of ASU 2016-02 will have on its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16. Subsequent Events</w:t>
      </w:r>
    </w:p>
    <w:p>
      <w:pPr>
        <w:spacing w:after="0" w:line="12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32406B"/>
        </w:rPr>
        <w:t>The Company has completed an evaluation of all subsequent events after the unaudited balance sheet date of March 31, 2018 through the filing date of this Registration Statement on Form S-1 with the SEC, to ensure that these consolidated financial statements include appropriate disclosure of events both recognized in the consolidated financial statements as of March 31, 2018, and events which occurred subsequently but were not recognized in the consolidated financial statements. The Company has concluded that no subsequent events have occurred that require disclosure, except as disclosed within these unaudited condensed consolidated financial statements.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Reverse Stock Split</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32406B"/>
        </w:rPr>
        <w:t>On June 1, 2018, the Board approved a 1-for-4.132 reverse stock split of the Company’s common stock. The reverse stock split was approved by the stockholders on June 7, 2018 and became effective on June 7, 2018. Stockholders entitled to fractional shares as a result of the reverse stock split will receive a cash payment in lieu of receiving fractional shares. All share and per share data shown in the accompanying unaudited condensed consolidated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and the respective conversion prices were proportionately increased.</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2018 Stock Option and Incentive Plan</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32406B"/>
        </w:rPr>
        <w:t>The AVROBIO, Inc. 2018 Stock Option and Incentive Plan (the 2018 Plan) was adopted by the Board June 1, 2018 and approved by stockholders on June 7, 2018 and will become effective upon the effectiveness of the Company’s Registration Statement on Form S-1. The 2018 Plan will replace the 2015 Plan as the Board determined not to make additional awards under the 2015 Plan following the pricing of the Company’s IPO.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F-60</w:t>
      </w:r>
    </w:p>
    <w:p>
      <w:pPr>
        <w:sectPr>
          <w:pgSz w:w="11900" w:h="16838" w:orient="portrait"/>
          <w:cols w:equalWidth="0" w:num="1">
            <w:col w:w="11200"/>
          </w:cols>
          <w:pgMar w:left="240" w:top="460"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32406B"/>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32406B"/>
        </w:rPr>
        <w:t>NOTES TO UNAUDITED CONDENSED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16. Subsequent Events (continued)</w:t>
      </w:r>
    </w:p>
    <w:p>
      <w:pPr>
        <w:spacing w:after="0" w:line="13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32406B"/>
        </w:rPr>
        <w:t>2018 Plan allows the compensation committee to make equity-based and cash-based incentive awards to our officers, employees, directors and other key persons (including consultants).</w:t>
      </w:r>
    </w:p>
    <w:p>
      <w:pPr>
        <w:spacing w:after="0" w:line="17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The Company initially reserved 616,300 shares of our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our compensation committee. This number is subject to adjustment in the event of a stock split, stock dividend or other change in our capitalization.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2018 Employee Stock Purchase Plan</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32406B"/>
        </w:rPr>
        <w:t>The AVROBIO, Inc. 2018 Employee Stock Purchase Plan (the ESPP) was adopted by the Board on June 1, 2018 and approved by stockholders on June 7, 2018 and will become effective upon the effectiveness of the Company’s Registration Statement on Form S-1. The ESPP is intended to qualify as an “employee stock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 on January 1, 2019 and each January 1 thereafter through January 1, 2028, by the least of</w:t>
      </w:r>
    </w:p>
    <w:p>
      <w:pPr>
        <w:spacing w:after="0" w:line="2" w:lineRule="exact"/>
        <w:rPr>
          <w:sz w:val="20"/>
          <w:szCs w:val="20"/>
          <w:color w:val="auto"/>
        </w:rPr>
      </w:pPr>
    </w:p>
    <w:p>
      <w:pPr>
        <w:jc w:val="both"/>
        <w:ind w:left="200" w:right="80" w:firstLine="4"/>
        <w:spacing w:after="0" w:line="255" w:lineRule="auto"/>
        <w:tabs>
          <w:tab w:leader="none" w:pos="415" w:val="left"/>
        </w:tabs>
        <w:numPr>
          <w:ilvl w:val="0"/>
          <w:numId w:val="119"/>
        </w:numPr>
        <w:rPr>
          <w:rFonts w:ascii="Arial" w:cs="Arial" w:eastAsia="Arial" w:hAnsi="Arial"/>
          <w:sz w:val="18"/>
          <w:szCs w:val="18"/>
          <w:color w:val="32406B"/>
        </w:rPr>
      </w:pPr>
      <w:r>
        <w:rPr>
          <w:rFonts w:ascii="Arial" w:cs="Arial" w:eastAsia="Arial" w:hAnsi="Arial"/>
          <w:sz w:val="18"/>
          <w:szCs w:val="18"/>
          <w:color w:val="32406B"/>
        </w:rPr>
        <w:t>1% of the outstanding number of shares of our common stock on the immediately preceding December 31; (ii) 1,115,700 shares or (iii) such number of shares as determined by the ESPP administrator. The number of shares reserved under the ESPP is subject to adjustment in the event of a stock split, stock dividend or other change in our capitalization.</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Fourth Amended and Restated Certificate of Incorporation</w:t>
      </w:r>
    </w:p>
    <w:p>
      <w:pPr>
        <w:spacing w:after="0" w:line="117"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32406B"/>
        </w:rPr>
        <w:t>On June 1, 2018, the Board also approved for filing immediately following the effectiveness of the Company’s registration statement in connection with its IPO, the Fourth Amended and Restated Certificate of Incorporation, which shall, among other matters: (i) authorize 150,000,000 shares of common stock, $0.0001 par value and (ii) create 10,000,000 shares of undesignated preferred stock.</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F-61</w:t>
      </w:r>
    </w:p>
    <w:p>
      <w:pPr>
        <w:sectPr>
          <w:pgSz w:w="11900" w:h="16838" w:orient="portrait"/>
          <w:cols w:equalWidth="0" w:num="1">
            <w:col w:w="11200"/>
          </w:cols>
          <w:pgMar w:left="24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right"/>
        <w:ind w:right="3379"/>
        <w:spacing w:after="0"/>
        <w:rPr>
          <w:sz w:val="20"/>
          <w:szCs w:val="20"/>
          <w:color w:val="auto"/>
        </w:rPr>
      </w:pPr>
      <w:r>
        <w:rPr>
          <w:rFonts w:ascii="Arial" w:cs="Arial" w:eastAsia="Arial" w:hAnsi="Arial"/>
          <w:sz w:val="32"/>
          <w:szCs w:val="32"/>
          <w:i w:val="1"/>
          <w:iCs w:val="1"/>
          <w:color w:val="32406B"/>
        </w:rPr>
        <w:t>5,247,958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2651760</wp:posOffset>
            </wp:positionV>
            <wp:extent cx="1551940" cy="3943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5519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740"/>
        <w:spacing w:after="0"/>
        <w:rPr>
          <w:sz w:val="20"/>
          <w:szCs w:val="20"/>
          <w:color w:val="auto"/>
        </w:rPr>
      </w:pPr>
      <w:r>
        <w:rPr>
          <w:rFonts w:ascii="Arial" w:cs="Arial" w:eastAsia="Arial" w:hAnsi="Arial"/>
          <w:sz w:val="30"/>
          <w:szCs w:val="30"/>
          <w:i w:val="1"/>
          <w:iCs w:val="1"/>
          <w:color w:val="32406B"/>
        </w:rPr>
        <w:t>Common Stock</w:t>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9"/>
          <w:szCs w:val="19"/>
          <w:i w:val="1"/>
          <w:iCs w:val="1"/>
          <w:color w:val="32406B"/>
        </w:rPr>
        <w:t>PROSPECTUS</w:t>
      </w:r>
    </w:p>
    <w:p>
      <w:pPr>
        <w:sectPr>
          <w:pgSz w:w="11900" w:h="16838" w:orient="portrait"/>
          <w:cols w:equalWidth="0" w:num="1">
            <w:col w:w="10219"/>
          </w:cols>
          <w:pgMar w:left="240" w:top="460" w:right="1440" w:bottom="1440" w:gutter="0" w:footer="0" w:header="0"/>
          <w:type w:val="continuous"/>
        </w:sectPr>
      </w:pPr>
    </w:p>
    <w:bookmarkStart w:id="233" w:name="page234"/>
    <w:bookmarkEnd w:id="233"/>
    <w:p>
      <w:pPr>
        <w:jc w:val="center"/>
        <w:spacing w:after="0"/>
        <w:rPr>
          <w:sz w:val="20"/>
          <w:szCs w:val="20"/>
          <w:color w:val="auto"/>
        </w:rPr>
      </w:pPr>
      <w:r>
        <w:rPr>
          <w:rFonts w:ascii="Arial" w:cs="Arial" w:eastAsia="Arial" w:hAnsi="Arial"/>
          <w:sz w:val="36"/>
          <w:szCs w:val="36"/>
          <w:i w:val="1"/>
          <w:iCs w:val="1"/>
          <w:color w:val="32406B"/>
        </w:rPr>
        <w:t>MORGAN STANLEY</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36"/>
          <w:szCs w:val="36"/>
          <w:i w:val="1"/>
          <w:iCs w:val="1"/>
          <w:color w:val="32406B"/>
        </w:rPr>
        <w:t>COWEN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32406B"/>
        </w:rPr>
        <w:t>WELLS FARGO SECURITIES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36"/>
          <w:szCs w:val="36"/>
          <w:i w:val="1"/>
          <w:iCs w:val="1"/>
          <w:color w:val="32406B"/>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32406B"/>
        </w:rPr>
        <w:t>June 20, 2018</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1)"/>
      <w:numFmt w:val="decimal"/>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1)"/>
      <w:numFmt w:val="decimal"/>
      <w:start w:val="1"/>
    </w:lvl>
  </w:abstractNum>
  <w:abstractNum w:abstractNumId="9">
    <w:nsid w:val="5FF87E05"/>
    <w:multiLevelType w:val="hybridMultilevel"/>
    <w:lvl w:ilvl="0">
      <w:lvlJc w:val="left"/>
      <w:lvlText w:val="(%1)"/>
      <w:numFmt w:val="decimal"/>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1)"/>
      <w:numFmt w:val="decimal"/>
      <w:start w:val="2"/>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
      <w:numFmt w:val="bullet"/>
      <w:start w:val="1"/>
    </w:lvl>
  </w:abstractNum>
  <w:abstractNum w:abstractNumId="39">
    <w:nsid w:val="3B0FD379"/>
    <w:multiLevelType w:val="hybridMultilevel"/>
    <w:lvl w:ilvl="0">
      <w:lvlJc w:val="left"/>
      <w:lvlText w:val="•"/>
      <w:numFmt w:val="bullet"/>
      <w:start w:val="1"/>
    </w:lvl>
  </w:abstractNum>
  <w:abstractNum w:abstractNumId="40">
    <w:nsid w:val="68EB2F63"/>
    <w:multiLevelType w:val="hybridMultilevel"/>
    <w:lvl w:ilvl="0">
      <w:lvlJc w:val="left"/>
      <w:lvlText w:val="•"/>
      <w:numFmt w:val="bullet"/>
      <w:start w:val="1"/>
    </w:lvl>
    <w:lvl w:ilvl="1">
      <w:lvlJc w:val="left"/>
      <w:lvlText w:val="•"/>
      <w:numFmt w:val="bullet"/>
      <w:start w:val="1"/>
    </w:lvl>
  </w:abstractNum>
  <w:abstractNum w:abstractNumId="41">
    <w:nsid w:val="4962813B"/>
    <w:multiLevelType w:val="hybridMultilevel"/>
    <w:lvl w:ilvl="0">
      <w:lvlJc w:val="left"/>
      <w:lvlText w:val="•"/>
      <w:numFmt w:val="bullet"/>
      <w:start w:val="1"/>
    </w:lvl>
  </w:abstractNum>
  <w:abstractNum w:abstractNumId="42">
    <w:nsid w:val="60B6DF70"/>
    <w:multiLevelType w:val="hybridMultilevel"/>
    <w:lvl w:ilvl="0">
      <w:lvlJc w:val="left"/>
      <w:lvlText w:val="•"/>
      <w:numFmt w:val="bullet"/>
      <w:start w:val="1"/>
    </w:lvl>
  </w:abstractNum>
  <w:abstractNum w:abstractNumId="43">
    <w:nsid w:val="6A5EE64"/>
    <w:multiLevelType w:val="hybridMultilevel"/>
    <w:lvl w:ilvl="0">
      <w:lvlJc w:val="left"/>
      <w:lvlText w:val="•"/>
      <w:numFmt w:val="bullet"/>
      <w:start w:val="1"/>
    </w:lvl>
  </w:abstractNum>
  <w:abstractNum w:abstractNumId="44">
    <w:nsid w:val="14330624"/>
    <w:multiLevelType w:val="hybridMultilevel"/>
    <w:lvl w:ilvl="0">
      <w:lvlJc w:val="left"/>
      <w:lvlText w:val="(%1)"/>
      <w:numFmt w:val="decimal"/>
      <w:start w:val="1"/>
    </w:lvl>
  </w:abstractNum>
  <w:abstractNum w:abstractNumId="45">
    <w:nsid w:val="7FFFCA11"/>
    <w:multiLevelType w:val="hybridMultilevel"/>
    <w:lvl w:ilvl="0">
      <w:lvlJc w:val="left"/>
      <w:lvlText w:val="(%1)"/>
      <w:numFmt w:val="decimal"/>
      <w:start w:val="1"/>
    </w:lvl>
  </w:abstractNum>
  <w:abstractNum w:abstractNumId="46">
    <w:nsid w:val="1A27709E"/>
    <w:multiLevelType w:val="hybridMultilevel"/>
    <w:lvl w:ilvl="0">
      <w:lvlJc w:val="left"/>
      <w:lvlText w:val="•"/>
      <w:numFmt w:val="bullet"/>
      <w:start w:val="1"/>
    </w:lvl>
  </w:abstractNum>
  <w:abstractNum w:abstractNumId="47">
    <w:nsid w:val="71EA1109"/>
    <w:multiLevelType w:val="hybridMultilevel"/>
    <w:lvl w:ilvl="0">
      <w:lvlJc w:val="left"/>
      <w:lvlText w:val="•"/>
      <w:numFmt w:val="bullet"/>
      <w:start w:val="1"/>
    </w:lvl>
  </w:abstractNum>
  <w:abstractNum w:abstractNumId="48">
    <w:nsid w:val="100F59DC"/>
    <w:multiLevelType w:val="hybridMultilevel"/>
    <w:lvl w:ilvl="0">
      <w:lvlJc w:val="left"/>
      <w:lvlText w:val="•"/>
      <w:numFmt w:val="bullet"/>
      <w:start w:val="1"/>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
      <w:numFmt w:val="bullet"/>
      <w:start w:val="1"/>
    </w:lvl>
  </w:abstractNum>
  <w:abstractNum w:abstractNumId="51">
    <w:nsid w:val="6F6DD9AC"/>
    <w:multiLevelType w:val="hybridMultilevel"/>
    <w:lvl w:ilvl="0">
      <w:lvlJc w:val="left"/>
      <w:lvlText w:val="(%1)"/>
      <w:numFmt w:val="decimal"/>
      <w:start w:val="1"/>
    </w:lvl>
  </w:abstractNum>
  <w:abstractNum w:abstractNumId="52">
    <w:nsid w:val="94211F2"/>
    <w:multiLevelType w:val="hybridMultilevel"/>
    <w:lvl w:ilvl="0">
      <w:lvlJc w:val="left"/>
      <w:lvlText w:val="•"/>
      <w:numFmt w:val="bullet"/>
      <w:start w:val="1"/>
    </w:lvl>
  </w:abstractNum>
  <w:abstractNum w:abstractNumId="53">
    <w:nsid w:val="885E1B"/>
    <w:multiLevelType w:val="hybridMultilevel"/>
    <w:lvl w:ilvl="0">
      <w:lvlJc w:val="left"/>
      <w:lvlText w:val="•"/>
      <w:numFmt w:val="bullet"/>
      <w:start w:val="1"/>
    </w:lvl>
  </w:abstractNum>
  <w:abstractNum w:abstractNumId="54">
    <w:nsid w:val="76272110"/>
    <w:multiLevelType w:val="hybridMultilevel"/>
    <w:lvl w:ilvl="0">
      <w:lvlJc w:val="left"/>
      <w:lvlText w:val="•"/>
      <w:numFmt w:val="bullet"/>
      <w:start w:val="1"/>
    </w:lvl>
  </w:abstractNum>
  <w:abstractNum w:abstractNumId="55">
    <w:nsid w:val="4C04A8AF"/>
    <w:multiLevelType w:val="hybridMultilevel"/>
    <w:lvl w:ilvl="0">
      <w:lvlJc w:val="left"/>
      <w:lvlText w:val="•"/>
      <w:numFmt w:val="bullet"/>
      <w:start w:val="1"/>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
      <w:numFmt w:val="bullet"/>
      <w:start w:val="1"/>
    </w:lvl>
  </w:abstractNum>
  <w:abstractNum w:abstractNumId="58">
    <w:nsid w:val="3222E7CD"/>
    <w:multiLevelType w:val="hybridMultilevel"/>
    <w:lvl w:ilvl="0">
      <w:lvlJc w:val="left"/>
      <w:lvlText w:val="•"/>
      <w:numFmt w:val="bullet"/>
      <w:start w:val="1"/>
    </w:lvl>
  </w:abstractNum>
  <w:abstractNum w:abstractNumId="59">
    <w:nsid w:val="74DE0EE3"/>
    <w:multiLevelType w:val="hybridMultilevel"/>
    <w:lvl w:ilvl="0">
      <w:lvlJc w:val="left"/>
      <w:lvlText w:val="•"/>
      <w:numFmt w:val="bullet"/>
      <w:start w:val="1"/>
    </w:lvl>
  </w:abstractNum>
  <w:abstractNum w:abstractNumId="60">
    <w:nsid w:val="68EBC550"/>
    <w:multiLevelType w:val="hybridMultilevel"/>
    <w:lvl w:ilvl="0">
      <w:lvlJc w:val="left"/>
      <w:lvlText w:val="•"/>
      <w:numFmt w:val="bullet"/>
      <w:start w:val="1"/>
    </w:lvl>
  </w:abstractNum>
  <w:abstractNum w:abstractNumId="61">
    <w:nsid w:val="2DF6D648"/>
    <w:multiLevelType w:val="hybridMultilevel"/>
    <w:lvl w:ilvl="0">
      <w:lvlJc w:val="left"/>
      <w:lvlText w:val="•"/>
      <w:numFmt w:val="bullet"/>
      <w:start w:val="1"/>
    </w:lvl>
  </w:abstractNum>
  <w:abstractNum w:abstractNumId="62">
    <w:nsid w:val="46B7D447"/>
    <w:multiLevelType w:val="hybridMultilevel"/>
    <w:lvl w:ilvl="0">
      <w:lvlJc w:val="left"/>
      <w:lvlText w:val="•"/>
      <w:numFmt w:val="bullet"/>
      <w:start w:val="1"/>
    </w:lvl>
  </w:abstractNum>
  <w:abstractNum w:abstractNumId="63">
    <w:nsid w:val="4A2AC315"/>
    <w:multiLevelType w:val="hybridMultilevel"/>
    <w:lvl w:ilvl="0">
      <w:lvlJc w:val="left"/>
      <w:lvlText w:val="•"/>
      <w:numFmt w:val="bullet"/>
      <w:start w:val="1"/>
    </w:lvl>
  </w:abstractNum>
  <w:abstractNum w:abstractNumId="64">
    <w:nsid w:val="39EE015C"/>
    <w:multiLevelType w:val="hybridMultilevel"/>
    <w:lvl w:ilvl="0">
      <w:lvlJc w:val="left"/>
      <w:lvlText w:val="•"/>
      <w:numFmt w:val="bullet"/>
      <w:start w:val="1"/>
    </w:lvl>
  </w:abstractNum>
  <w:abstractNum w:abstractNumId="65">
    <w:nsid w:val="57FC4FBB"/>
    <w:multiLevelType w:val="hybridMultilevel"/>
    <w:lvl w:ilvl="0">
      <w:lvlJc w:val="left"/>
      <w:lvlText w:val="•"/>
      <w:numFmt w:val="bullet"/>
      <w:start w:val="1"/>
    </w:lvl>
  </w:abstractNum>
  <w:abstractNum w:abstractNumId="66">
    <w:nsid w:val="CC1016F"/>
    <w:multiLevelType w:val="hybridMultilevel"/>
    <w:lvl w:ilvl="0">
      <w:lvlJc w:val="left"/>
      <w:lvlText w:val="•"/>
      <w:numFmt w:val="bullet"/>
      <w:start w:val="1"/>
    </w:lvl>
  </w:abstractNum>
  <w:abstractNum w:abstractNumId="67">
    <w:nsid w:val="43F18422"/>
    <w:multiLevelType w:val="hybridMultilevel"/>
    <w:lvl w:ilvl="0">
      <w:lvlJc w:val="left"/>
      <w:lvlText w:val="•"/>
      <w:numFmt w:val="bullet"/>
      <w:start w:val="1"/>
    </w:lvl>
  </w:abstractNum>
  <w:abstractNum w:abstractNumId="68">
    <w:nsid w:val="60EF0119"/>
    <w:multiLevelType w:val="hybridMultilevel"/>
    <w:lvl w:ilvl="0">
      <w:lvlJc w:val="left"/>
      <w:lvlText w:val="•"/>
      <w:numFmt w:val="bullet"/>
      <w:start w:val="1"/>
    </w:lvl>
  </w:abstractNum>
  <w:abstractNum w:abstractNumId="69">
    <w:nsid w:val="26F324BA"/>
    <w:multiLevelType w:val="hybridMultilevel"/>
    <w:lvl w:ilvl="0">
      <w:lvlJc w:val="left"/>
      <w:lvlText w:val="(%1)"/>
      <w:numFmt w:val="decimal"/>
      <w:start w:val="1"/>
    </w:lvl>
  </w:abstractNum>
  <w:abstractNum w:abstractNumId="70">
    <w:nsid w:val="7F01579B"/>
    <w:multiLevelType w:val="hybridMultilevel"/>
    <w:lvl w:ilvl="0">
      <w:lvlJc w:val="left"/>
      <w:lvlText w:val="•"/>
      <w:numFmt w:val="bullet"/>
      <w:start w:val="1"/>
    </w:lvl>
  </w:abstractNum>
  <w:abstractNum w:abstractNumId="71">
    <w:nsid w:val="49DA307D"/>
    <w:multiLevelType w:val="hybridMultilevel"/>
    <w:lvl w:ilvl="0">
      <w:lvlJc w:val="left"/>
      <w:lvlText w:val="•"/>
      <w:numFmt w:val="bullet"/>
      <w:start w:val="1"/>
    </w:lvl>
  </w:abstractNum>
  <w:abstractNum w:abstractNumId="72">
    <w:nsid w:val="7055A5F5"/>
    <w:multiLevelType w:val="hybridMultilevel"/>
    <w:lvl w:ilvl="0">
      <w:lvlJc w:val="left"/>
      <w:lvlText w:val="•"/>
      <w:numFmt w:val="bullet"/>
      <w:start w:val="1"/>
    </w:lvl>
  </w:abstractNum>
  <w:abstractNum w:abstractNumId="73">
    <w:nsid w:val="5FB8370B"/>
    <w:multiLevelType w:val="hybridMultilevel"/>
    <w:lvl w:ilvl="0">
      <w:lvlJc w:val="left"/>
      <w:lvlText w:val="•"/>
      <w:numFmt w:val="bullet"/>
      <w:start w:val="1"/>
    </w:lvl>
  </w:abstractNum>
  <w:abstractNum w:abstractNumId="74">
    <w:nsid w:val="50801EE1"/>
    <w:multiLevelType w:val="hybridMultilevel"/>
    <w:lvl w:ilvl="0">
      <w:lvlJc w:val="left"/>
      <w:lvlText w:val="•"/>
      <w:numFmt w:val="bullet"/>
      <w:start w:val="1"/>
    </w:lvl>
  </w:abstractNum>
  <w:abstractNum w:abstractNumId="75">
    <w:nsid w:val="488AC1A"/>
    <w:multiLevelType w:val="hybridMultilevel"/>
    <w:lvl w:ilvl="0">
      <w:lvlJc w:val="left"/>
      <w:lvlText w:val="•"/>
      <w:numFmt w:val="bullet"/>
      <w:start w:val="1"/>
    </w:lvl>
  </w:abstractNum>
  <w:abstractNum w:abstractNumId="76">
    <w:nsid w:val="5FB8011C"/>
    <w:multiLevelType w:val="hybridMultilevel"/>
    <w:lvl w:ilvl="0">
      <w:lvlJc w:val="left"/>
      <w:lvlText w:val="(%1)"/>
      <w:numFmt w:val="decimal"/>
      <w:start w:val="1"/>
    </w:lvl>
  </w:abstractNum>
  <w:abstractNum w:abstractNumId="77">
    <w:nsid w:val="6AA78F7F"/>
    <w:multiLevelType w:val="hybridMultilevel"/>
    <w:lvl w:ilvl="0">
      <w:lvlJc w:val="left"/>
      <w:lvlText w:val="(%1)"/>
      <w:numFmt w:val="lowerRoman"/>
      <w:start w:val="2"/>
    </w:lvl>
  </w:abstractNum>
  <w:abstractNum w:abstractNumId="78">
    <w:nsid w:val="7672BD23"/>
    <w:multiLevelType w:val="hybridMultilevel"/>
    <w:lvl w:ilvl="0">
      <w:lvlJc w:val="left"/>
      <w:lvlText w:val="(%1)"/>
      <w:numFmt w:val="decimal"/>
      <w:start w:val="1"/>
    </w:lvl>
  </w:abstractNum>
  <w:abstractNum w:abstractNumId="79">
    <w:nsid w:val="6FC75AF8"/>
    <w:multiLevelType w:val="hybridMultilevel"/>
    <w:lvl w:ilvl="0">
      <w:lvlJc w:val="left"/>
      <w:lvlText w:val="(%1)"/>
      <w:numFmt w:val="lowerRoman"/>
      <w:start w:val="1"/>
    </w:lvl>
  </w:abstractNum>
  <w:abstractNum w:abstractNumId="80">
    <w:nsid w:val="6A5F7029"/>
    <w:multiLevelType w:val="hybridMultilevel"/>
    <w:lvl w:ilvl="0">
      <w:lvlJc w:val="left"/>
      <w:lvlText w:val="(%1)"/>
      <w:numFmt w:val="lowerRoman"/>
      <w:start w:val="1"/>
    </w:lvl>
  </w:abstractNum>
  <w:abstractNum w:abstractNumId="81">
    <w:nsid w:val="7D5E18F8"/>
    <w:multiLevelType w:val="hybridMultilevel"/>
    <w:lvl w:ilvl="0">
      <w:lvlJc w:val="left"/>
      <w:lvlText w:val="(%1)"/>
      <w:numFmt w:val="decimal"/>
      <w:start w:val="1"/>
    </w:lvl>
  </w:abstractNum>
  <w:abstractNum w:abstractNumId="82">
    <w:nsid w:val="5F3534A4"/>
    <w:multiLevelType w:val="hybridMultilevel"/>
    <w:lvl w:ilvl="0">
      <w:lvlJc w:val="left"/>
      <w:lvlText w:val="(%1)"/>
      <w:numFmt w:val="decimal"/>
      <w:start w:val="1"/>
    </w:lvl>
  </w:abstractNum>
  <w:abstractNum w:abstractNumId="83">
    <w:nsid w:val="73A1821B"/>
    <w:multiLevelType w:val="hybridMultilevel"/>
    <w:lvl w:ilvl="0">
      <w:lvlJc w:val="left"/>
      <w:lvlText w:val="(%1)"/>
      <w:numFmt w:val="decimal"/>
      <w:start w:val="1"/>
    </w:lvl>
  </w:abstractNum>
  <w:abstractNum w:abstractNumId="84">
    <w:nsid w:val="7DE67713"/>
    <w:multiLevelType w:val="hybridMultilevel"/>
    <w:lvl w:ilvl="0">
      <w:lvlJc w:val="left"/>
      <w:lvlText w:val="(%1)"/>
      <w:numFmt w:val="decimal"/>
      <w:start w:val="4"/>
    </w:lvl>
  </w:abstractNum>
  <w:abstractNum w:abstractNumId="85">
    <w:nsid w:val="555C55B5"/>
    <w:multiLevelType w:val="hybridMultilevel"/>
    <w:lvl w:ilvl="0">
      <w:lvlJc w:val="left"/>
      <w:lvlText w:val="(%1)"/>
      <w:numFmt w:val="decimal"/>
      <w:start w:val="1"/>
    </w:lvl>
  </w:abstractNum>
  <w:abstractNum w:abstractNumId="86">
    <w:nsid w:val="3FA62ACA"/>
    <w:multiLevelType w:val="hybridMultilevel"/>
    <w:lvl w:ilvl="0">
      <w:lvlJc w:val="left"/>
      <w:lvlText w:val="•"/>
      <w:numFmt w:val="bullet"/>
      <w:start w:val="1"/>
    </w:lvl>
  </w:abstractNum>
  <w:abstractNum w:abstractNumId="87">
    <w:nsid w:val="14FCE74E"/>
    <w:multiLevelType w:val="hybridMultilevel"/>
    <w:lvl w:ilvl="0">
      <w:lvlJc w:val="left"/>
      <w:lvlText w:val="*"/>
      <w:numFmt w:val="bullet"/>
      <w:start w:val="1"/>
    </w:lvl>
  </w:abstractNum>
  <w:abstractNum w:abstractNumId="88">
    <w:nsid w:val="6A3DD3E8"/>
    <w:multiLevelType w:val="hybridMultilevel"/>
    <w:lvl w:ilvl="0">
      <w:lvlJc w:val="left"/>
      <w:lvlText w:val="(%1)"/>
      <w:numFmt w:val="decimal"/>
      <w:start w:val="1"/>
    </w:lvl>
  </w:abstractNum>
  <w:abstractNum w:abstractNumId="89">
    <w:nsid w:val="71C91298"/>
    <w:multiLevelType w:val="hybridMultilevel"/>
    <w:lvl w:ilvl="0">
      <w:lvlJc w:val="left"/>
      <w:lvlText w:val="(%1)"/>
      <w:numFmt w:val="decimal"/>
      <w:start w:val="4"/>
    </w:lvl>
  </w:abstractNum>
  <w:abstractNum w:abstractNumId="90">
    <w:nsid w:val="9DAF632"/>
    <w:multiLevelType w:val="hybridMultilevel"/>
    <w:lvl w:ilvl="0">
      <w:lvlJc w:val="left"/>
      <w:lvlText w:val="(%1)"/>
      <w:numFmt w:val="lowerRoman"/>
      <w:start w:val="1"/>
    </w:lvl>
  </w:abstractNum>
  <w:abstractNum w:abstractNumId="91">
    <w:nsid w:val="53299938"/>
    <w:multiLevelType w:val="hybridMultilevel"/>
    <w:lvl w:ilvl="0">
      <w:lvlJc w:val="left"/>
      <w:lvlText w:val="•"/>
      <w:numFmt w:val="bullet"/>
      <w:start w:val="1"/>
    </w:lvl>
  </w:abstractNum>
  <w:abstractNum w:abstractNumId="92">
    <w:nsid w:val="1FBFE8E0"/>
    <w:multiLevelType w:val="hybridMultilevel"/>
    <w:lvl w:ilvl="0">
      <w:lvlJc w:val="left"/>
      <w:lvlText w:val="•"/>
      <w:numFmt w:val="bullet"/>
      <w:start w:val="1"/>
    </w:lvl>
  </w:abstractNum>
  <w:abstractNum w:abstractNumId="93">
    <w:nsid w:val="5092CA79"/>
    <w:multiLevelType w:val="hybridMultilevel"/>
    <w:lvl w:ilvl="0">
      <w:lvlJc w:val="left"/>
      <w:lvlText w:val="(%1)"/>
      <w:numFmt w:val="lowerRoman"/>
      <w:start w:val="1"/>
    </w:lvl>
    <w:lvl w:ilvl="1">
      <w:lvlJc w:val="left"/>
      <w:lvlText w:val="•"/>
      <w:numFmt w:val="bullet"/>
      <w:start w:val="1"/>
    </w:lvl>
  </w:abstractNum>
  <w:abstractNum w:abstractNumId="94">
    <w:nsid w:val="1D545C4D"/>
    <w:multiLevelType w:val="hybridMultilevel"/>
    <w:lvl w:ilvl="0">
      <w:lvlJc w:val="left"/>
      <w:lvlText w:val="•"/>
      <w:numFmt w:val="bullet"/>
      <w:start w:val="1"/>
    </w:lvl>
  </w:abstractNum>
  <w:abstractNum w:abstractNumId="95">
    <w:nsid w:val="59ADEA3D"/>
    <w:multiLevelType w:val="hybridMultilevel"/>
    <w:lvl w:ilvl="0">
      <w:lvlJc w:val="left"/>
      <w:lvlText w:val="•"/>
      <w:numFmt w:val="bullet"/>
      <w:start w:val="1"/>
    </w:lvl>
  </w:abstractNum>
  <w:abstractNum w:abstractNumId="96">
    <w:nsid w:val="288F1A34"/>
    <w:multiLevelType w:val="hybridMultilevel"/>
    <w:lvl w:ilvl="0">
      <w:lvlJc w:val="left"/>
      <w:lvlText w:val="•"/>
      <w:numFmt w:val="bullet"/>
      <w:start w:val="1"/>
    </w:lvl>
  </w:abstractNum>
  <w:abstractNum w:abstractNumId="97">
    <w:nsid w:val="2A155DBC"/>
    <w:multiLevelType w:val="hybridMultilevel"/>
    <w:lvl w:ilvl="0">
      <w:lvlJc w:val="left"/>
      <w:lvlText w:val="•"/>
      <w:numFmt w:val="bullet"/>
      <w:start w:val="1"/>
    </w:lvl>
  </w:abstractNum>
  <w:abstractNum w:abstractNumId="98">
    <w:nsid w:val="1D9F6E5F"/>
    <w:multiLevelType w:val="hybridMultilevel"/>
    <w:lvl w:ilvl="0">
      <w:lvlJc w:val="left"/>
      <w:lvlText w:val="•"/>
      <w:numFmt w:val="bullet"/>
      <w:start w:val="1"/>
    </w:lvl>
  </w:abstractNum>
  <w:abstractNum w:abstractNumId="99">
    <w:nsid w:val="97E1B4E"/>
    <w:multiLevelType w:val="hybridMultilevel"/>
    <w:lvl w:ilvl="0">
      <w:lvlJc w:val="left"/>
      <w:lvlText w:val="•"/>
      <w:numFmt w:val="bullet"/>
      <w:start w:val="1"/>
    </w:lvl>
  </w:abstractNum>
  <w:abstractNum w:abstractNumId="100">
    <w:nsid w:val="51088277"/>
    <w:multiLevelType w:val="hybridMultilevel"/>
    <w:lvl w:ilvl="0">
      <w:lvlJc w:val="left"/>
      <w:lvlText w:val="•"/>
      <w:numFmt w:val="bullet"/>
      <w:start w:val="1"/>
    </w:lvl>
  </w:abstractNum>
  <w:abstractNum w:abstractNumId="101">
    <w:nsid w:val="1CA0C5FA"/>
    <w:multiLevelType w:val="hybridMultilevel"/>
    <w:lvl w:ilvl="0">
      <w:lvlJc w:val="left"/>
      <w:lvlText w:val="•"/>
      <w:numFmt w:val="bullet"/>
      <w:start w:val="1"/>
    </w:lvl>
  </w:abstractNum>
  <w:abstractNum w:abstractNumId="102">
    <w:nsid w:val="53584BCB"/>
    <w:multiLevelType w:val="hybridMultilevel"/>
    <w:lvl w:ilvl="0">
      <w:lvlJc w:val="left"/>
      <w:lvlText w:val="•"/>
      <w:numFmt w:val="bullet"/>
      <w:start w:val="1"/>
    </w:lvl>
  </w:abstractNum>
  <w:abstractNum w:abstractNumId="103">
    <w:nsid w:val="415E286C"/>
    <w:multiLevelType w:val="hybridMultilevel"/>
    <w:lvl w:ilvl="0">
      <w:lvlJc w:val="left"/>
      <w:lvlText w:val="(%1)"/>
      <w:numFmt w:val="lowerLetter"/>
      <w:start w:val="1"/>
    </w:lvl>
  </w:abstractNum>
  <w:abstractNum w:abstractNumId="104">
    <w:nsid w:val="7C58FD05"/>
    <w:multiLevelType w:val="hybridMultilevel"/>
    <w:lvl w:ilvl="0">
      <w:lvlJc w:val="left"/>
      <w:lvlText w:val="(%1)"/>
      <w:numFmt w:val="lowerLetter"/>
      <w:start w:val="1"/>
    </w:lvl>
  </w:abstractNum>
  <w:abstractNum w:abstractNumId="105">
    <w:nsid w:val="23D86AAC"/>
    <w:multiLevelType w:val="hybridMultilevel"/>
    <w:lvl w:ilvl="0">
      <w:lvlJc w:val="left"/>
      <w:lvlText w:val="%1."/>
      <w:numFmt w:val="decimal"/>
      <w:start w:val="2"/>
    </w:lvl>
  </w:abstractNum>
  <w:abstractNum w:abstractNumId="106">
    <w:nsid w:val="45E6D486"/>
    <w:multiLevelType w:val="hybridMultilevel"/>
    <w:lvl w:ilvl="0">
      <w:lvlJc w:val="left"/>
      <w:lvlText w:val="•"/>
      <w:numFmt w:val="bullet"/>
      <w:start w:val="1"/>
    </w:lvl>
  </w:abstractNum>
  <w:abstractNum w:abstractNumId="107">
    <w:nsid w:val="5C10FE21"/>
    <w:multiLevelType w:val="hybridMultilevel"/>
    <w:lvl w:ilvl="0">
      <w:lvlJc w:val="left"/>
      <w:lvlText w:val="$"/>
      <w:numFmt w:val="bullet"/>
      <w:start w:val="1"/>
    </w:lvl>
  </w:abstractNum>
  <w:abstractNum w:abstractNumId="108">
    <w:nsid w:val="E7FFA2B"/>
    <w:multiLevelType w:val="hybridMultilevel"/>
    <w:lvl w:ilvl="0">
      <w:lvlJc w:val="left"/>
      <w:lvlText w:val="$"/>
      <w:numFmt w:val="bullet"/>
      <w:start w:val="1"/>
    </w:lvl>
  </w:abstractNum>
  <w:abstractNum w:abstractNumId="109">
    <w:nsid w:val="3C5991AA"/>
    <w:multiLevelType w:val="hybridMultilevel"/>
    <w:lvl w:ilvl="0">
      <w:lvlJc w:val="left"/>
      <w:lvlText w:val="%1."/>
      <w:numFmt w:val="decimal"/>
      <w:start w:val="11"/>
    </w:lvl>
  </w:abstractNum>
  <w:abstractNum w:abstractNumId="110">
    <w:nsid w:val="4BD8591A"/>
    <w:multiLevelType w:val="hybridMultilevel"/>
    <w:lvl w:ilvl="0">
      <w:lvlJc w:val="left"/>
      <w:lvlText w:val="%1."/>
      <w:numFmt w:val="decimal"/>
      <w:start w:val="13"/>
    </w:lvl>
  </w:abstractNum>
  <w:abstractNum w:abstractNumId="111">
    <w:nsid w:val="78DF6A55"/>
    <w:multiLevelType w:val="hybridMultilevel"/>
    <w:lvl w:ilvl="0">
      <w:lvlJc w:val="left"/>
      <w:lvlText w:val="%1."/>
      <w:numFmt w:val="decimal"/>
      <w:start w:val="14"/>
    </w:lvl>
  </w:abstractNum>
  <w:abstractNum w:abstractNumId="112">
    <w:nsid w:val="39B7AAA2"/>
    <w:multiLevelType w:val="hybridMultilevel"/>
    <w:lvl w:ilvl="0">
      <w:lvlJc w:val="left"/>
      <w:lvlText w:val="%1."/>
      <w:numFmt w:val="decimal"/>
      <w:start w:val="15"/>
    </w:lvl>
  </w:abstractNum>
  <w:abstractNum w:abstractNumId="113">
    <w:nsid w:val="2B0D8DBE"/>
    <w:multiLevelType w:val="hybridMultilevel"/>
    <w:lvl w:ilvl="0">
      <w:lvlJc w:val="left"/>
      <w:lvlText w:val="(%1)"/>
      <w:numFmt w:val="lowerRoman"/>
      <w:start w:val="1"/>
    </w:lvl>
  </w:abstractNum>
  <w:abstractNum w:abstractNumId="114">
    <w:nsid w:val="6C80EC70"/>
    <w:multiLevelType w:val="hybridMultilevel"/>
    <w:lvl w:ilvl="0">
      <w:lvlJc w:val="left"/>
      <w:lvlText w:val="%1."/>
      <w:numFmt w:val="decimal"/>
      <w:start w:val="2"/>
    </w:lvl>
  </w:abstractNum>
  <w:abstractNum w:abstractNumId="115">
    <w:nsid w:val="379E21B5"/>
    <w:multiLevelType w:val="hybridMultilevel"/>
    <w:lvl w:ilvl="0">
      <w:lvlJc w:val="left"/>
      <w:lvlText w:val="%1."/>
      <w:numFmt w:val="decimal"/>
      <w:start w:val="11"/>
    </w:lvl>
  </w:abstractNum>
  <w:abstractNum w:abstractNumId="116">
    <w:nsid w:val="69E373"/>
    <w:multiLevelType w:val="hybridMultilevel"/>
    <w:lvl w:ilvl="0">
      <w:lvlJc w:val="left"/>
      <w:lvlText w:val="(%1)"/>
      <w:numFmt w:val="lowerRoman"/>
      <w:start w:val="4"/>
    </w:lvl>
  </w:abstractNum>
  <w:abstractNum w:abstractNumId="117">
    <w:nsid w:val="2C27173B"/>
    <w:multiLevelType w:val="hybridMultilevel"/>
    <w:lvl w:ilvl="0">
      <w:lvlJc w:val="left"/>
      <w:lvlText w:val="%1."/>
      <w:numFmt w:val="decimal"/>
      <w:start w:val="13"/>
    </w:lvl>
  </w:abstractNum>
  <w:abstractNum w:abstractNumId="118">
    <w:nsid w:val="4C9B090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2019-12-08T14:47:37Z</dcterms:created>
  <dcterms:modified xsi:type="dcterms:W3CDTF">2019-12-08T14:47:37Z</dcterms:modified>
</cp:coreProperties>
</file>