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81-0710585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Kendall Square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March 17, 2022, AVROBIO, Inc. (the “Company”) issued a press release containing information about the Company’s results of operations for the three months and year ended December 31, 2021. A copy of this press release is furnished as Exhibit 99.1 to this Current Report on Form 8-K.</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this Form 8-K (including Exhibit 99.1)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AVROBIO, Inc., dated March 17, 2022.</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in Inline XBRL.</w:t>
      </w:r>
    </w:p>
    <w:p>
      <w:pPr>
        <w:sectPr>
          <w:pgSz w:w="11900" w:h="16838" w:orient="portrait"/>
          <w:cols w:equalWidth="0" w:num="1">
            <w:col w:w="10960"/>
          </w:cols>
          <w:pgMar w:left="440" w:top="297" w:right="49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Reports Fourth Quarter and Fiscal Year 2021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Provided interim data at WORLDSymposium</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2022 that showed sustained engraftment across first three patients 1</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year post-gene therapy in Phase 1/2 clinical trial</w:t>
      </w:r>
      <w:r>
        <w:rPr>
          <w:rFonts w:ascii="Arial" w:cs="Arial" w:eastAsia="Arial" w:hAnsi="Arial"/>
          <w:sz w:val="15"/>
          <w:szCs w:val="15"/>
          <w:i w:val="1"/>
          <w:iCs w:val="1"/>
          <w:color w:val="auto"/>
        </w:rPr>
        <w:t>i</w:t>
      </w:r>
      <w:r>
        <w:rPr>
          <w:rFonts w:ascii="Arial" w:cs="Arial" w:eastAsia="Arial" w:hAnsi="Arial"/>
          <w:sz w:val="18"/>
          <w:szCs w:val="18"/>
          <w:i w:val="1"/>
          <w:iCs w:val="1"/>
          <w:color w:val="auto"/>
        </w:rPr>
        <w:t xml:space="preserve"> for cystinosis; all remain off oral cysteamine to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Interim clinical data update of AVR-RD-02 in Gaucher disease type 1 planned for 2022;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third patient dosed in Phase 1/2 clinical trial</w:t>
      </w:r>
    </w:p>
    <w:p>
      <w:pPr>
        <w:spacing w:after="0" w:line="21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Regulatory interactions planned in 2022 to inform clinical development and registration strategies for programs in Gaucher disease, cystinosis, Hunter syndrome and Pompe disease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Strong balance sheet with cash runway into Q1 2024</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CAMBRIDGE, Mass., March 17, 2022 — </w:t>
      </w:r>
      <w:r>
        <w:rPr>
          <w:rFonts w:ascii="Arial" w:cs="Arial" w:eastAsia="Arial" w:hAnsi="Arial"/>
          <w:sz w:val="18"/>
          <w:szCs w:val="18"/>
          <w:u w:val="single" w:color="auto"/>
          <w:color w:val="auto"/>
        </w:rPr>
        <w:t>AVROBIO, Inc</w:t>
      </w:r>
      <w:r>
        <w:rPr>
          <w:rFonts w:ascii="Arial" w:cs="Arial" w:eastAsia="Arial" w:hAnsi="Arial"/>
          <w:sz w:val="18"/>
          <w:szCs w:val="18"/>
          <w:color w:val="auto"/>
        </w:rPr>
        <w:t>. (Nasdaq: AVRO), a leading clinical-stage gene therapy company with a mission to free people from a lifetime of genetic disease, today reported financial results for the fourth quarter and year ended Dec. 31, 2021, and provided a business update.</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“After a busy 2021 with new patients dosed across three clinical trials, we acted in early January to strategically position AVROBIO for long-term success by reprioritizing our leading lysosomal disorder pipeline. Four weeks after, we reinforced that position by releasing strong interim data from the Phase 1/2 collaborator-sponsored clinical trial for cystinosis at the WORLD</w:t>
      </w:r>
      <w:r>
        <w:rPr>
          <w:rFonts w:ascii="Arial" w:cs="Arial" w:eastAsia="Arial" w:hAnsi="Arial"/>
          <w:sz w:val="18"/>
          <w:szCs w:val="18"/>
          <w:i w:val="1"/>
          <w:iCs w:val="1"/>
          <w:color w:val="auto"/>
        </w:rPr>
        <w:t>Symposium</w:t>
      </w:r>
      <w:r>
        <w:rPr>
          <w:rFonts w:ascii="Arial" w:cs="Arial" w:eastAsia="Arial" w:hAnsi="Arial"/>
          <w:sz w:val="15"/>
          <w:szCs w:val="15"/>
          <w:color w:val="auto"/>
        </w:rPr>
        <w:t>TM</w:t>
      </w:r>
      <w:r>
        <w:rPr>
          <w:rFonts w:ascii="Arial" w:cs="Arial" w:eastAsia="Arial" w:hAnsi="Arial"/>
          <w:sz w:val="18"/>
          <w:szCs w:val="18"/>
          <w:color w:val="auto"/>
        </w:rPr>
        <w:t xml:space="preserve"> 2022,” said Geoff MacKay, president and CEO of AVROBIO. “We look forward to sharing new data on the three patients dosed to date in our Gaucher disease type 1 program in 2022 and providing updates for our other pipeline programs following meetings with regulatory agencies planned for later this year. We potentially have many exciting catalysts ahead of us and believe that our strong balance sheet will support continued progress through anticipated milestones and into the first quarter of 2024.”</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Presented interim data from Phase 1/2 clinical trial of AVR-RD-04 in cystinosis at the 18</w:t>
      </w:r>
      <w:r>
        <w:rPr>
          <w:rFonts w:ascii="Arial" w:cs="Arial" w:eastAsia="Arial" w:hAnsi="Arial"/>
          <w:sz w:val="15"/>
          <w:szCs w:val="15"/>
          <w:u w:val="single" w:color="auto"/>
          <w:color w:val="auto"/>
        </w:rPr>
        <w:t>th</w:t>
      </w:r>
      <w:r>
        <w:rPr>
          <w:rFonts w:ascii="Arial" w:cs="Arial" w:eastAsia="Arial" w:hAnsi="Arial"/>
          <w:sz w:val="18"/>
          <w:szCs w:val="18"/>
          <w:u w:val="single" w:color="auto"/>
          <w:color w:val="auto"/>
        </w:rPr>
        <w:t xml:space="preserve"> Annual WORLD</w:t>
      </w:r>
      <w:r>
        <w:rPr>
          <w:rFonts w:ascii="Arial" w:cs="Arial" w:eastAsia="Arial" w:hAnsi="Arial"/>
          <w:sz w:val="18"/>
          <w:szCs w:val="18"/>
          <w:i w:val="1"/>
          <w:iCs w:val="1"/>
          <w:u w:val="single" w:color="auto"/>
          <w:color w:val="auto"/>
        </w:rPr>
        <w:t>Symposium</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2022:</w:t>
      </w:r>
    </w:p>
    <w:p>
      <w:pPr>
        <w:spacing w:after="0" w:line="131" w:lineRule="exact"/>
        <w:rPr>
          <w:sz w:val="20"/>
          <w:szCs w:val="20"/>
          <w:color w:val="auto"/>
        </w:rPr>
      </w:pPr>
    </w:p>
    <w:p>
      <w:pPr>
        <w:ind w:left="420" w:right="500" w:hanging="316"/>
        <w:spacing w:after="0" w:line="342"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three patients dosed to date remain off oral cysteamine with follow up durations ranging between 12- and 26-months post-gene therapy infusion. Sustained engraftment has been observed in each of these patients, as evidenced by stable vector copy number (VCN) levels.</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 in number of cystine crystals as measured in skin and intestinal mucosa biopsies observed across these three patients.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fourth patient was infused in November 2021.</w:t>
      </w:r>
    </w:p>
    <w:p>
      <w:pPr>
        <w:spacing w:after="0" w:line="130" w:lineRule="exact"/>
        <w:rPr>
          <w:rFonts w:ascii="Arial" w:cs="Arial" w:eastAsia="Arial" w:hAnsi="Arial"/>
          <w:sz w:val="18"/>
          <w:szCs w:val="18"/>
          <w:color w:val="auto"/>
        </w:rPr>
      </w:pPr>
    </w:p>
    <w:p>
      <w:pPr>
        <w:ind w:left="420" w:right="6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adverse events (AEs) related to the drug product have been reported in the four patients infused to date. All AEs observed have been attributed to myeloablative conditioning, stem cell mobilization, underlying disease or pre-existing conditions.</w:t>
      </w:r>
    </w:p>
    <w:p>
      <w:pPr>
        <w:sectPr>
          <w:pgSz w:w="11900" w:h="16838" w:orient="portrait"/>
          <w:cols w:equalWidth="0" w:num="1">
            <w:col w:w="11020"/>
          </w:cols>
          <w:pgMar w:left="440" w:top="121" w:right="439" w:bottom="1440" w:gutter="0" w:footer="0" w:header="0"/>
        </w:sectPr>
      </w:pPr>
    </w:p>
    <w:bookmarkStart w:id="4" w:name="page5"/>
    <w:bookmarkEnd w:id="4"/>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Clinical proof-of-concept in adult patients lays the groundwork for potential AVROBIO-sponsored trial planned to begin in 2023.</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company hosted a conference call providing a full data update (see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Dosed a third patient in our Phase 1/2 GUARD1 clinical trial in Gaucher disease type 1</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Deprioritized Fabry disease program in January 2022 to focus pipeline on Gaucher disease programs, cystinosis, Hunter syndrome and Pompe disease programs, extending cash runway into the first quarter of 2024</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Presented updated safety data on first 14 patients treated across two AVROBIO clinical trials at the virtual 28</w:t>
      </w:r>
      <w:r>
        <w:rPr>
          <w:rFonts w:ascii="Arial" w:cs="Arial" w:eastAsia="Arial" w:hAnsi="Arial"/>
          <w:sz w:val="15"/>
          <w:szCs w:val="15"/>
          <w:u w:val="single" w:color="auto"/>
          <w:color w:val="auto"/>
        </w:rPr>
        <w:t>th</w:t>
      </w:r>
      <w:r>
        <w:rPr>
          <w:rFonts w:ascii="Arial" w:cs="Arial" w:eastAsia="Arial" w:hAnsi="Arial"/>
          <w:sz w:val="18"/>
          <w:szCs w:val="18"/>
          <w:u w:val="single" w:color="auto"/>
          <w:color w:val="auto"/>
        </w:rPr>
        <w:t xml:space="preserve"> Annual Congress of the European Society of Gene &amp; Cell Therapy (ESGCT)</w:t>
      </w:r>
    </w:p>
    <w:p>
      <w:pPr>
        <w:spacing w:after="0" w:line="76" w:lineRule="exact"/>
        <w:rPr>
          <w:sz w:val="20"/>
          <w:szCs w:val="20"/>
          <w:color w:val="auto"/>
        </w:rPr>
      </w:pPr>
    </w:p>
    <w:p>
      <w:pPr>
        <w:ind w:left="420" w:right="40" w:hanging="316"/>
        <w:spacing w:after="0" w:line="310" w:lineRule="auto"/>
        <w:tabs>
          <w:tab w:leader="none" w:pos="42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AEs or serious adverse events related to drug product in 14 patients dosed in Phase 1 and 2 Fabry disease trials and Phase 1/2 Gaucher disease trial. All AEs observed have been attributed to myeloablative conditioning, stem cell mobilization, underlying disease or pre-existing conditions.</w:t>
      </w: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Post-gene therapy administration follow-up out more than 4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years for first patient infused.</w:t>
      </w:r>
    </w:p>
    <w:p>
      <w:pPr>
        <w:spacing w:after="0" w:line="127"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AVROBIO shared new industry-leading techniques designed to better elucidate the safety profile of investigational gene therapies at cellular level.</w:t>
      </w:r>
    </w:p>
    <w:p>
      <w:pPr>
        <w:spacing w:after="0" w:line="137" w:lineRule="exact"/>
        <w:rPr>
          <w:rFonts w:ascii="Arial" w:cs="Arial" w:eastAsia="Arial" w:hAnsi="Arial"/>
          <w:sz w:val="16"/>
          <w:szCs w:val="16"/>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Full data can be accessed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Updates</w:t>
      </w:r>
    </w:p>
    <w:p>
      <w:pPr>
        <w:spacing w:after="0" w:line="135" w:lineRule="exact"/>
        <w:rPr>
          <w:sz w:val="20"/>
          <w:szCs w:val="20"/>
          <w:color w:val="auto"/>
        </w:rPr>
      </w:pPr>
    </w:p>
    <w:p>
      <w:pPr>
        <w:ind w:left="420" w:right="1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Sean O’Bryan, who brings a wealth of experience in regulatory strategy and product development for cell and gene therapies, to chief regulatory officer in February 2022.</w:t>
      </w:r>
    </w:p>
    <w:p>
      <w:pPr>
        <w:spacing w:after="0" w:line="75" w:lineRule="exact"/>
        <w:rPr>
          <w:rFonts w:ascii="Arial" w:cs="Arial" w:eastAsia="Arial" w:hAnsi="Arial"/>
          <w:sz w:val="18"/>
          <w:szCs w:val="18"/>
          <w:color w:val="auto"/>
        </w:rPr>
      </w:pPr>
    </w:p>
    <w:p>
      <w:pPr>
        <w:ind w:left="420" w:right="6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Appointed Azadeh Golipour, Ph.D., who has filled multiple roles with increasing responsibility during her five-year career at AVROBIO, to chief technology officer in January 2022.</w:t>
      </w:r>
    </w:p>
    <w:p>
      <w:pPr>
        <w:spacing w:after="0" w:line="75" w:lineRule="exact"/>
        <w:rPr>
          <w:rFonts w:ascii="Arial" w:cs="Arial" w:eastAsia="Arial" w:hAnsi="Arial"/>
          <w:sz w:val="18"/>
          <w:szCs w:val="18"/>
          <w:color w:val="auto"/>
        </w:rPr>
      </w:pPr>
    </w:p>
    <w:p>
      <w:pPr>
        <w:ind w:left="420" w:right="220" w:hanging="316"/>
        <w:spacing w:after="0" w:line="308"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Appointed Essra Ridha, M.D., MRCP, FFPM, who was previously clinical development lead at AVROBIO and has extensive experience in cell and gene therapy development gained at Sangamo Therapeutics and GlaxoSmithKline, to chief medical officer in October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 Over the Next 12 Months:</w:t>
      </w:r>
    </w:p>
    <w:p>
      <w:pPr>
        <w:spacing w:after="0" w:line="135" w:lineRule="exact"/>
        <w:rPr>
          <w:sz w:val="20"/>
          <w:szCs w:val="20"/>
          <w:color w:val="auto"/>
        </w:rPr>
      </w:pPr>
    </w:p>
    <w:p>
      <w:pPr>
        <w:ind w:left="420" w:right="50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AVR-RD-04 in cystinosis: </w:t>
      </w:r>
      <w:r>
        <w:rPr>
          <w:rFonts w:ascii="Arial" w:cs="Arial" w:eastAsia="Arial" w:hAnsi="Arial"/>
          <w:sz w:val="18"/>
          <w:szCs w:val="18"/>
          <w:color w:val="auto"/>
        </w:rPr>
        <w:t>Plan to engage with regulatory agencies to discuss clinical development and regulatory strategy with the intent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initiating a company-sponsored clinical trial in 2023, subject to regulatory clearance.</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Advancing our Gaucher disease franchise: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AVR-RD-02 in Gaucher disease type 1: </w:t>
      </w:r>
      <w:r>
        <w:rPr>
          <w:rFonts w:ascii="Arial" w:cs="Arial" w:eastAsia="Arial" w:hAnsi="Arial"/>
          <w:sz w:val="18"/>
          <w:szCs w:val="18"/>
          <w:color w:val="auto"/>
        </w:rPr>
        <w:t>Plan to provide an interim clinical data update in 2022.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AVR-RD-06 in Gaucher disease type 3: </w:t>
      </w:r>
      <w:r>
        <w:rPr>
          <w:rFonts w:ascii="Arial" w:cs="Arial" w:eastAsia="Arial" w:hAnsi="Arial"/>
          <w:sz w:val="17"/>
          <w:szCs w:val="17"/>
          <w:color w:val="auto"/>
        </w:rPr>
        <w:t>Plan to engage with regulatory agencies on a Phase 2/3 clinical development strategy.</w:t>
      </w:r>
    </w:p>
    <w:p>
      <w:pPr>
        <w:spacing w:after="0" w:line="142" w:lineRule="exact"/>
        <w:rPr>
          <w:rFonts w:ascii="Arial" w:cs="Arial" w:eastAsia="Arial" w:hAnsi="Arial"/>
          <w:sz w:val="17"/>
          <w:szCs w:val="17"/>
          <w:color w:val="auto"/>
        </w:rPr>
      </w:pPr>
    </w:p>
    <w:p>
      <w:pPr>
        <w:ind w:left="42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AVR-RD-05 in Hunter syndrome: </w:t>
      </w:r>
      <w:r>
        <w:rPr>
          <w:rFonts w:ascii="Arial" w:cs="Arial" w:eastAsia="Arial" w:hAnsi="Arial"/>
          <w:sz w:val="18"/>
          <w:szCs w:val="18"/>
          <w:color w:val="auto"/>
        </w:rPr>
        <w:t>Subject to regulatory clearance, collaborators at the University of Manchester plan to initiate a Phase 1/2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in 2023.</w:t>
      </w:r>
    </w:p>
    <w:p>
      <w:pPr>
        <w:sectPr>
          <w:pgSz w:w="11900" w:h="16838" w:orient="portrait"/>
          <w:cols w:equalWidth="0" w:num="1">
            <w:col w:w="10980"/>
          </w:cols>
          <w:pgMar w:left="440" w:top="274" w:right="479" w:bottom="1440" w:gutter="0" w:footer="0" w:header="0"/>
        </w:sectPr>
      </w:pPr>
    </w:p>
    <w:bookmarkStart w:id="5" w:name="page6"/>
    <w:bookmarkEnd w:id="5"/>
    <w:p>
      <w:pPr>
        <w:ind w:left="420" w:right="120" w:hanging="316"/>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AVR-RD-03 in Pompe disease: </w:t>
      </w:r>
      <w:r>
        <w:rPr>
          <w:rFonts w:ascii="Arial" w:cs="Arial" w:eastAsia="Arial" w:hAnsi="Arial"/>
          <w:sz w:val="18"/>
          <w:szCs w:val="18"/>
          <w:color w:val="auto"/>
        </w:rPr>
        <w:t>Plan to engage with regulatory agencies on the clinical development strategy and plan to initiate a clinical trial in</w:t>
      </w:r>
      <w:r>
        <w:rPr>
          <w:rFonts w:ascii="Arial" w:cs="Arial" w:eastAsia="Arial" w:hAnsi="Arial"/>
          <w:sz w:val="18"/>
          <w:szCs w:val="18"/>
          <w:i w:val="1"/>
          <w:iCs w:val="1"/>
          <w:color w:val="auto"/>
        </w:rPr>
        <w:t xml:space="preserve"> </w:t>
      </w:r>
      <w:r>
        <w:rPr>
          <w:rFonts w:ascii="Arial" w:cs="Arial" w:eastAsia="Arial" w:hAnsi="Arial"/>
          <w:sz w:val="18"/>
          <w:szCs w:val="18"/>
          <w:color w:val="auto"/>
        </w:rPr>
        <w:t>2023, subject to regulatory clearance.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End 2021 Financial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AVROBIO reported a net loss of $28.2 million for the fourth quarter of 2021, and a net loss of $119.1 million for the year ended 2021, as compared to a net loss of $28.1 million and a net loss of $119.7 million for the comparable periods in 2020, respectively.</w:t>
      </w:r>
    </w:p>
    <w:p>
      <w:pPr>
        <w:spacing w:after="0" w:line="170"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Research and development expenses were $19.0 million for the fourth quarter of 2021, and $83.1 million for the year ended 2021, as compared to $19.6 million and $87.2 million for the comparable periods in 2020, respectively. These decreases were driven by decreased program development expenses, including $9.1 million in non-recurring license fees incurred in 2020, which included an $8.0 million expense related to a one-time, upfront fee paid as consideration for in-licensing the Hunter syndrome program, which were partially offset by an increase in personnel-related costs.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were $9.0 million for the fourth quarter of 2021, and $35.7 million for the year ended 2021, as compared to</w:t>
      </w:r>
    </w:p>
    <w:p>
      <w:pPr>
        <w:spacing w:after="0" w:line="3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$8.5 million and $33.0 million for the comparable periods in 2020, respectively. These increases were primarily due to an increase in personnel-related costs and non-cash stock-based compensation, which were partially offset by a decrease in professional fees, legal fees and facilities costs.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 31, 2021, AVROBIO had $189.6 million in cash and cash equivalents, as compared to $259.7 million in cash and cash equivalents as of Dec. 31, 2020. Based on the company’s current operating plan, AVROBIO expects its cash and cash equivalents as of Dec. 31, 2021 will enable the company to fund its operating expenses and capital expenditure requirements into the first quarter of 2024.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AVROBIO</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vision is to bring personalized gene therapy to the world. We aim to prevent, halt and/or reverse disease throughout the body with a single dose of gene therapy designed to drive durable expression of therapeutic protein, even in hard-to-reach tissues and organs including brain, muscle and bone. AVROBIO’s pipeline is powered by our industry-leading plato</w:t>
      </w:r>
      <w:r>
        <w:rPr>
          <w:rFonts w:ascii="Arial" w:cs="Arial" w:eastAsia="Arial" w:hAnsi="Arial"/>
          <w:sz w:val="13"/>
          <w:szCs w:val="13"/>
          <w:color w:val="auto"/>
        </w:rPr>
        <w:t>®</w:t>
      </w:r>
      <w:r>
        <w:rPr>
          <w:rFonts w:ascii="Arial" w:cs="Arial" w:eastAsia="Arial" w:hAnsi="Arial"/>
          <w:sz w:val="16"/>
          <w:szCs w:val="16"/>
          <w:color w:val="auto"/>
        </w:rPr>
        <w:t xml:space="preserve"> gene therapy platform, our foundation designed to deliver gene therapy worldwide. It includes clinical programs in cystinosis and Gaucher disease type 1, as well as preclinical programs in Gaucher disease type 3, Hunter syndrome and Pompe disease. We are headquartered in Cambridge, Mass. For additional information, visit avrobio.com, and follow us on Twitter and LinkedIn.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w:t>
      </w:r>
    </w:p>
    <w:p>
      <w:pPr>
        <w:sectPr>
          <w:pgSz w:w="11900" w:h="16838" w:orient="portrait"/>
          <w:cols w:equalWidth="0" w:num="1">
            <w:col w:w="10960"/>
          </w:cols>
          <w:pgMar w:left="440" w:top="274" w:right="499" w:bottom="1440" w:gutter="0" w:footer="0" w:header="0"/>
        </w:sectPr>
      </w:pPr>
    </w:p>
    <w:bookmarkStart w:id="6" w:name="page7"/>
    <w:bookmarkEnd w:id="6"/>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current and prospective product candidates, the expected safety profile of our investigational gene therapies, results of preclinical studies, the design, commencement, enrollment and timing of ongoing or planned clinical trials, clinical trial results, product approvals and regulatory pathways, the timing of patient recruitment and enrollment activities, our plans and expectations with respect to interactions with regulatory agencies, timing and likelihood of success, the expected benefits and results of our implementation of the plato</w:t>
      </w:r>
      <w:r>
        <w:rPr>
          <w:rFonts w:ascii="Arial" w:cs="Arial" w:eastAsia="Arial" w:hAnsi="Arial"/>
          <w:sz w:val="13"/>
          <w:szCs w:val="13"/>
          <w:color w:val="auto"/>
        </w:rPr>
        <w:t>®</w:t>
      </w:r>
      <w:r>
        <w:rPr>
          <w:rFonts w:ascii="Arial" w:cs="Arial" w:eastAsia="Arial" w:hAnsi="Arial"/>
          <w:sz w:val="16"/>
          <w:szCs w:val="16"/>
          <w:color w:val="auto"/>
        </w:rPr>
        <w:t xml:space="preserve"> platform in our clinical trials and gene therapy programs and its potential impact on our manufacturing and commercialization activities, and statements regarding our financial and cash position and expected cash runway, including impact on anticipated milestones.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w:t>
      </w:r>
      <w:r>
        <w:rPr>
          <w:rFonts w:ascii="Arial" w:cs="Arial" w:eastAsia="Arial" w:hAnsi="Arial"/>
          <w:sz w:val="14"/>
          <w:szCs w:val="14"/>
          <w:color w:val="auto"/>
        </w:rPr>
        <w:t>®</w:t>
      </w:r>
      <w:r>
        <w:rPr>
          <w:rFonts w:ascii="Arial" w:cs="Arial" w:eastAsia="Arial" w:hAnsi="Arial"/>
          <w:sz w:val="17"/>
          <w:szCs w:val="17"/>
          <w:color w:val="auto"/>
        </w:rPr>
        <w:t xml:space="preserve">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including sole source suppliers, risks regarding the accuracy of our estimates of expenses and future revenue, risks relating to our capital requirements and needs for additional financing, risks relating to clinical trial and business interruptions resulting from the COVID-19 outbreak or similar public health crises, including that such interruptions may materially delay our enrollment and development timelines and/or increase our development costs or that data collection efforts may be impaired or otherwise impacted by such crises, and risks relating to our ability to obtain and maintain intellectual property protection for our product candidates.</w:t>
      </w:r>
    </w:p>
    <w:p>
      <w:pPr>
        <w:sectPr>
          <w:pgSz w:w="11900" w:h="16838" w:orient="portrait"/>
          <w:cols w:equalWidth="0" w:num="1">
            <w:col w:w="11020"/>
          </w:cols>
          <w:pgMar w:left="440" w:top="274" w:right="4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Annual or Quarterly Report,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F. Brinzey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Westwicke, an ICR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339-970-2843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chris.brinzey@westwicke.com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Kit Rodophele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617-999-9620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krodophele@tenbridgecommunications.com</w:t>
      </w:r>
    </w:p>
    <w:p>
      <w:pPr>
        <w:sectPr>
          <w:pgSz w:w="11900" w:h="16838" w:orient="portrait"/>
          <w:cols w:equalWidth="0" w:num="1">
            <w:col w:w="10900"/>
          </w:cols>
          <w:pgMar w:left="440" w:top="274" w:right="5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189,567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203,837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271,234</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3,486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15,900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13,932</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Note payable, net of discount</w:t>
            </w:r>
          </w:p>
        </w:tc>
        <w:tc>
          <w:tcPr>
            <w:tcW w:w="16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14,945</w:t>
            </w: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89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169,476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254,344</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203,837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271,234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CONSOLIDATED STATEMENTS OF OPERATIONS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720" w:type="dxa"/>
            <w:vAlign w:val="bottom"/>
            <w:gridSpan w:val="6"/>
          </w:tcPr>
          <w:p>
            <w:pPr>
              <w:jc w:val="right"/>
              <w:ind w:right="32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80"/>
              <w:spacing w:after="0"/>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4"/>
                <w:szCs w:val="14"/>
                <w:color w:val="auto"/>
              </w:rPr>
            </w:pPr>
          </w:p>
        </w:tc>
        <w:tc>
          <w:tcPr>
            <w:tcW w:w="1720" w:type="dxa"/>
            <w:vAlign w:val="bottom"/>
            <w:gridSpan w:val="6"/>
          </w:tcPr>
          <w:p>
            <w:pPr>
              <w:jc w:val="right"/>
              <w:ind w:right="5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19,587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83,114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87,236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32,992</w:t>
            </w:r>
          </w:p>
        </w:tc>
        <w:tc>
          <w:tcPr>
            <w:tcW w:w="0" w:type="dxa"/>
            <w:vAlign w:val="bottom"/>
          </w:tcPr>
          <w:p>
            <w:pPr>
              <w:spacing w:after="0"/>
              <w:rPr>
                <w:sz w:val="1"/>
                <w:szCs w:val="1"/>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3"/>
              </w:rPr>
              <w:t>27,962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28,064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118,841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120,228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(27,962)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(28,064)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(120,228)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(28,227)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(28,131)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(119,126)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(119,712)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43,648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38,528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360" w:hanging="224"/>
        <w:spacing w:after="0" w:line="277" w:lineRule="auto"/>
        <w:tabs>
          <w:tab w:leader="none" w:pos="224" w:val="left"/>
        </w:tabs>
        <w:numPr>
          <w:ilvl w:val="0"/>
          <w:numId w:val="8"/>
        </w:numPr>
        <w:rPr>
          <w:rFonts w:ascii="Arial" w:cs="Arial" w:eastAsia="Arial" w:hAnsi="Arial"/>
          <w:sz w:val="15"/>
          <w:szCs w:val="15"/>
          <w:color w:val="auto"/>
        </w:rPr>
      </w:pPr>
      <w:r>
        <w:rPr>
          <w:rFonts w:ascii="Arial" w:cs="Arial" w:eastAsia="Arial" w:hAnsi="Arial"/>
          <w:sz w:val="18"/>
          <w:szCs w:val="18"/>
          <w:color w:val="auto"/>
        </w:rPr>
        <w:t>Collaborator-sponsored Phase 1/2 clinical trial of AVR-RD-04 is funded in part by grants to UCSD from the California Institute for Regenerative Medicine (CIRM), Cystinosis Research Foundation (CRF) and National Institutes of Health (NIH)</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2022-03-17T06:56:35Z</dcterms:created>
  <dcterms:modified xsi:type="dcterms:W3CDTF">2022-03-17T06:56:35Z</dcterms:modified>
</cp:coreProperties>
</file>