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March 25, 2019</w:t>
      </w:r>
    </w:p>
    <w:p>
      <w:pPr>
        <w:spacing w:after="0" w:line="27" w:lineRule="exact"/>
        <w:rPr>
          <w:sz w:val="24"/>
          <w:szCs w:val="24"/>
          <w:color w:val="auto"/>
        </w:rPr>
      </w:pPr>
    </w:p>
    <w:p>
      <w:pPr>
        <w:ind w:left="86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108585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REGISTRATION STATEMENT</w:t>
      </w:r>
    </w:p>
    <w:p>
      <w:pPr>
        <w:jc w:val="center"/>
        <w:ind w:right="-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141605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4"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020" w:type="dxa"/>
            <w:vAlign w:val="bottom"/>
          </w:tcPr>
          <w:p>
            <w:pPr>
              <w:jc w:val="right"/>
              <w:ind w:right="200"/>
              <w:spacing w:after="0"/>
              <w:rPr>
                <w:sz w:val="20"/>
                <w:szCs w:val="20"/>
                <w:color w:val="auto"/>
              </w:rPr>
            </w:pPr>
            <w:r>
              <w:rPr>
                <w:rFonts w:ascii="Arial" w:cs="Arial" w:eastAsia="Arial" w:hAnsi="Arial"/>
                <w:sz w:val="18"/>
                <w:szCs w:val="18"/>
                <w:b w:val="1"/>
                <w:bCs w:val="1"/>
                <w:color w:val="auto"/>
              </w:rPr>
              <w:t>81-0710585</w:t>
            </w:r>
          </w:p>
        </w:tc>
      </w:tr>
      <w:tr>
        <w:trPr>
          <w:trHeight w:val="149"/>
        </w:trPr>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020" w:type="dxa"/>
            <w:vAlign w:val="bottom"/>
          </w:tcPr>
          <w:p>
            <w:pPr>
              <w:jc w:val="center"/>
              <w:ind w:left="3520"/>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020" w:type="dxa"/>
            <w:vAlign w:val="bottom"/>
          </w:tcPr>
          <w:p>
            <w:pPr>
              <w:jc w:val="center"/>
              <w:ind w:left="3520"/>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One Kendall Square</w:t>
            </w:r>
          </w:p>
        </w:tc>
        <w:tc>
          <w:tcPr>
            <w:tcW w:w="5020" w:type="dxa"/>
            <w:vAlign w:val="bottom"/>
          </w:tcPr>
          <w:p>
            <w:pPr>
              <w:spacing w:after="0"/>
              <w:rPr>
                <w:sz w:val="24"/>
                <w:szCs w:val="24"/>
                <w:color w:val="auto"/>
              </w:rPr>
            </w:pPr>
          </w:p>
        </w:tc>
      </w:tr>
      <w:tr>
        <w:trPr>
          <w:trHeight w:val="216"/>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0"/>
              </w:rPr>
              <w:t>Building 300, Suite 201</w:t>
            </w:r>
          </w:p>
        </w:tc>
        <w:tc>
          <w:tcPr>
            <w:tcW w:w="5020" w:type="dxa"/>
            <w:vAlign w:val="bottom"/>
          </w:tcPr>
          <w:p>
            <w:pPr>
              <w:spacing w:after="0"/>
              <w:rPr>
                <w:sz w:val="18"/>
                <w:szCs w:val="18"/>
                <w:color w:val="auto"/>
              </w:rPr>
            </w:pPr>
          </w:p>
        </w:tc>
      </w:tr>
      <w:tr>
        <w:trPr>
          <w:trHeight w:val="225"/>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8"/>
              </w:rPr>
              <w:t>Cambridge, Massachusetts</w:t>
            </w:r>
          </w:p>
        </w:tc>
        <w:tc>
          <w:tcPr>
            <w:tcW w:w="5020" w:type="dxa"/>
            <w:vAlign w:val="bottom"/>
          </w:tcPr>
          <w:p>
            <w:pPr>
              <w:jc w:val="right"/>
              <w:ind w:right="400"/>
              <w:spacing w:after="0"/>
              <w:rPr>
                <w:sz w:val="20"/>
                <w:szCs w:val="20"/>
                <w:color w:val="auto"/>
              </w:rPr>
            </w:pPr>
            <w:r>
              <w:rPr>
                <w:rFonts w:ascii="Arial" w:cs="Arial" w:eastAsia="Arial" w:hAnsi="Arial"/>
                <w:sz w:val="18"/>
                <w:szCs w:val="18"/>
                <w:b w:val="1"/>
                <w:bCs w:val="1"/>
                <w:color w:val="auto"/>
              </w:rPr>
              <w:t>02139</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020" w:type="dxa"/>
            <w:vAlign w:val="bottom"/>
          </w:tcPr>
          <w:p>
            <w:pPr>
              <w:jc w:val="center"/>
              <w:ind w:left="3520"/>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2480" w:type="dxa"/>
            <w:vAlign w:val="bottom"/>
          </w:tcPr>
          <w:p>
            <w:pPr>
              <w:spacing w:after="0"/>
              <w:rPr>
                <w:sz w:val="24"/>
                <w:szCs w:val="24"/>
                <w:color w:val="auto"/>
              </w:rPr>
            </w:pPr>
          </w:p>
        </w:tc>
        <w:tc>
          <w:tcPr>
            <w:tcW w:w="5020" w:type="dxa"/>
            <w:vAlign w:val="bottom"/>
          </w:tcPr>
          <w:p>
            <w:pPr>
              <w:jc w:val="center"/>
              <w:ind w:right="2000"/>
              <w:spacing w:after="0"/>
              <w:rPr>
                <w:sz w:val="20"/>
                <w:szCs w:val="20"/>
                <w:color w:val="auto"/>
              </w:rPr>
            </w:pPr>
            <w:r>
              <w:rPr>
                <w:rFonts w:ascii="Arial" w:cs="Arial" w:eastAsia="Arial" w:hAnsi="Arial"/>
                <w:sz w:val="18"/>
                <w:szCs w:val="18"/>
                <w:b w:val="1"/>
                <w:bCs w:val="1"/>
                <w:color w:val="auto"/>
                <w:w w:val="90"/>
              </w:rPr>
              <w:t>Inducement Stock Option Agreement</w:t>
            </w:r>
          </w:p>
        </w:tc>
      </w:tr>
      <w:tr>
        <w:trPr>
          <w:trHeight w:val="186"/>
        </w:trPr>
        <w:tc>
          <w:tcPr>
            <w:tcW w:w="2480" w:type="dxa"/>
            <w:vAlign w:val="bottom"/>
          </w:tcPr>
          <w:p>
            <w:pPr>
              <w:spacing w:after="0"/>
              <w:rPr>
                <w:sz w:val="16"/>
                <w:szCs w:val="16"/>
                <w:color w:val="auto"/>
              </w:rPr>
            </w:pPr>
          </w:p>
        </w:tc>
        <w:tc>
          <w:tcPr>
            <w:tcW w:w="5020" w:type="dxa"/>
            <w:vAlign w:val="bottom"/>
          </w:tcPr>
          <w:p>
            <w:pPr>
              <w:jc w:val="center"/>
              <w:ind w:right="2000"/>
              <w:spacing w:after="0"/>
              <w:rPr>
                <w:sz w:val="20"/>
                <w:szCs w:val="20"/>
                <w:color w:val="auto"/>
              </w:rPr>
            </w:pPr>
            <w:r>
              <w:rPr>
                <w:rFonts w:ascii="Arial" w:cs="Arial" w:eastAsia="Arial" w:hAnsi="Arial"/>
                <w:sz w:val="14"/>
                <w:szCs w:val="14"/>
                <w:b w:val="1"/>
                <w:bCs w:val="1"/>
                <w:color w:val="auto"/>
                <w:w w:val="94"/>
              </w:rPr>
              <w:t>(Full Title of the Plans)</w:t>
            </w:r>
          </w:p>
        </w:tc>
      </w:tr>
    </w:tbl>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Kendall Square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142240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Copies to:</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Arthur R. McGivern,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James Xu,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151765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6"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24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24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380" w:type="dxa"/>
            <w:vAlign w:val="bottom"/>
          </w:tcPr>
          <w:p>
            <w:pPr>
              <w:ind w:left="324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133350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00"/>
          </w:cols>
          <w:pgMar w:left="440" w:top="229" w:right="4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293,000 shares(2)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$21.76(3)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$6,375,680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$772.74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right="560" w:hanging="436"/>
        <w:spacing w:after="0" w:line="254"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shall also cover any additional shares of common stock which become issuable by reason of any stock dividend, stock split, recapitalization or any other similar transaction effected without the receipt of consideration which results in an increase in the number of the registrant’s outstanding shares of common stock.</w:t>
      </w:r>
    </w:p>
    <w:p>
      <w:pPr>
        <w:spacing w:after="0" w:line="1" w:lineRule="exact"/>
        <w:rPr>
          <w:rFonts w:ascii="Arial" w:cs="Arial" w:eastAsia="Arial" w:hAnsi="Arial"/>
          <w:sz w:val="18"/>
          <w:szCs w:val="18"/>
          <w:color w:val="auto"/>
        </w:rPr>
      </w:pPr>
    </w:p>
    <w:p>
      <w:pPr>
        <w:jc w:val="both"/>
        <w:ind w:left="440" w:right="6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available for future issuance upon the exercise of an inducement stock option award granted on December 17, 2018 outside of the registrant’s employee equity compensation plan to Birgitte Volck, M.D., Ph.D. as a material inducement to the employment of Dr. Volck.</w:t>
      </w:r>
    </w:p>
    <w:p>
      <w:pPr>
        <w:spacing w:after="0" w:line="1" w:lineRule="exact"/>
        <w:rPr>
          <w:rFonts w:ascii="Arial" w:cs="Arial" w:eastAsia="Arial" w:hAnsi="Arial"/>
          <w:sz w:val="18"/>
          <w:szCs w:val="18"/>
          <w:color w:val="auto"/>
        </w:rPr>
      </w:pPr>
    </w:p>
    <w:p>
      <w:pPr>
        <w:ind w:left="440" w:right="580" w:hanging="436"/>
        <w:spacing w:after="0" w:line="323"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457(h)(1) of the Securities Act. The price per share and proposed maximum aggregate offering price are calculated on the basis of the exercise price of the inducement stock option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148590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21"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Registration Statement on Form S-8 (the “Registration Statement”) is being filed for the purpose of registering 293,000 shares of the registrant’s Common Stock issuable under a previously announced inducement stock option award granted on December 17, 2018.</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Plan Information.</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documents containing the information specified in this Item 1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pacing w:after="0" w:line="3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documents containing the information specified in this Item 2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incorporates by reference into this Registration Statement the following documents filed with the SEC:</w:t>
      </w:r>
    </w:p>
    <w:p>
      <w:pPr>
        <w:spacing w:after="0" w:line="131" w:lineRule="exact"/>
        <w:rPr>
          <w:sz w:val="20"/>
          <w:szCs w:val="20"/>
          <w:color w:val="auto"/>
        </w:rPr>
      </w:pPr>
    </w:p>
    <w:p>
      <w:pPr>
        <w:ind w:left="860" w:hanging="4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filed on March 25, 2019;</w:t>
      </w:r>
    </w:p>
    <w:p>
      <w:pPr>
        <w:spacing w:after="0" w:line="130" w:lineRule="exact"/>
        <w:rPr>
          <w:rFonts w:ascii="Arial" w:cs="Arial" w:eastAsia="Arial" w:hAnsi="Arial"/>
          <w:sz w:val="18"/>
          <w:szCs w:val="18"/>
          <w:color w:val="auto"/>
        </w:rPr>
      </w:pPr>
    </w:p>
    <w:p>
      <w:pPr>
        <w:jc w:val="both"/>
        <w:ind w:left="860" w:hanging="424"/>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on January 7, 2019 (containing items 5.02 and 9.01), as amended by Form 8-K/A filed on January 11, 2019, the registrant’s Current Report on Form 8-K filed on January 22, 2019 (containing items 8.01) and the registrant’s Current Report on Form 8-K filed on February 6, 2019 (containing items 8.01 and 9.01).</w:t>
      </w:r>
    </w:p>
    <w:p>
      <w:pPr>
        <w:spacing w:after="0" w:line="86" w:lineRule="exact"/>
        <w:rPr>
          <w:rFonts w:ascii="Arial" w:cs="Arial" w:eastAsia="Arial" w:hAnsi="Arial"/>
          <w:sz w:val="18"/>
          <w:szCs w:val="18"/>
          <w:color w:val="auto"/>
        </w:rPr>
      </w:pPr>
    </w:p>
    <w:p>
      <w:pPr>
        <w:ind w:left="860" w:right="240" w:hanging="424"/>
        <w:spacing w:after="0" w:line="286"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description of the registrant’s common stock contained in the registrant’s Registration Statement on Form 8-A (File No. 001-38537), filed by the registrant with the SEC under Section 12(b) of the Securities Exchange Act of 1934, as amended (the “Exchange Act”), on June 18, 2018, including any amendments or reports filed for the purpose of updating such description.</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documents that the registrant subsequently files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0980"/>
          </w:cols>
          <w:pgMar w:left="440" w:top="270" w:right="479" w:bottom="1440" w:gutter="0" w:footer="0" w:header="0"/>
        </w:sectPr>
      </w:pPr>
    </w:p>
    <w:bookmarkStart w:id="3" w:name="page4"/>
    <w:bookmarkEnd w:id="3"/>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no circumstances will any information filed under current items 2.02 or 7.01 of Form 8-K be deemed incorporated herein by reference unless such Form 8-K expressly provides to the contrary.</w:t>
      </w:r>
    </w:p>
    <w:p>
      <w:pPr>
        <w:spacing w:after="0" w:line="3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66"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We have adopted provisions in our certificate of incorporation and bylaws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87" w:lineRule="exact"/>
        <w:rPr>
          <w:sz w:val="20"/>
          <w:szCs w:val="20"/>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purchases, redemptions or other distributions; or</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bylaws provide that:</w:t>
      </w:r>
    </w:p>
    <w:p>
      <w:pPr>
        <w:spacing w:after="0" w:line="131" w:lineRule="exact"/>
        <w:rPr>
          <w:sz w:val="20"/>
          <w:szCs w:val="20"/>
          <w:color w:val="auto"/>
        </w:rPr>
      </w:pPr>
    </w:p>
    <w:p>
      <w:pPr>
        <w:ind w:left="860" w:right="40" w:hanging="316"/>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75" w:lineRule="exact"/>
        <w:rPr>
          <w:rFonts w:ascii="Arial" w:cs="Arial" w:eastAsia="Arial" w:hAnsi="Arial"/>
          <w:sz w:val="18"/>
          <w:szCs w:val="18"/>
          <w:color w:val="auto"/>
        </w:rPr>
      </w:pPr>
    </w:p>
    <w:p>
      <w:pPr>
        <w:jc w:val="both"/>
        <w:ind w:left="860" w:right="480" w:hanging="316"/>
        <w:spacing w:after="0" w:line="264"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8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w:t>
      </w:r>
    </w:p>
    <w:p>
      <w:pPr>
        <w:sectPr>
          <w:pgSz w:w="11900" w:h="16838" w:orient="portrait"/>
          <w:cols w:equalWidth="0" w:num="1">
            <w:col w:w="10960"/>
          </w:cols>
          <w:pgMar w:left="440" w:top="274" w:right="499" w:bottom="1440" w:gutter="0" w:footer="0" w:header="0"/>
        </w:sectPr>
      </w:pPr>
    </w:p>
    <w:bookmarkStart w:id="4" w:name="page5"/>
    <w:bookmarkEnd w:id="4"/>
    <w:p>
      <w:pPr>
        <w:ind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or the Securities Act.</w:t>
      </w:r>
    </w:p>
    <w:p>
      <w:pPr>
        <w:spacing w:after="0" w:line="29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560" w:type="dxa"/>
            <w:vAlign w:val="bottom"/>
            <w:gridSpan w:val="9"/>
          </w:tcPr>
          <w:p>
            <w:pPr>
              <w:ind w:left="3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60" w:type="dxa"/>
            <w:vAlign w:val="bottom"/>
            <w:gridSpan w:val="7"/>
            <w:vMerge w:val="restart"/>
          </w:tcPr>
          <w:p>
            <w:pPr>
              <w:ind w:left="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76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60" w:type="dxa"/>
            <w:vAlign w:val="bottom"/>
            <w:gridSpan w:val="2"/>
          </w:tcPr>
          <w:p>
            <w:pPr>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2"/>
                <w:szCs w:val="22"/>
                <w:color w:val="auto"/>
              </w:rPr>
            </w:pPr>
          </w:p>
        </w:tc>
        <w:tc>
          <w:tcPr>
            <w:tcW w:w="10060" w:type="dxa"/>
            <w:vAlign w:val="bottom"/>
            <w:gridSpan w:val="14"/>
          </w:tcPr>
          <w:p>
            <w:pPr>
              <w:spacing w:after="0"/>
              <w:rPr>
                <w:rFonts w:ascii="Arial" w:cs="Arial" w:eastAsia="Arial" w:hAnsi="Arial"/>
                <w:sz w:val="18"/>
                <w:szCs w:val="18"/>
                <w:color w:val="0000EE"/>
                <w:w w:val="99"/>
              </w:rPr>
            </w:pPr>
            <w:hyperlink r:id="rId21">
              <w:r>
                <w:rPr>
                  <w:rFonts w:ascii="Arial" w:cs="Arial" w:eastAsia="Arial" w:hAnsi="Arial"/>
                  <w:sz w:val="18"/>
                  <w:szCs w:val="18"/>
                  <w:color w:val="0000EE"/>
                  <w:w w:val="99"/>
                </w:rPr>
                <w:t>Form of Fourth Amended and Restated Certificate of Incorporation (Incorporated by reference to Exhibit 3.3 to the Registrant’s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21">
              <w:r>
                <w:rPr>
                  <w:rFonts w:ascii="Arial" w:cs="Arial" w:eastAsia="Arial" w:hAnsi="Arial"/>
                  <w:sz w:val="18"/>
                  <w:szCs w:val="18"/>
                  <w:color w:val="0000EE"/>
                  <w:w w:val="90"/>
                </w:rPr>
                <w:t>Registration Statement on Form S-1, as amended (File No. 333-225213)).</w:t>
              </w:r>
            </w:hyperlink>
          </w:p>
        </w:tc>
        <w:tc>
          <w:tcPr>
            <w:tcW w:w="3880" w:type="dxa"/>
            <w:vAlign w:val="bottom"/>
            <w:tcBorders>
              <w:top w:val="single" w:sz="8" w:color="0000EE"/>
            </w:tcBorders>
            <w:gridSpan w:val="3"/>
          </w:tcPr>
          <w:p>
            <w:pPr>
              <w:spacing w:after="0"/>
              <w:rPr>
                <w:sz w:val="17"/>
                <w:szCs w:val="17"/>
                <w:color w:val="auto"/>
              </w:rPr>
            </w:pPr>
          </w:p>
        </w:tc>
        <w:tc>
          <w:tcPr>
            <w:tcW w:w="8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10000" w:type="dxa"/>
            <w:vAlign w:val="bottom"/>
            <w:tcBorders>
              <w:bottom w:val="single" w:sz="8" w:color="0000EE"/>
            </w:tcBorders>
            <w:gridSpan w:val="13"/>
          </w:tcPr>
          <w:p>
            <w:pPr>
              <w:spacing w:after="0"/>
              <w:rPr>
                <w:rFonts w:ascii="Arial" w:cs="Arial" w:eastAsia="Arial" w:hAnsi="Arial"/>
                <w:sz w:val="18"/>
                <w:szCs w:val="18"/>
                <w:color w:val="0000EE"/>
                <w:w w:val="90"/>
              </w:rPr>
            </w:pPr>
            <w:hyperlink r:id="rId22">
              <w:r>
                <w:rPr>
                  <w:rFonts w:ascii="Arial" w:cs="Arial" w:eastAsia="Arial" w:hAnsi="Arial"/>
                  <w:sz w:val="18"/>
                  <w:szCs w:val="18"/>
                  <w:color w:val="0000EE"/>
                  <w:w w:val="90"/>
                </w:rPr>
                <w:t>Form of Amended and Restated By-laws (Incorporated by reference to Exhibit 3.5 to the Registrant’s Registration Statement on Form S-1,</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60" w:type="dxa"/>
            <w:vAlign w:val="bottom"/>
            <w:gridSpan w:val="14"/>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as amended (File No. 333-225213)).</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10060" w:type="dxa"/>
            <w:vAlign w:val="bottom"/>
            <w:gridSpan w:val="14"/>
          </w:tcPr>
          <w:p>
            <w:pPr>
              <w:spacing w:after="0"/>
              <w:rPr>
                <w:rFonts w:ascii="Arial" w:cs="Arial" w:eastAsia="Arial" w:hAnsi="Arial"/>
                <w:sz w:val="18"/>
                <w:szCs w:val="18"/>
                <w:color w:val="0000EE"/>
                <w:w w:val="90"/>
              </w:rPr>
            </w:pPr>
            <w:hyperlink r:id="rId23">
              <w:r>
                <w:rPr>
                  <w:rFonts w:ascii="Arial" w:cs="Arial" w:eastAsia="Arial" w:hAnsi="Arial"/>
                  <w:sz w:val="18"/>
                  <w:szCs w:val="18"/>
                  <w:color w:val="0000EE"/>
                  <w:w w:val="90"/>
                </w:rPr>
                <w:t>Second Amended and Restated Investors’ Rights Agreement by and among the Registrant and certain of its stockholders, dated January 9,</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2018 (Incorporated by reference to Exhibit 4.2 to the Registrant’s Registration Statement on Form S-1, as amended (File</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23">
              <w:r>
                <w:rPr>
                  <w:rFonts w:ascii="Arial" w:cs="Arial" w:eastAsia="Arial" w:hAnsi="Arial"/>
                  <w:sz w:val="18"/>
                  <w:szCs w:val="18"/>
                  <w:color w:val="0000EE"/>
                  <w:w w:val="91"/>
                </w:rPr>
                <w:t>No. 333-225213)).</w:t>
              </w:r>
            </w:hyperlink>
          </w:p>
        </w:tc>
        <w:tc>
          <w:tcPr>
            <w:tcW w:w="7320" w:type="dxa"/>
            <w:vAlign w:val="bottom"/>
            <w:tcBorders>
              <w:top w:val="single" w:sz="8" w:color="0000EE"/>
            </w:tcBorders>
            <w:gridSpan w:val="8"/>
          </w:tcPr>
          <w:p>
            <w:pPr>
              <w:spacing w:after="0"/>
              <w:rPr>
                <w:sz w:val="17"/>
                <w:szCs w:val="17"/>
                <w:color w:val="auto"/>
              </w:rPr>
            </w:pPr>
          </w:p>
        </w:tc>
        <w:tc>
          <w:tcPr>
            <w:tcW w:w="1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10060" w:type="dxa"/>
            <w:vAlign w:val="bottom"/>
            <w:gridSpan w:val="14"/>
          </w:tcPr>
          <w:p>
            <w:pPr>
              <w:spacing w:after="0"/>
              <w:rPr>
                <w:sz w:val="20"/>
                <w:szCs w:val="20"/>
                <w:color w:val="auto"/>
              </w:rPr>
            </w:pPr>
            <w:r>
              <w:rPr>
                <w:rFonts w:ascii="Arial" w:cs="Arial" w:eastAsia="Arial" w:hAnsi="Arial"/>
                <w:sz w:val="18"/>
                <w:szCs w:val="18"/>
                <w:color w:val="0000EE"/>
              </w:rPr>
              <w:t>Opinion of Goodwin Procter LLP.</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59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Consent of Ernst &amp; Young LLP, Independent Registered Public Accounting Firm.</w:t>
            </w:r>
          </w:p>
        </w:tc>
        <w:tc>
          <w:tcPr>
            <w:tcW w:w="4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24"/>
                <w:szCs w:val="24"/>
                <w:color w:val="auto"/>
              </w:rPr>
            </w:pPr>
          </w:p>
        </w:tc>
        <w:tc>
          <w:tcPr>
            <w:tcW w:w="43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Consent of Goodwin Procter LLP (included in Exhibit 5.1).</w:t>
            </w:r>
          </w:p>
        </w:tc>
        <w:tc>
          <w:tcPr>
            <w:tcW w:w="57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24.1*</w:t>
            </w:r>
          </w:p>
        </w:tc>
        <w:tc>
          <w:tcPr>
            <w:tcW w:w="520" w:type="dxa"/>
            <w:vAlign w:val="bottom"/>
          </w:tcPr>
          <w:p>
            <w:pPr>
              <w:spacing w:after="0"/>
              <w:rPr>
                <w:sz w:val="24"/>
                <w:szCs w:val="24"/>
                <w:color w:val="auto"/>
              </w:rPr>
            </w:pPr>
          </w:p>
        </w:tc>
        <w:tc>
          <w:tcPr>
            <w:tcW w:w="35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Power of Attorney (included on signature page).</w:t>
              </w:r>
            </w:hyperlink>
          </w:p>
        </w:tc>
        <w:tc>
          <w:tcPr>
            <w:tcW w:w="65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42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2"/>
              </w:rPr>
              <w:t>AVROBIO, Inc. Form of Inducement Stock Option Award.</w:t>
            </w:r>
          </w:p>
        </w:tc>
        <w:tc>
          <w:tcPr>
            <w:tcW w:w="58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registrant hereby undertakes: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 To file, during any period in which offers or sales are being made, a post-effective amendment to this registration statement:</w:t>
      </w:r>
    </w:p>
    <w:p>
      <w:pPr>
        <w:sectPr>
          <w:pgSz w:w="11900" w:h="16838" w:orient="portrait"/>
          <w:cols w:equalWidth="0" w:num="1">
            <w:col w:w="11040"/>
          </w:cols>
          <w:pgMar w:left="440" w:top="274" w:right="419" w:bottom="1440" w:gutter="0" w:footer="0" w:header="0"/>
        </w:sectPr>
      </w:pPr>
    </w:p>
    <w:bookmarkStart w:id="5" w:name="page6"/>
    <w:bookmarkEnd w:id="5"/>
    <w:p>
      <w:pPr>
        <w:ind w:left="220" w:hanging="216"/>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include any prospectus required by Section 10(a)(3) of the Securities Act.</w:t>
      </w:r>
    </w:p>
    <w:p>
      <w:pPr>
        <w:spacing w:after="0" w:line="117" w:lineRule="exact"/>
        <w:rPr>
          <w:rFonts w:ascii="Arial" w:cs="Arial" w:eastAsia="Arial" w:hAnsi="Arial"/>
          <w:sz w:val="18"/>
          <w:szCs w:val="18"/>
          <w:color w:val="auto"/>
        </w:rPr>
      </w:pPr>
    </w:p>
    <w:p>
      <w:pPr>
        <w:ind w:right="160" w:firstLine="4"/>
        <w:spacing w:after="0" w:line="293" w:lineRule="auto"/>
        <w:tabs>
          <w:tab w:leader="none" w:pos="265"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56" w:lineRule="exact"/>
        <w:rPr>
          <w:rFonts w:ascii="Arial" w:cs="Arial" w:eastAsia="Arial" w:hAnsi="Arial"/>
          <w:sz w:val="16"/>
          <w:szCs w:val="16"/>
          <w:color w:val="auto"/>
        </w:rPr>
      </w:pPr>
    </w:p>
    <w:p>
      <w:pPr>
        <w:ind w:right="320" w:firstLine="4"/>
        <w:spacing w:after="0" w:line="277"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and (a)(1)(ii) herein do not apply if the information required to be included in a post-effective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by those paragraphs is contained in reports filed with or furnished to the Commission by the registrant pursuant to Section 13 or Section 15(d) of the Exchange Act (15 U.S.C. 78m or 78o(d)) that are incorporated by reference in the registration statement.</w:t>
      </w:r>
    </w:p>
    <w:p>
      <w:pPr>
        <w:spacing w:after="0" w:line="57" w:lineRule="exact"/>
        <w:rPr>
          <w:sz w:val="20"/>
          <w:szCs w:val="20"/>
          <w:color w:val="auto"/>
        </w:rPr>
      </w:pPr>
    </w:p>
    <w:p>
      <w:pPr>
        <w:ind w:right="120" w:firstLine="4"/>
        <w:spacing w:after="0" w:line="264"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firstLine="4"/>
        <w:spacing w:after="0" w:line="277"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sz w:val="20"/>
          <w:szCs w:val="20"/>
          <w:color w:val="auto"/>
        </w:rPr>
      </w:pPr>
    </w:p>
    <w:p>
      <w:pPr>
        <w:ind w:right="120" w:firstLine="4"/>
        <w:spacing w:after="0" w:line="257"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sz w:val="20"/>
          <w:szCs w:val="20"/>
          <w:color w:val="auto"/>
        </w:rPr>
      </w:pPr>
    </w:p>
    <w:p>
      <w:pPr>
        <w:ind w:right="220" w:firstLine="4"/>
        <w:spacing w:after="0" w:line="271" w:lineRule="auto"/>
        <w:tabs>
          <w:tab w:leader="none" w:pos="255" w:val="left"/>
        </w:tabs>
        <w:numPr>
          <w:ilvl w:val="0"/>
          <w:numId w:val="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0"/>
          </w:cols>
          <w:pgMar w:left="440" w:top="274" w:right="45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the 25th day of March, 2019.</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 MacKay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President, Chief Executive Officer and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KNOW ALL BY THESE PRESENT, that each individual whose signature appears below hereby constitutes and appoints each of Geoff MacKay and Erik Ostrowski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 in the capacities and on the date indicated.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4900" w:type="dxa"/>
            <w:vAlign w:val="bottom"/>
          </w:tcPr>
          <w:p>
            <w:pPr>
              <w:jc w:val="center"/>
              <w:ind w:left="132"/>
              <w:spacing w:after="0"/>
              <w:rPr>
                <w:sz w:val="20"/>
                <w:szCs w:val="20"/>
                <w:color w:val="auto"/>
              </w:rPr>
            </w:pPr>
            <w:r>
              <w:rPr>
                <w:rFonts w:ascii="Arial" w:cs="Arial" w:eastAsia="Arial" w:hAnsi="Arial"/>
                <w:sz w:val="14"/>
                <w:szCs w:val="14"/>
                <w:b w:val="1"/>
                <w:bCs w:val="1"/>
                <w:color w:val="auto"/>
                <w:w w:val="97"/>
              </w:rPr>
              <w:t>Title</w:t>
            </w:r>
          </w:p>
        </w:tc>
        <w:tc>
          <w:tcPr>
            <w:tcW w:w="1740" w:type="dxa"/>
            <w:vAlign w:val="bottom"/>
          </w:tcPr>
          <w:p>
            <w:pPr>
              <w:jc w:val="center"/>
              <w:ind w:left="513"/>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Geoff MacKay</w:t>
            </w:r>
          </w:p>
        </w:tc>
        <w:tc>
          <w:tcPr>
            <w:tcW w:w="4900" w:type="dxa"/>
            <w:vAlign w:val="bottom"/>
          </w:tcPr>
          <w:p>
            <w:pPr>
              <w:jc w:val="center"/>
              <w:ind w:left="112"/>
              <w:spacing w:after="0"/>
              <w:rPr>
                <w:sz w:val="20"/>
                <w:szCs w:val="20"/>
                <w:color w:val="auto"/>
              </w:rPr>
            </w:pPr>
            <w:r>
              <w:rPr>
                <w:rFonts w:ascii="Arial" w:cs="Arial" w:eastAsia="Arial" w:hAnsi="Arial"/>
                <w:sz w:val="18"/>
                <w:szCs w:val="18"/>
                <w:i w:val="1"/>
                <w:iCs w:val="1"/>
                <w:color w:val="auto"/>
                <w:w w:val="91"/>
              </w:rPr>
              <w:t>Director, President, Chief Executive Officer and</w:t>
            </w:r>
          </w:p>
        </w:tc>
        <w:tc>
          <w:tcPr>
            <w:tcW w:w="1740" w:type="dxa"/>
            <w:vAlign w:val="bottom"/>
          </w:tcPr>
          <w:p>
            <w:pPr>
              <w:jc w:val="center"/>
              <w:ind w:left="513"/>
              <w:spacing w:after="0"/>
              <w:rPr>
                <w:sz w:val="20"/>
                <w:szCs w:val="20"/>
                <w:color w:val="auto"/>
              </w:rPr>
            </w:pPr>
            <w:r>
              <w:rPr>
                <w:rFonts w:ascii="Arial" w:cs="Arial" w:eastAsia="Arial" w:hAnsi="Arial"/>
                <w:sz w:val="18"/>
                <w:szCs w:val="18"/>
                <w:color w:val="auto"/>
                <w:w w:val="91"/>
              </w:rPr>
              <w:t>March 25, 2019</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4"/>
              </w:rPr>
              <w:t>Geoff MacKay</w:t>
            </w:r>
          </w:p>
        </w:tc>
        <w:tc>
          <w:tcPr>
            <w:tcW w:w="4900" w:type="dxa"/>
            <w:vAlign w:val="bottom"/>
          </w:tcPr>
          <w:p>
            <w:pPr>
              <w:jc w:val="center"/>
              <w:ind w:left="112"/>
              <w:spacing w:after="0"/>
              <w:rPr>
                <w:sz w:val="20"/>
                <w:szCs w:val="20"/>
                <w:color w:val="auto"/>
              </w:rPr>
            </w:pPr>
            <w:r>
              <w:rPr>
                <w:rFonts w:ascii="Arial" w:cs="Arial" w:eastAsia="Arial" w:hAnsi="Arial"/>
                <w:sz w:val="18"/>
                <w:szCs w:val="18"/>
                <w:i w:val="1"/>
                <w:iCs w:val="1"/>
                <w:color w:val="auto"/>
                <w:w w:val="94"/>
              </w:rPr>
              <w:t>Principal Executive Officer</w:t>
            </w:r>
          </w:p>
        </w:tc>
        <w:tc>
          <w:tcPr>
            <w:tcW w:w="174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Erik Ostrowski</w:t>
            </w:r>
          </w:p>
        </w:tc>
        <w:tc>
          <w:tcPr>
            <w:tcW w:w="4900" w:type="dxa"/>
            <w:vAlign w:val="bottom"/>
          </w:tcPr>
          <w:p>
            <w:pPr>
              <w:jc w:val="center"/>
              <w:ind w:left="132"/>
              <w:spacing w:after="0"/>
              <w:rPr>
                <w:sz w:val="20"/>
                <w:szCs w:val="20"/>
                <w:color w:val="auto"/>
              </w:rPr>
            </w:pPr>
            <w:r>
              <w:rPr>
                <w:rFonts w:ascii="Arial" w:cs="Arial" w:eastAsia="Arial" w:hAnsi="Arial"/>
                <w:sz w:val="18"/>
                <w:szCs w:val="18"/>
                <w:i w:val="1"/>
                <w:iCs w:val="1"/>
                <w:color w:val="auto"/>
                <w:w w:val="95"/>
              </w:rPr>
              <w:t>Chief Financial Officer and Principal Financial</w:t>
            </w:r>
          </w:p>
        </w:tc>
        <w:tc>
          <w:tcPr>
            <w:tcW w:w="1740" w:type="dxa"/>
            <w:vAlign w:val="bottom"/>
          </w:tcPr>
          <w:p>
            <w:pPr>
              <w:jc w:val="center"/>
              <w:ind w:left="513"/>
              <w:spacing w:after="0"/>
              <w:rPr>
                <w:sz w:val="20"/>
                <w:szCs w:val="20"/>
                <w:color w:val="auto"/>
              </w:rPr>
            </w:pPr>
            <w:r>
              <w:rPr>
                <w:rFonts w:ascii="Arial" w:cs="Arial" w:eastAsia="Arial" w:hAnsi="Arial"/>
                <w:sz w:val="18"/>
                <w:szCs w:val="18"/>
                <w:color w:val="auto"/>
                <w:w w:val="91"/>
              </w:rPr>
              <w:t>March 25, 2019</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5"/>
              </w:rPr>
              <w:t>Erik Ostrowski</w:t>
            </w:r>
          </w:p>
        </w:tc>
        <w:tc>
          <w:tcPr>
            <w:tcW w:w="4900" w:type="dxa"/>
            <w:vAlign w:val="bottom"/>
          </w:tcPr>
          <w:p>
            <w:pPr>
              <w:jc w:val="center"/>
              <w:ind w:left="132"/>
              <w:spacing w:after="0"/>
              <w:rPr>
                <w:sz w:val="20"/>
                <w:szCs w:val="20"/>
                <w:color w:val="auto"/>
              </w:rPr>
            </w:pPr>
            <w:r>
              <w:rPr>
                <w:rFonts w:ascii="Arial" w:cs="Arial" w:eastAsia="Arial" w:hAnsi="Arial"/>
                <w:sz w:val="18"/>
                <w:szCs w:val="18"/>
                <w:i w:val="1"/>
                <w:iCs w:val="1"/>
                <w:color w:val="auto"/>
                <w:w w:val="92"/>
              </w:rPr>
              <w:t>and Accounting Officer</w:t>
            </w:r>
          </w:p>
        </w:tc>
        <w:tc>
          <w:tcPr>
            <w:tcW w:w="174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Bruce Booth</w:t>
            </w:r>
          </w:p>
        </w:tc>
        <w:tc>
          <w:tcPr>
            <w:tcW w:w="4900" w:type="dxa"/>
            <w:vAlign w:val="bottom"/>
          </w:tcPr>
          <w:p>
            <w:pPr>
              <w:jc w:val="center"/>
              <w:ind w:left="112"/>
              <w:spacing w:after="0"/>
              <w:rPr>
                <w:sz w:val="20"/>
                <w:szCs w:val="20"/>
                <w:color w:val="auto"/>
              </w:rPr>
            </w:pPr>
            <w:r>
              <w:rPr>
                <w:rFonts w:ascii="Arial" w:cs="Arial" w:eastAsia="Arial" w:hAnsi="Arial"/>
                <w:sz w:val="18"/>
                <w:szCs w:val="18"/>
                <w:i w:val="1"/>
                <w:iCs w:val="1"/>
                <w:color w:val="auto"/>
                <w:w w:val="92"/>
              </w:rPr>
              <w:t>Chairman of the Board of Directors</w:t>
            </w:r>
          </w:p>
        </w:tc>
        <w:tc>
          <w:tcPr>
            <w:tcW w:w="1740" w:type="dxa"/>
            <w:vAlign w:val="bottom"/>
          </w:tcPr>
          <w:p>
            <w:pPr>
              <w:jc w:val="center"/>
              <w:ind w:left="513"/>
              <w:spacing w:after="0"/>
              <w:rPr>
                <w:sz w:val="20"/>
                <w:szCs w:val="20"/>
                <w:color w:val="auto"/>
              </w:rPr>
            </w:pPr>
            <w:r>
              <w:rPr>
                <w:rFonts w:ascii="Arial" w:cs="Arial" w:eastAsia="Arial" w:hAnsi="Arial"/>
                <w:sz w:val="18"/>
                <w:szCs w:val="18"/>
                <w:color w:val="auto"/>
                <w:w w:val="91"/>
              </w:rPr>
              <w:t>March 25, 2019</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3"/>
              </w:rPr>
              <w:t>Bruce Booth, D.Phil.</w:t>
            </w:r>
          </w:p>
        </w:tc>
        <w:tc>
          <w:tcPr>
            <w:tcW w:w="49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Ian T. Clark</w:t>
            </w:r>
          </w:p>
        </w:tc>
        <w:tc>
          <w:tcPr>
            <w:tcW w:w="4900" w:type="dxa"/>
            <w:vAlign w:val="bottom"/>
          </w:tcPr>
          <w:p>
            <w:pPr>
              <w:jc w:val="center"/>
              <w:ind w:left="112"/>
              <w:spacing w:after="0"/>
              <w:rPr>
                <w:sz w:val="20"/>
                <w:szCs w:val="20"/>
                <w:color w:val="auto"/>
              </w:rPr>
            </w:pPr>
            <w:r>
              <w:rPr>
                <w:rFonts w:ascii="Arial" w:cs="Arial" w:eastAsia="Arial" w:hAnsi="Arial"/>
                <w:sz w:val="18"/>
                <w:szCs w:val="18"/>
                <w:i w:val="1"/>
                <w:iCs w:val="1"/>
                <w:color w:val="auto"/>
                <w:w w:val="98"/>
              </w:rPr>
              <w:t>Director</w:t>
            </w:r>
          </w:p>
        </w:tc>
        <w:tc>
          <w:tcPr>
            <w:tcW w:w="1740" w:type="dxa"/>
            <w:vAlign w:val="bottom"/>
          </w:tcPr>
          <w:p>
            <w:pPr>
              <w:jc w:val="center"/>
              <w:ind w:left="513"/>
              <w:spacing w:after="0"/>
              <w:rPr>
                <w:sz w:val="20"/>
                <w:szCs w:val="20"/>
                <w:color w:val="auto"/>
              </w:rPr>
            </w:pPr>
            <w:r>
              <w:rPr>
                <w:rFonts w:ascii="Arial" w:cs="Arial" w:eastAsia="Arial" w:hAnsi="Arial"/>
                <w:sz w:val="18"/>
                <w:szCs w:val="18"/>
                <w:color w:val="auto"/>
                <w:w w:val="91"/>
              </w:rPr>
              <w:t>March 25, 2019</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2"/>
              </w:rPr>
              <w:t>Ian T. Clark</w:t>
            </w:r>
          </w:p>
        </w:tc>
        <w:tc>
          <w:tcPr>
            <w:tcW w:w="49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Phillip B. Donenberg</w:t>
            </w:r>
          </w:p>
        </w:tc>
        <w:tc>
          <w:tcPr>
            <w:tcW w:w="4900" w:type="dxa"/>
            <w:vAlign w:val="bottom"/>
          </w:tcPr>
          <w:p>
            <w:pPr>
              <w:jc w:val="center"/>
              <w:ind w:left="112"/>
              <w:spacing w:after="0"/>
              <w:rPr>
                <w:sz w:val="20"/>
                <w:szCs w:val="20"/>
                <w:color w:val="auto"/>
              </w:rPr>
            </w:pPr>
            <w:r>
              <w:rPr>
                <w:rFonts w:ascii="Arial" w:cs="Arial" w:eastAsia="Arial" w:hAnsi="Arial"/>
                <w:sz w:val="18"/>
                <w:szCs w:val="18"/>
                <w:i w:val="1"/>
                <w:iCs w:val="1"/>
                <w:color w:val="auto"/>
                <w:w w:val="98"/>
              </w:rPr>
              <w:t>Director</w:t>
            </w:r>
          </w:p>
        </w:tc>
        <w:tc>
          <w:tcPr>
            <w:tcW w:w="1740" w:type="dxa"/>
            <w:vAlign w:val="bottom"/>
          </w:tcPr>
          <w:p>
            <w:pPr>
              <w:jc w:val="center"/>
              <w:ind w:left="513"/>
              <w:spacing w:after="0"/>
              <w:rPr>
                <w:sz w:val="20"/>
                <w:szCs w:val="20"/>
                <w:color w:val="auto"/>
              </w:rPr>
            </w:pPr>
            <w:r>
              <w:rPr>
                <w:rFonts w:ascii="Arial" w:cs="Arial" w:eastAsia="Arial" w:hAnsi="Arial"/>
                <w:sz w:val="18"/>
                <w:szCs w:val="18"/>
                <w:color w:val="auto"/>
                <w:w w:val="91"/>
              </w:rPr>
              <w:t>March 25, 2019</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2"/>
              </w:rPr>
              <w:t>Phillip B. Donenberg</w:t>
            </w:r>
          </w:p>
        </w:tc>
        <w:tc>
          <w:tcPr>
            <w:tcW w:w="49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Annalisa Jenkins</w:t>
            </w:r>
          </w:p>
        </w:tc>
        <w:tc>
          <w:tcPr>
            <w:tcW w:w="4900" w:type="dxa"/>
            <w:vAlign w:val="bottom"/>
          </w:tcPr>
          <w:p>
            <w:pPr>
              <w:jc w:val="center"/>
              <w:ind w:left="112"/>
              <w:spacing w:after="0"/>
              <w:rPr>
                <w:sz w:val="20"/>
                <w:szCs w:val="20"/>
                <w:color w:val="auto"/>
              </w:rPr>
            </w:pPr>
            <w:r>
              <w:rPr>
                <w:rFonts w:ascii="Arial" w:cs="Arial" w:eastAsia="Arial" w:hAnsi="Arial"/>
                <w:sz w:val="18"/>
                <w:szCs w:val="18"/>
                <w:i w:val="1"/>
                <w:iCs w:val="1"/>
                <w:color w:val="auto"/>
                <w:w w:val="98"/>
              </w:rPr>
              <w:t>Director</w:t>
            </w:r>
          </w:p>
        </w:tc>
        <w:tc>
          <w:tcPr>
            <w:tcW w:w="1740" w:type="dxa"/>
            <w:vAlign w:val="bottom"/>
          </w:tcPr>
          <w:p>
            <w:pPr>
              <w:jc w:val="center"/>
              <w:ind w:left="513"/>
              <w:spacing w:after="0"/>
              <w:rPr>
                <w:sz w:val="20"/>
                <w:szCs w:val="20"/>
                <w:color w:val="auto"/>
              </w:rPr>
            </w:pPr>
            <w:r>
              <w:rPr>
                <w:rFonts w:ascii="Arial" w:cs="Arial" w:eastAsia="Arial" w:hAnsi="Arial"/>
                <w:sz w:val="18"/>
                <w:szCs w:val="18"/>
                <w:color w:val="auto"/>
                <w:w w:val="91"/>
              </w:rPr>
              <w:t>March 25, 2019</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0"/>
              </w:rPr>
              <w:t>Annalisa Jenkins, M.B.B.S., F.R.C.P.</w:t>
            </w:r>
          </w:p>
        </w:tc>
        <w:tc>
          <w:tcPr>
            <w:tcW w:w="490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ectPr>
          <w:pgSz w:w="11900" w:h="16838" w:orient="portrait"/>
          <w:cols w:equalWidth="0" w:num="1">
            <w:col w:w="10900"/>
          </w:cols>
          <w:pgMar w:left="440" w:top="270" w:right="55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Christopher Paige</w:t>
            </w:r>
          </w:p>
        </w:tc>
        <w:tc>
          <w:tcPr>
            <w:tcW w:w="4180" w:type="dxa"/>
            <w:vAlign w:val="bottom"/>
          </w:tcPr>
          <w:p>
            <w:pPr>
              <w:ind w:left="2240"/>
              <w:spacing w:after="0"/>
              <w:rPr>
                <w:sz w:val="20"/>
                <w:szCs w:val="20"/>
                <w:color w:val="auto"/>
              </w:rPr>
            </w:pPr>
            <w:r>
              <w:rPr>
                <w:rFonts w:ascii="Arial" w:cs="Arial" w:eastAsia="Arial" w:hAnsi="Arial"/>
                <w:sz w:val="18"/>
                <w:szCs w:val="18"/>
                <w:i w:val="1"/>
                <w:iCs w:val="1"/>
                <w:color w:val="auto"/>
              </w:rPr>
              <w:t>Director</w:t>
            </w:r>
          </w:p>
        </w:tc>
        <w:tc>
          <w:tcPr>
            <w:tcW w:w="2460" w:type="dxa"/>
            <w:vAlign w:val="bottom"/>
          </w:tcPr>
          <w:p>
            <w:pPr>
              <w:ind w:left="1320"/>
              <w:spacing w:after="0"/>
              <w:rPr>
                <w:sz w:val="20"/>
                <w:szCs w:val="20"/>
                <w:color w:val="auto"/>
              </w:rPr>
            </w:pPr>
            <w:r>
              <w:rPr>
                <w:rFonts w:ascii="Arial" w:cs="Arial" w:eastAsia="Arial" w:hAnsi="Arial"/>
                <w:sz w:val="18"/>
                <w:szCs w:val="18"/>
                <w:color w:val="auto"/>
                <w:w w:val="89"/>
              </w:rPr>
              <w:t>March 25, 2019</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0"/>
              </w:rPr>
              <w:t>Christopher Paige, Ph.D.</w:t>
            </w:r>
          </w:p>
        </w:tc>
        <w:tc>
          <w:tcPr>
            <w:tcW w:w="41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Philip Vickers</w:t>
            </w:r>
          </w:p>
        </w:tc>
        <w:tc>
          <w:tcPr>
            <w:tcW w:w="4180" w:type="dxa"/>
            <w:vAlign w:val="bottom"/>
          </w:tcPr>
          <w:p>
            <w:pPr>
              <w:ind w:left="2240"/>
              <w:spacing w:after="0"/>
              <w:rPr>
                <w:sz w:val="20"/>
                <w:szCs w:val="20"/>
                <w:color w:val="auto"/>
              </w:rPr>
            </w:pPr>
            <w:r>
              <w:rPr>
                <w:rFonts w:ascii="Arial" w:cs="Arial" w:eastAsia="Arial" w:hAnsi="Arial"/>
                <w:sz w:val="18"/>
                <w:szCs w:val="18"/>
                <w:i w:val="1"/>
                <w:iCs w:val="1"/>
                <w:color w:val="auto"/>
              </w:rPr>
              <w:t>Director</w:t>
            </w:r>
          </w:p>
        </w:tc>
        <w:tc>
          <w:tcPr>
            <w:tcW w:w="2460" w:type="dxa"/>
            <w:vAlign w:val="bottom"/>
          </w:tcPr>
          <w:p>
            <w:pPr>
              <w:ind w:left="1320"/>
              <w:spacing w:after="0"/>
              <w:rPr>
                <w:sz w:val="20"/>
                <w:szCs w:val="20"/>
                <w:color w:val="auto"/>
              </w:rPr>
            </w:pPr>
            <w:r>
              <w:rPr>
                <w:rFonts w:ascii="Arial" w:cs="Arial" w:eastAsia="Arial" w:hAnsi="Arial"/>
                <w:sz w:val="18"/>
                <w:szCs w:val="18"/>
                <w:color w:val="auto"/>
                <w:w w:val="89"/>
              </w:rPr>
              <w:t>March 25, 2019</w:t>
            </w:r>
          </w:p>
        </w:tc>
      </w:tr>
      <w:tr>
        <w:trPr>
          <w:trHeight w:val="224"/>
        </w:trPr>
        <w:tc>
          <w:tcPr>
            <w:tcW w:w="4100" w:type="dxa"/>
            <w:vAlign w:val="bottom"/>
          </w:tcPr>
          <w:p>
            <w:pPr>
              <w:jc w:val="center"/>
              <w:spacing w:after="0"/>
              <w:rPr>
                <w:sz w:val="20"/>
                <w:szCs w:val="20"/>
                <w:color w:val="auto"/>
              </w:rPr>
            </w:pPr>
            <w:r>
              <w:rPr>
                <w:rFonts w:ascii="Arial" w:cs="Arial" w:eastAsia="Arial" w:hAnsi="Arial"/>
                <w:sz w:val="18"/>
                <w:szCs w:val="18"/>
                <w:color w:val="auto"/>
                <w:w w:val="93"/>
              </w:rPr>
              <w:t>Philip Vickers, Ph.D.</w:t>
            </w:r>
          </w:p>
        </w:tc>
        <w:tc>
          <w:tcPr>
            <w:tcW w:w="418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ectPr>
          <w:pgSz w:w="11900" w:h="16838" w:orient="portrait"/>
          <w:cols w:equalWidth="0" w:num="1">
            <w:col w:w="10740"/>
          </w:cols>
          <w:pgMar w:left="460" w:top="490" w:right="6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March 25,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Kendall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300, Suite 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38"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Securities Being Registered under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293,000 shares (the “Shares”) of Common Stock, $0.0001 par value per share (“Common Stock”), of AVROBIO, Inc., a Delaware corporation (the “Company”), that may be issued pursuant to a Non-Qualified Stock Option Agreement, between the Company and Birgitte Volck, M.D., Ph.D., for an inducement award granted on December 17, 2018 (the “Plan”).</w:t>
      </w:r>
    </w:p>
    <w:p>
      <w:pPr>
        <w:spacing w:after="0" w:line="188"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 will be validly issued, fully paid and nonassessable.</w:t>
      </w:r>
    </w:p>
    <w:p>
      <w:pPr>
        <w:spacing w:after="0" w:line="170"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4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xml:space="preserve">/s/ GOODWIN PROCTER </w:t>
      </w:r>
      <w:r>
        <w:rPr>
          <w:rFonts w:ascii="Arial" w:cs="Arial" w:eastAsia="Arial" w:hAnsi="Arial"/>
          <w:sz w:val="15"/>
          <w:szCs w:val="15"/>
          <w:color w:val="auto"/>
        </w:rPr>
        <w:t>LLP</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5"/>
          <w:szCs w:val="15"/>
          <w:color w:val="auto"/>
        </w:rPr>
        <w:t>LLP</w:t>
      </w:r>
    </w:p>
    <w:p>
      <w:pPr>
        <w:sectPr>
          <w:pgSz w:w="11900" w:h="16838" w:orient="portrait"/>
          <w:cols w:equalWidth="0" w:num="1">
            <w:col w:w="11020"/>
          </w:cols>
          <w:pgMar w:left="440" w:top="12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Inducement Stock Option Agreement of AVROBIO, Inc. of our report dated March 25, 2019, with respect to the consolidated financial statements of AVROBIO, Inc. included in its Annual Report (Form 10-K) for the year ended December 31, 2018,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2019</w:t>
      </w:r>
    </w:p>
    <w:p>
      <w:pPr>
        <w:sectPr>
          <w:pgSz w:w="11900" w:h="16838" w:orient="portrait"/>
          <w:cols w:equalWidth="0" w:num="1">
            <w:col w:w="11020"/>
          </w:cols>
          <w:pgMar w:left="440" w:top="121"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AVROBIO,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14605</wp:posOffset>
            </wp:positionV>
            <wp:extent cx="21951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14605</wp:posOffset>
            </wp:positionV>
            <wp:extent cx="21951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Option 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14605</wp:posOffset>
            </wp:positionV>
            <wp:extent cx="21951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14605</wp:posOffset>
            </wp:positionV>
            <wp:extent cx="21951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14605</wp:posOffset>
            </wp:positionV>
            <wp:extent cx="21951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32" w:lineRule="exact"/>
        <w:rPr>
          <w:sz w:val="20"/>
          <w:szCs w:val="20"/>
          <w:color w:val="auto"/>
        </w:rPr>
      </w:pPr>
    </w:p>
    <w:p>
      <w:pPr>
        <w:ind w:right="100" w:firstLine="441"/>
        <w:spacing w:after="0" w:line="254" w:lineRule="auto"/>
        <w:rPr>
          <w:sz w:val="20"/>
          <w:szCs w:val="20"/>
          <w:color w:val="auto"/>
        </w:rPr>
      </w:pPr>
      <w:r>
        <w:rPr>
          <w:rFonts w:ascii="Arial" w:cs="Arial" w:eastAsia="Arial" w:hAnsi="Arial"/>
          <w:sz w:val="18"/>
          <w:szCs w:val="18"/>
          <w:color w:val="auto"/>
        </w:rPr>
        <w:t>AVROBIO, Inc. (the “Company”) hereby grants to the Optionee named above an option (the “Stock Option”) to purchase on or prior to the Expiration Date specified above all or part of the number of shares of Common Stock, par value $0.0001 per share (the “Stock”) of the Company specified above at the Option Exercise Price per Share specified above subject to the terms and conditions set forth herein and in the Plan. This Stock Option is not issued under the AVROBIO, Inc. 2018 Stock Option and Incentive Plan as amended through the date hereof (the “Plan”) and does not reduce the share reserve under the Plan. However, for purposes of interpreting this applicable provisions of this Stock Option, the terms and conditions of the Plan (other than those applicable to the share reserve) shall govern and apply to this Stock Option as if this Stock Option has actually been issued under the Plan. This Stock Option is not intended to be an “incentive stock option” under Section 422 of the Internal Revenue Code of 1986, as amended.</w:t>
      </w:r>
    </w:p>
    <w:p>
      <w:pPr>
        <w:spacing w:after="0" w:line="192" w:lineRule="exact"/>
        <w:rPr>
          <w:sz w:val="20"/>
          <w:szCs w:val="20"/>
          <w:color w:val="auto"/>
        </w:rPr>
      </w:pPr>
    </w:p>
    <w:p>
      <w:pPr>
        <w:ind w:right="240" w:firstLine="444"/>
        <w:spacing w:after="0" w:line="259" w:lineRule="auto"/>
        <w:tabs>
          <w:tab w:leader="none" w:pos="75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Optionee continues to have a Service Relationship with the Company or a Subsidiary on such dates:</w:t>
      </w:r>
    </w:p>
    <w:p>
      <w:pPr>
        <w:sectPr>
          <w:pgSz w:w="11900" w:h="16838" w:orient="portrait"/>
          <w:cols w:equalWidth="0" w:num="1">
            <w:col w:w="11020"/>
          </w:cols>
          <w:pgMar w:left="440" w:top="121" w:right="439" w:bottom="1440" w:gutter="0" w:footer="0" w:header="0"/>
        </w:sectPr>
      </w:pPr>
    </w:p>
    <w:p>
      <w:pPr>
        <w:spacing w:after="0" w:line="214" w:lineRule="exact"/>
        <w:rPr>
          <w:sz w:val="20"/>
          <w:szCs w:val="20"/>
          <w:color w:val="auto"/>
        </w:rPr>
      </w:pPr>
    </w:p>
    <w:p>
      <w:pPr>
        <w:jc w:val="center"/>
        <w:ind w:right="1380"/>
        <w:spacing w:after="0"/>
        <w:rPr>
          <w:sz w:val="20"/>
          <w:szCs w:val="20"/>
          <w:color w:val="auto"/>
        </w:rPr>
      </w:pPr>
      <w:r>
        <w:rPr>
          <w:rFonts w:ascii="Arial" w:cs="Arial" w:eastAsia="Arial" w:hAnsi="Arial"/>
          <w:sz w:val="18"/>
          <w:szCs w:val="18"/>
          <w:color w:val="auto"/>
        </w:rPr>
        <w:t>Incremental Number of</w:t>
      </w:r>
    </w:p>
    <w:p>
      <w:pPr>
        <w:spacing w:after="0" w:line="23" w:lineRule="exact"/>
        <w:rPr>
          <w:sz w:val="20"/>
          <w:szCs w:val="20"/>
          <w:color w:val="auto"/>
        </w:rPr>
      </w:pPr>
    </w:p>
    <w:p>
      <w:pPr>
        <w:jc w:val="center"/>
        <w:ind w:right="1380"/>
        <w:spacing w:after="0"/>
        <w:rPr>
          <w:sz w:val="20"/>
          <w:szCs w:val="20"/>
          <w:color w:val="auto"/>
        </w:rPr>
      </w:pPr>
      <w:r>
        <w:rPr>
          <w:rFonts w:ascii="Arial" w:cs="Arial" w:eastAsia="Arial" w:hAnsi="Arial"/>
          <w:sz w:val="16"/>
          <w:szCs w:val="16"/>
          <w:u w:val="single" w:color="auto"/>
          <w:color w:val="auto"/>
        </w:rPr>
        <w:t>Option Shares Exercisable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Exercisability Date</w:t>
      </w:r>
    </w:p>
    <w:p>
      <w:pPr>
        <w:spacing w:after="0" w:line="202" w:lineRule="exact"/>
        <w:rPr>
          <w:sz w:val="20"/>
          <w:szCs w:val="20"/>
          <w:color w:val="auto"/>
        </w:rPr>
      </w:pPr>
    </w:p>
    <w:p>
      <w:pPr>
        <w:sectPr>
          <w:pgSz w:w="11900" w:h="16838" w:orient="portrait"/>
          <w:cols w:equalWidth="0" w:num="2">
            <w:col w:w="7020" w:space="720"/>
            <w:col w:w="3280"/>
          </w:cols>
          <w:pgMar w:left="440" w:top="121" w:right="439" w:bottom="1440" w:gutter="0" w:footer="0" w:header="0"/>
          <w:type w:val="continuous"/>
        </w:sectPr>
      </w:pPr>
    </w:p>
    <w:p>
      <w:pPr>
        <w:spacing w:after="0" w:line="47"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Once exercisable, this Stock Option shall continue to be exercisable at any time or times prior to the close of business on the Expiration Date, subject to the provisions hereof and of the Plan.</w:t>
      </w:r>
    </w:p>
    <w:p>
      <w:pPr>
        <w:sectPr>
          <w:pgSz w:w="11900" w:h="16838" w:orient="portrait"/>
          <w:cols w:equalWidth="0" w:num="1">
            <w:col w:w="11020"/>
          </w:cols>
          <w:pgMar w:left="440" w:top="121" w:right="439" w:bottom="1440" w:gutter="0" w:footer="0" w:header="0"/>
          <w:type w:val="continuous"/>
        </w:sectPr>
      </w:pPr>
    </w:p>
    <w:bookmarkStart w:id="11" w:name="page12"/>
    <w:bookmarkEnd w:id="11"/>
    <w:p>
      <w:pPr>
        <w:ind w:left="760" w:hanging="316"/>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Manner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885"/>
        <w:spacing w:after="0" w:line="264" w:lineRule="auto"/>
        <w:tabs>
          <w:tab w:leader="none" w:pos="1258"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1"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9"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78" w:lineRule="exact"/>
        <w:rPr>
          <w:sz w:val="20"/>
          <w:szCs w:val="20"/>
          <w:color w:val="auto"/>
        </w:rPr>
      </w:pPr>
    </w:p>
    <w:p>
      <w:pPr>
        <w:ind w:right="20" w:firstLine="885"/>
        <w:spacing w:after="0" w:line="273" w:lineRule="auto"/>
        <w:tabs>
          <w:tab w:leader="none" w:pos="126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2" w:name="page13"/>
    <w:bookmarkEnd w:id="12"/>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entered as the stockholder of record on the books of the Company. Thereupon, the Optionee shall have full voting, dividend and other ownership rights with respect to such shares of Stock.</w:t>
      </w:r>
    </w:p>
    <w:p>
      <w:pPr>
        <w:spacing w:after="0" w:line="170" w:lineRule="exact"/>
        <w:rPr>
          <w:sz w:val="20"/>
          <w:szCs w:val="20"/>
          <w:color w:val="auto"/>
        </w:rPr>
      </w:pPr>
    </w:p>
    <w:p>
      <w:pPr>
        <w:ind w:right="60" w:firstLine="885"/>
        <w:spacing w:after="0" w:line="264" w:lineRule="auto"/>
        <w:tabs>
          <w:tab w:leader="none" w:pos="1258"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1" w:lineRule="exact"/>
        <w:rPr>
          <w:rFonts w:ascii="Arial" w:cs="Arial" w:eastAsia="Arial" w:hAnsi="Arial"/>
          <w:sz w:val="18"/>
          <w:szCs w:val="18"/>
          <w:color w:val="auto"/>
        </w:rPr>
      </w:pPr>
    </w:p>
    <w:p>
      <w:pPr>
        <w:ind w:left="1280" w:hanging="395"/>
        <w:spacing w:after="0"/>
        <w:tabs>
          <w:tab w:leader="none" w:pos="12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Date hereof.</w:t>
      </w:r>
    </w:p>
    <w:p>
      <w:pPr>
        <w:spacing w:after="0" w:line="210" w:lineRule="exact"/>
        <w:rPr>
          <w:rFonts w:ascii="Arial" w:cs="Arial" w:eastAsia="Arial" w:hAnsi="Arial"/>
          <w:sz w:val="17"/>
          <w:szCs w:val="17"/>
          <w:color w:val="auto"/>
        </w:rPr>
      </w:pPr>
    </w:p>
    <w:p>
      <w:pPr>
        <w:ind w:right="560" w:firstLine="444"/>
        <w:spacing w:after="0" w:line="308" w:lineRule="auto"/>
        <w:tabs>
          <w:tab w:leader="none" w:pos="756"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Termination of Service Relationship</w:t>
      </w:r>
      <w:r>
        <w:rPr>
          <w:rFonts w:ascii="Arial" w:cs="Arial" w:eastAsia="Arial" w:hAnsi="Arial"/>
          <w:sz w:val="17"/>
          <w:szCs w:val="17"/>
          <w:color w:val="auto"/>
        </w:rPr>
        <w:t>. If the Optionee’s Service Relationship by the Company or a Subsidiary (as defined in the Plan) is terminated, the period within which to exercise the Stock Option may be subject to earlier termination as set forth below.</w:t>
      </w:r>
    </w:p>
    <w:p>
      <w:pPr>
        <w:spacing w:after="0" w:line="146" w:lineRule="exact"/>
        <w:rPr>
          <w:rFonts w:ascii="Arial" w:cs="Arial" w:eastAsia="Arial" w:hAnsi="Arial"/>
          <w:sz w:val="17"/>
          <w:szCs w:val="17"/>
          <w:color w:val="auto"/>
        </w:rPr>
      </w:pPr>
    </w:p>
    <w:p>
      <w:pPr>
        <w:ind w:firstLine="885"/>
        <w:spacing w:after="0" w:line="259" w:lineRule="auto"/>
        <w:tabs>
          <w:tab w:leader="none" w:pos="1261"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If the Optionee’s Service Relationship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86" w:lineRule="exact"/>
        <w:rPr>
          <w:rFonts w:ascii="Arial" w:cs="Arial" w:eastAsia="Arial" w:hAnsi="Arial"/>
          <w:sz w:val="18"/>
          <w:szCs w:val="18"/>
          <w:color w:val="auto"/>
        </w:rPr>
      </w:pPr>
    </w:p>
    <w:p>
      <w:pPr>
        <w:ind w:right="100" w:firstLine="885"/>
        <w:spacing w:after="0" w:line="302" w:lineRule="auto"/>
        <w:tabs>
          <w:tab w:leader="none" w:pos="1271"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Termination Due to Disability</w:t>
      </w:r>
      <w:r>
        <w:rPr>
          <w:rFonts w:ascii="Arial" w:cs="Arial" w:eastAsia="Arial" w:hAnsi="Arial"/>
          <w:sz w:val="16"/>
          <w:szCs w:val="16"/>
          <w:color w:val="auto"/>
        </w:rPr>
        <w:t>. If the Optionee’s Service Relationship terminates by reason of the Optionee’s disability (as determined by the Administrator), any portion of this Stock Option outstanding on such date, to the extent exercisable on the date of such termination of Service Relationship,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54" w:lineRule="exact"/>
        <w:rPr>
          <w:rFonts w:ascii="Arial" w:cs="Arial" w:eastAsia="Arial" w:hAnsi="Arial"/>
          <w:sz w:val="16"/>
          <w:szCs w:val="16"/>
          <w:color w:val="auto"/>
        </w:rPr>
      </w:pPr>
    </w:p>
    <w:p>
      <w:pPr>
        <w:ind w:firstLine="885"/>
        <w:spacing w:after="0" w:line="293" w:lineRule="auto"/>
        <w:tabs>
          <w:tab w:leader="none" w:pos="1261"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the Optionee’s Service Relationship terminates for Cause, any portion of this Stock Option outstanding on such date shall terminate immediately and be of no further force and effect. For purposes hereof, “Cause” shall mean, unless otherwise provided in an employment agreement (or similar services agreements)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64" w:lineRule="exact"/>
        <w:rPr>
          <w:rFonts w:ascii="Arial" w:cs="Arial" w:eastAsia="Arial" w:hAnsi="Arial"/>
          <w:sz w:val="16"/>
          <w:szCs w:val="16"/>
          <w:color w:val="auto"/>
        </w:rPr>
      </w:pPr>
    </w:p>
    <w:p>
      <w:pPr>
        <w:ind w:right="60" w:firstLine="885"/>
        <w:spacing w:after="0" w:line="259" w:lineRule="auto"/>
        <w:tabs>
          <w:tab w:leader="none" w:pos="1271"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 that is not exercisable on the date of termination shall terminate immediately and be of no further force or effect.</w:t>
      </w:r>
    </w:p>
    <w:p>
      <w:pPr>
        <w:spacing w:after="0" w:line="225"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The Administrator’s determination of the reason for termination of the Optionee’s Service Relationship shall be conclusive and binding on the Optionee and his or her representatives or legatees.</w:t>
      </w:r>
    </w:p>
    <w:p>
      <w:pPr>
        <w:spacing w:after="0" w:line="170" w:lineRule="exact"/>
        <w:rPr>
          <w:sz w:val="20"/>
          <w:szCs w:val="20"/>
          <w:color w:val="auto"/>
        </w:rPr>
      </w:pPr>
    </w:p>
    <w:p>
      <w:pPr>
        <w:ind w:firstLine="444"/>
        <w:spacing w:after="0" w:line="279" w:lineRule="auto"/>
        <w:tabs>
          <w:tab w:leader="none" w:pos="756"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Incorporation of Plan</w:t>
      </w:r>
      <w:r>
        <w:rPr>
          <w:rFonts w:ascii="Arial" w:cs="Arial" w:eastAsia="Arial" w:hAnsi="Arial"/>
          <w:sz w:val="17"/>
          <w:szCs w:val="17"/>
          <w:color w:val="auto"/>
        </w:rPr>
        <w:t>. As set forth above, this Stock Option is not granted pursuant to the Plan. However, for purposes of interpreting the provisions of this Stock Option, the terms and conditions of the Plan (other than those applicable to the share reserve, but including the powers of the Administrator set forth in Section 2(b) of the Plan) shall govern and apply to this Stock Option as if this Stock Option had actually been issued under the Plan. Capitalized terms in this Agreement shall have the meaning specified in the Plan, unless a different meaning is specified herein.</w:t>
      </w:r>
    </w:p>
    <w:p>
      <w:pPr>
        <w:spacing w:after="0" w:line="171" w:lineRule="exact"/>
        <w:rPr>
          <w:rFonts w:ascii="Arial" w:cs="Arial" w:eastAsia="Arial" w:hAnsi="Arial"/>
          <w:sz w:val="17"/>
          <w:szCs w:val="17"/>
          <w:color w:val="auto"/>
        </w:rPr>
      </w:pPr>
    </w:p>
    <w:p>
      <w:pPr>
        <w:ind w:right="220" w:firstLine="444"/>
        <w:spacing w:after="0" w:line="264" w:lineRule="auto"/>
        <w:tabs>
          <w:tab w:leader="none" w:pos="75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1" w:lineRule="exact"/>
        <w:rPr>
          <w:rFonts w:ascii="Arial" w:cs="Arial" w:eastAsia="Arial" w:hAnsi="Arial"/>
          <w:sz w:val="18"/>
          <w:szCs w:val="18"/>
          <w:color w:val="auto"/>
        </w:rPr>
      </w:pPr>
    </w:p>
    <w:p>
      <w:pPr>
        <w:ind w:firstLine="444"/>
        <w:spacing w:after="0" w:line="293" w:lineRule="auto"/>
        <w:tabs>
          <w:tab w:leader="none" w:pos="756"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withholding from shares of Stock to be issued to the Optionee a number of shares of Stock with an aggregate Fair Market Value that would satisfy the withholding amount due; provided, however, that the amount withheld does not exceed the maximum statutory tax rate or such lesser amount as is necessary to avoid adverse accounting treatment or as determined by the Administrator.</w:t>
      </w:r>
    </w:p>
    <w:p>
      <w:pPr>
        <w:spacing w:after="0" w:line="164" w:lineRule="exact"/>
        <w:rPr>
          <w:rFonts w:ascii="Arial" w:cs="Arial" w:eastAsia="Arial" w:hAnsi="Arial"/>
          <w:sz w:val="16"/>
          <w:szCs w:val="16"/>
          <w:color w:val="auto"/>
        </w:rPr>
      </w:pPr>
    </w:p>
    <w:p>
      <w:pPr>
        <w:ind w:right="340" w:firstLine="444"/>
        <w:spacing w:after="0" w:line="264" w:lineRule="auto"/>
        <w:tabs>
          <w:tab w:leader="none" w:pos="75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Service Relationship</w:t>
      </w:r>
      <w:r>
        <w:rPr>
          <w:rFonts w:ascii="Arial" w:cs="Arial" w:eastAsia="Arial" w:hAnsi="Arial"/>
          <w:sz w:val="18"/>
          <w:szCs w:val="18"/>
          <w:color w:val="auto"/>
        </w:rPr>
        <w:t>. Neither the Company nor any Subsidiary is obligated by or as a result of the Plan or this Agreement to continue the Optionee’s Service Relationship and neither the Plan nor this Agreement shall interfere in any way with the right of the Company or any Subsidiary to terminate the Service Relationship of the Optionee at any time.</w:t>
      </w:r>
    </w:p>
    <w:p>
      <w:pPr>
        <w:spacing w:after="0" w:line="181" w:lineRule="exact"/>
        <w:rPr>
          <w:rFonts w:ascii="Arial" w:cs="Arial" w:eastAsia="Arial" w:hAnsi="Arial"/>
          <w:sz w:val="18"/>
          <w:szCs w:val="18"/>
          <w:color w:val="auto"/>
        </w:rPr>
      </w:pPr>
    </w:p>
    <w:p>
      <w:pPr>
        <w:ind w:right="280" w:firstLine="444"/>
        <w:spacing w:after="0" w:line="277" w:lineRule="auto"/>
        <w:tabs>
          <w:tab w:leader="none" w:pos="75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70" w:lineRule="exact"/>
        <w:rPr>
          <w:rFonts w:ascii="Arial" w:cs="Arial" w:eastAsia="Arial" w:hAnsi="Arial"/>
          <w:sz w:val="18"/>
          <w:szCs w:val="18"/>
          <w:color w:val="auto"/>
        </w:rPr>
      </w:pPr>
    </w:p>
    <w:p>
      <w:pPr>
        <w:ind w:firstLine="444"/>
        <w:spacing w:after="0" w:line="259" w:lineRule="auto"/>
        <w:tabs>
          <w:tab w:leader="none" w:pos="75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desirable for the administration of the Plan and/or this Agreement (the “Relevant Information”). By entering into this Agreement, the Optionee</w:t>
      </w:r>
    </w:p>
    <w:p>
      <w:pPr>
        <w:spacing w:after="0" w:line="35" w:lineRule="exact"/>
        <w:rPr>
          <w:sz w:val="20"/>
          <w:szCs w:val="20"/>
          <w:color w:val="auto"/>
        </w:rPr>
      </w:pPr>
    </w:p>
    <w:p>
      <w:pPr>
        <w:ind w:right="80" w:firstLine="4"/>
        <w:spacing w:after="0" w:line="253" w:lineRule="auto"/>
        <w:tabs>
          <w:tab w:leader="none" w:pos="2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91" w:lineRule="exact"/>
        <w:rPr>
          <w:rFonts w:ascii="Arial" w:cs="Arial" w:eastAsia="Arial" w:hAnsi="Arial"/>
          <w:sz w:val="18"/>
          <w:szCs w:val="18"/>
          <w:color w:val="auto"/>
        </w:rPr>
      </w:pPr>
    </w:p>
    <w:p>
      <w:pPr>
        <w:jc w:val="both"/>
        <w:ind w:firstLine="444"/>
        <w:spacing w:after="0" w:line="264" w:lineRule="auto"/>
        <w:tabs>
          <w:tab w:leader="none" w:pos="846"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326"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Optionee’s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-130810</wp:posOffset>
            </wp:positionV>
            <wp:extent cx="67233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20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838200</wp:posOffset>
            </wp:positionV>
            <wp:extent cx="31470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563880</wp:posOffset>
            </wp:positionV>
            <wp:extent cx="31470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289560</wp:posOffset>
            </wp:positionV>
            <wp:extent cx="31470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lowerLetter"/>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lowerRoman"/>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1)"/>
      <w:numFmt w:val="lowerLetter"/>
      <w:start w:val="8"/>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lowerLetter"/>
      <w:start w:val="2"/>
    </w:lvl>
  </w:abstractNum>
  <w:abstractNum w:abstractNumId="11">
    <w:nsid w:val="109CF92E"/>
    <w:multiLevelType w:val="hybridMultilevel"/>
    <w:lvl w:ilvl="0">
      <w:lvlJc w:val="left"/>
      <w:lvlText w:val="%1"/>
      <w:numFmt w:val="decimal"/>
      <w:start w:val="1"/>
    </w:lvl>
    <w:lvl w:ilvl="1">
      <w:lvlJc w:val="left"/>
      <w:lvlText w:val="(%2)"/>
      <w:numFmt w:val="lowerLetter"/>
      <w:start w:val="3"/>
    </w:lvl>
  </w:abstractNum>
  <w:abstractNum w:abstractNumId="12">
    <w:nsid w:val="DED7263"/>
    <w:multiLevelType w:val="hybridMultilevel"/>
    <w:lvl w:ilvl="0">
      <w:lvlJc w:val="left"/>
      <w:lvlText w:val="%1."/>
      <w:numFmt w:val="decimal"/>
      <w:start w:val="3"/>
    </w:lvl>
    <w:lvl w:ilvl="1">
      <w:lvlJc w:val="left"/>
      <w:lvlText w:val="(%2)"/>
      <w:numFmt w:val="lowerLetter"/>
      <w:start w:val="1"/>
    </w:lvl>
  </w:abstractNum>
  <w:abstractNum w:abstractNumId="13">
    <w:nsid w:val="7FDCC233"/>
    <w:multiLevelType w:val="hybridMultilevel"/>
    <w:lvl w:ilvl="0">
      <w:lvlJc w:val="left"/>
      <w:lvlText w:val="%1."/>
      <w:numFmt w:val="decimal"/>
      <w:start w:val="4"/>
    </w:lvl>
  </w:abstractNum>
  <w:abstractNum w:abstractNumId="14">
    <w:nsid w:val="1BEFD79F"/>
    <w:multiLevelType w:val="hybridMultilevel"/>
    <w:lvl w:ilvl="0">
      <w:lvlJc w:val="left"/>
      <w:lvlText w:val="(%1)"/>
      <w:numFmt w:val="lowerRoman"/>
      <w:start w:val="1"/>
    </w:lvl>
    <w:lvl w:ilvl="1">
      <w:lvlJc w:val="left"/>
      <w:lvlText w:val="%2."/>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21" Type="http://schemas.openxmlformats.org/officeDocument/2006/relationships/hyperlink" Target="http://www.sec.gov/Archives/edgar/data/1681087/000119312518188630/d562006dex33.htm" TargetMode="External"/><Relationship Id="rId22" Type="http://schemas.openxmlformats.org/officeDocument/2006/relationships/hyperlink" Target="http://www.sec.gov/Archives/edgar/data/1681087/000119312518188630/d562006dex35.htm" TargetMode="External"/><Relationship Id="rId23" Type="http://schemas.openxmlformats.org/officeDocument/2006/relationships/hyperlink" Target="http://www.sec.gov/Archives/edgar/data/1681087/000119312518175024/d562006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2019-12-03T21:06:08Z</dcterms:created>
  <dcterms:modified xsi:type="dcterms:W3CDTF">2019-12-03T21:06:08Z</dcterms:modified>
</cp:coreProperties>
</file>