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333-280909</w:t>
      </w:r>
    </w:p>
    <w:p>
      <w:pPr>
        <w:spacing w:after="0" w:line="20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the Prospectus dated July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160020</wp:posOffset>
            </wp:positionV>
            <wp:extent cx="126873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Up to 2,969,583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ind w:left="120" w:right="320"/>
        <w:spacing w:after="0" w:line="262"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July 30, 2024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which forms a part of our registration statement on Form S-1 (No. 333-280909). This prospectus supplement is being filed to update and supplement the information in the Prospectus with certain information contained in our Quarterly Report on Form 10-Q filed with the Securities and Exchange Commission on November 12, 2024 (the “</w:t>
      </w:r>
      <w:r>
        <w:rPr>
          <w:rFonts w:ascii="Times New Roman" w:cs="Times New Roman" w:eastAsia="Times New Roman" w:hAnsi="Times New Roman"/>
          <w:sz w:val="18"/>
          <w:szCs w:val="18"/>
          <w:b w:val="1"/>
          <w:bCs w:val="1"/>
          <w:color w:val="auto"/>
        </w:rPr>
        <w:t>Quarterly Report</w:t>
      </w:r>
      <w:r>
        <w:rPr>
          <w:rFonts w:ascii="Times New Roman" w:cs="Times New Roman" w:eastAsia="Times New Roman" w:hAnsi="Times New Roman"/>
          <w:sz w:val="18"/>
          <w:szCs w:val="18"/>
          <w:color w:val="auto"/>
        </w:rPr>
        <w:t>”). Accordingly, we have attached the Quarterly Report to this prospectus supplement.</w:t>
      </w:r>
    </w:p>
    <w:p>
      <w:pPr>
        <w:spacing w:after="0" w:line="180" w:lineRule="exact"/>
        <w:rPr>
          <w:sz w:val="24"/>
          <w:szCs w:val="24"/>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proposed offer and resale or other disposition from time to time by the selling stockholders identified in the Prospectus of up to an aggregate of 2,969,583 shares of common stock, par value $0.0001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Tectonic Therapeutic, Inc.</w:t>
      </w:r>
    </w:p>
    <w:p>
      <w:pPr>
        <w:spacing w:after="0" w:line="176" w:lineRule="exact"/>
        <w:rPr>
          <w:sz w:val="24"/>
          <w:szCs w:val="24"/>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ticker symbol “TECX.” On February 11, 2025, the last reported sales price of our Common Stock was $31.87 per share.</w:t>
      </w:r>
    </w:p>
    <w:p>
      <w:pPr>
        <w:spacing w:after="0" w:line="162" w:lineRule="exact"/>
        <w:rPr>
          <w:sz w:val="24"/>
          <w:szCs w:val="24"/>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spacing w:after="0" w:line="158" w:lineRule="exact"/>
        <w:rPr>
          <w:sz w:val="24"/>
          <w:szCs w:val="24"/>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utilized except in connection with, the Prospectus, including any amendments or supplements thereto.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120" w:right="16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in the section titled “Risk Factors” beginning on page 9 of the Prospectus and under similar headings in any amendments or supplements to the Prospectus.</w:t>
      </w:r>
    </w:p>
    <w:p>
      <w:pPr>
        <w:spacing w:after="0" w:line="176" w:lineRule="exact"/>
        <w:rPr>
          <w:sz w:val="24"/>
          <w:szCs w:val="24"/>
          <w:color w:val="auto"/>
        </w:rPr>
      </w:pPr>
    </w:p>
    <w:p>
      <w:pPr>
        <w:jc w:val="both"/>
        <w:ind w:left="120" w:right="5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or the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12, 2025</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0"/>
          <w:szCs w:val="20"/>
          <w:color w:val="auto"/>
        </w:rPr>
      </w:pPr>
    </w:p>
    <w:p>
      <w:pPr>
        <w:ind w:left="540" w:right="10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0"/>
          <w:szCs w:val="20"/>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0"/>
          <w:szCs w:val="20"/>
          <w:color w:val="auto"/>
        </w:rPr>
      </w:pPr>
    </w:p>
    <w:p>
      <w:pPr>
        <w:jc w:val="center"/>
        <w:ind w:right="2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tab/>
        <w:t xml:space="preserve">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001-38537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214"/>
        </w:trPr>
        <w:tc>
          <w:tcPr>
            <w:tcW w:w="430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81-0710585</w:t>
            </w:r>
          </w:p>
        </w:tc>
      </w:tr>
      <w:tr>
        <w:trPr>
          <w:trHeight w:val="149"/>
        </w:trPr>
        <w:tc>
          <w:tcPr>
            <w:tcW w:w="430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20" w:type="dxa"/>
            <w:vAlign w:val="bottom"/>
          </w:tcPr>
          <w:p>
            <w:pPr>
              <w:jc w:val="center"/>
              <w:ind w:left="18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0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20" w:type="dxa"/>
            <w:vAlign w:val="bottom"/>
          </w:tcPr>
          <w:p>
            <w:pPr>
              <w:jc w:val="center"/>
              <w:ind w:left="18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30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490 Arsenal Way, Suite 210</w:t>
            </w:r>
          </w:p>
        </w:tc>
        <w:tc>
          <w:tcPr>
            <w:tcW w:w="3020" w:type="dxa"/>
            <w:vAlign w:val="bottom"/>
          </w:tcPr>
          <w:p>
            <w:pPr>
              <w:spacing w:after="0"/>
              <w:rPr>
                <w:sz w:val="24"/>
                <w:szCs w:val="24"/>
                <w:color w:val="auto"/>
              </w:rPr>
            </w:pPr>
          </w:p>
        </w:tc>
      </w:tr>
      <w:tr>
        <w:trPr>
          <w:trHeight w:val="227"/>
        </w:trPr>
        <w:tc>
          <w:tcPr>
            <w:tcW w:w="430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Watertown, MA</w:t>
            </w:r>
          </w:p>
        </w:tc>
        <w:tc>
          <w:tcPr>
            <w:tcW w:w="30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430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20" w:type="dxa"/>
            <w:vAlign w:val="bottom"/>
          </w:tcPr>
          <w:p>
            <w:pPr>
              <w:jc w:val="center"/>
              <w:ind w:left="18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(339) 666-3320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TECX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120" w:right="1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left="120"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140"/>
          </w:cols>
          <w:pgMar w:left="320" w:top="455" w:right="439" w:bottom="0" w:gutter="0" w:footer="0" w:header="0"/>
        </w:sectPr>
      </w:pPr>
    </w:p>
    <w:bookmarkStart w:id="2" w:name="page3"/>
    <w:bookmarkEnd w:id="2"/>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1, 2024, the registrant had 14,752,689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8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860" w:type="dxa"/>
            <w:vAlign w:val="bottom"/>
            <w:vMerge w:val="continue"/>
          </w:tcPr>
          <w:p>
            <w:pPr>
              <w:spacing w:after="0"/>
              <w:rPr>
                <w:sz w:val="16"/>
                <w:szCs w:val="16"/>
                <w:color w:val="auto"/>
              </w:rPr>
            </w:pPr>
          </w:p>
        </w:tc>
        <w:tc>
          <w:tcPr>
            <w:tcW w:w="2260" w:type="dxa"/>
            <w:vAlign w:val="bottom"/>
            <w:tcBorders>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8"/>
              </w:rPr>
              <w:t>FINANCIAL INFORMATION</w:t>
            </w:r>
          </w:p>
        </w:tc>
        <w:tc>
          <w:tcPr>
            <w:tcW w:w="7440" w:type="dxa"/>
            <w:vAlign w:val="bottom"/>
            <w:gridSpan w:val="12"/>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728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5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as of September 30, 2024 and December 31, 2023</w:t>
            </w:r>
          </w:p>
        </w:tc>
        <w:tc>
          <w:tcPr>
            <w:tcW w:w="312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2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 for the three and nine months ended September 30,</w:t>
            </w:r>
          </w:p>
        </w:tc>
        <w:tc>
          <w:tcPr>
            <w:tcW w:w="46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2024 and 2023</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97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Redeemable Convertible Preferred Stock and Stockholders’ Equity (Deficit) for the three and</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5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nine months ended September 30, 2024 and 2023</w:t>
            </w:r>
          </w:p>
        </w:tc>
        <w:tc>
          <w:tcPr>
            <w:tcW w:w="5840" w:type="dxa"/>
            <w:vAlign w:val="bottom"/>
            <w:tcBorders>
              <w:top w:val="single" w:sz="8" w:color="0000EE"/>
            </w:tcBorders>
            <w:gridSpan w:val="8"/>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8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September 30, 2024 and 2023</w:t>
            </w:r>
          </w:p>
        </w:tc>
        <w:tc>
          <w:tcPr>
            <w:tcW w:w="186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3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Unaudited Interim Condensed Financial Statements</w:t>
            </w:r>
          </w:p>
        </w:tc>
        <w:tc>
          <w:tcPr>
            <w:tcW w:w="532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24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34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92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7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3"/>
          </w:tcPr>
          <w:p>
            <w:pPr>
              <w:spacing w:after="0"/>
              <w:rPr>
                <w:sz w:val="17"/>
                <w:szCs w:val="17"/>
                <w:color w:val="auto"/>
              </w:rPr>
            </w:pPr>
          </w:p>
        </w:tc>
        <w:tc>
          <w:tcPr>
            <w:tcW w:w="782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36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738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17"/>
                <w:szCs w:val="17"/>
                <w:color w:val="auto"/>
              </w:rPr>
            </w:pPr>
          </w:p>
        </w:tc>
        <w:tc>
          <w:tcPr>
            <w:tcW w:w="794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9100" w:type="dxa"/>
            <w:vAlign w:val="bottom"/>
            <w:gridSpan w:val="2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8940" w:type="dxa"/>
            <w:vAlign w:val="bottom"/>
            <w:gridSpan w:val="2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are not historical facts and are considered forward-looking within the meaning of Section 27A of the Securities Act of 1933, as amended (the “Securities Act”), and Section 21E of the Securities Exchange Act of 1934, as amended (the “Exchange Act”). Our forward-looking statements include, but are not limited to, statements regarding our or our management team’s expectations, hopes, beliefs, intentions or strategies, our ability to fund our working capital requirements, our financial performance and our ability to effectively manage our anticipated growth, our ability to obtain additional funding for our operations, and other risks and uncertainties, including those listed under the section titled “Risk Factors” in this Quarterly Report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 looking statements in this Quarterly Report on Form 10-Q (“Quarterly Report”) may include, for example, statements about:</w:t>
      </w:r>
    </w:p>
    <w:p>
      <w:pPr>
        <w:spacing w:after="0" w:line="97" w:lineRule="exact"/>
        <w:rPr>
          <w:sz w:val="20"/>
          <w:szCs w:val="20"/>
          <w:color w:val="auto"/>
        </w:rPr>
      </w:pPr>
    </w:p>
    <w:p>
      <w:pPr>
        <w:ind w:left="1080" w:right="16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prospects, plans, expectations or objectives of management for our future operations;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scope or timing of the development of our product candidates;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surrounding the potential safety, efficacy, and regulatory and clinical progress of TX45 and any other product candidates, and our anticipated milestones and timing therefor;</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that may be derived from any of our future products or the commercial or market opportunity with respect to any of our future products;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additional product candidates using our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w:t>
      </w:r>
    </w:p>
    <w:p>
      <w:pPr>
        <w:spacing w:after="0" w:line="5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1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enroll patients in clinical trials, to timely and successfully complete those trials and to receive necessary regulatory approvals;</w:t>
      </w:r>
    </w:p>
    <w:p>
      <w:pPr>
        <w:spacing w:after="0" w:line="142"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of filings with regulatory authorities for any product candidates that we develop;</w:t>
      </w:r>
    </w:p>
    <w:p>
      <w:pPr>
        <w:spacing w:after="0" w:line="130" w:lineRule="exact"/>
        <w:rPr>
          <w:rFonts w:ascii="Times New Roman" w:cs="Times New Roman" w:eastAsia="Times New Roman" w:hAnsi="Times New Roman"/>
          <w:sz w:val="18"/>
          <w:szCs w:val="18"/>
          <w:color w:val="auto"/>
        </w:rPr>
      </w:pPr>
    </w:p>
    <w:p>
      <w:pPr>
        <w:ind w:left="1080" w:right="64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rate and degree of market acceptance for any current or future product candidates that we develop;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any milestone or royalty payments under our collaboration and license agreements.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our management’s current expectations, estimates, forecasts and projections about our business and the industry in which we operate, and management’s beliefs and assumptions and are not guarantees of future performance or development. These forward-looking statements are subject to a number of risks, uncertainties and assumptions, including those described under the section titled “Risk Factors” under Part II, Item 1A below, and under similar captions in our periodic reports filed with the SEC from time to time.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While we believe that information provides a reasonable basis for these statements, that information may be limited or incomplete. Our statements should not be read to indicate that we have conducted an exhaustive inquiry into, or review of, all relevant information.</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to conform these statements to new information, actual results or changes in our expectations, except as required by law.</w:t>
      </w:r>
    </w:p>
    <w:p>
      <w:pPr>
        <w:sectPr>
          <w:pgSz w:w="11900" w:h="16838" w:orient="portrait"/>
          <w:cols w:equalWidth="0" w:num="1">
            <w:col w:w="11120"/>
          </w:cols>
          <w:pgMar w:left="320" w:top="455" w:right="459" w:bottom="1440" w:gutter="0" w:footer="0" w:header="0"/>
        </w:sectPr>
      </w:pP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120"/>
          </w:cols>
          <w:pgMar w:left="320" w:top="455" w:right="4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8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7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159,095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28,769</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3,503</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2,115</w:t>
            </w:r>
          </w:p>
        </w:tc>
      </w:tr>
      <w:tr>
        <w:trPr>
          <w:trHeight w:val="27"/>
        </w:trPr>
        <w:tc>
          <w:tcPr>
            <w:tcW w:w="8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162,598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30,884</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equipment and improvements, net</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2,550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3,122</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right-of-use assets, net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1,025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1,437</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1,767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2,669</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587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168,717</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12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Convertible Preferred Stock and Stockholders’ Equity (Deficit)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2,635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12,737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8,141</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SAFE liabilities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30,515</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1,470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1,348</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liability - current portion</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r>
      <w:tr>
        <w:trPr>
          <w:trHeight w:val="223"/>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 net of current portion</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1,644</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liability - net of current portion</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513</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876</w:t>
            </w:r>
          </w:p>
        </w:tc>
      </w:tr>
      <w:tr>
        <w:trPr>
          <w:trHeight w:val="27"/>
        </w:trPr>
        <w:tc>
          <w:tcPr>
            <w:tcW w:w="8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18,356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43,408</w:t>
            </w: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8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A-1, A-2, A-3 and A-4), $0.0001 par value; 6,825,483 shares authorized as of</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6,825,483 shares issued and outstanding as of December 31, 2023; aggregate liquidation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preference of $87,459 as of December 31, 2023; no shares authorized, issued or outstanding as of September 30,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80,627</w:t>
            </w: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7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10,000,000 shares and no shares authorized as of September 30, 2024 and December 31, 2023,</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respectively; no shares issued and outstanding as of September 30, 2024 and December 31, 2023</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7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150,000,000 shares authorized as of September 30, 2024 and December 31,</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2023; 14,744,477 and 2,634,246 shares issued and outstanding as of September 30, 2024 and December 31,</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2023, respectively</w:t>
            </w:r>
          </w:p>
        </w:tc>
        <w:tc>
          <w:tcPr>
            <w:tcW w:w="16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286,649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5,979</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(136,213)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(90,604)</w:t>
            </w:r>
          </w:p>
        </w:tc>
      </w:tr>
      <w:tr>
        <w:trPr>
          <w:trHeight w:val="230"/>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150,361</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(84,636)</w:t>
            </w:r>
          </w:p>
        </w:tc>
        <w:tc>
          <w:tcPr>
            <w:tcW w:w="120" w:type="dxa"/>
            <w:vAlign w:val="bottom"/>
          </w:tcPr>
          <w:p>
            <w:pPr>
              <w:spacing w:after="0"/>
              <w:rPr>
                <w:sz w:val="20"/>
                <w:szCs w:val="20"/>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168,717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39,399</w:t>
            </w:r>
          </w:p>
        </w:tc>
      </w:tr>
      <w:tr>
        <w:trPr>
          <w:trHeight w:val="20"/>
        </w:trPr>
        <w:tc>
          <w:tcPr>
            <w:tcW w:w="8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32,208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29,774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30"/>
        </w:trPr>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(44,024)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(35,274)</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14,729,018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1,319,147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6,373,717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1,245,745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(17,733)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(45,675)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(34,954)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TECTONIC THERAPEUTIC, INC.</w:t>
      </w:r>
    </w:p>
    <w:p>
      <w:pPr>
        <w:spacing w:after="0" w:line="1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CONVERTIBLE PREFERRED STOCK AND STOCKHOLDERS’ EQUITY (DEFICIT)</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19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3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4"/>
        </w:trPr>
        <w:tc>
          <w:tcPr>
            <w:tcW w:w="326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January 1, 2024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6,825,483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80,627</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2,634,246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Retroactive application of reverse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recapitalization</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(3,177,808)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(1,226,452)</w:t>
            </w: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balance, beginning of period</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3,647,675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80,627</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1,407,794</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5,979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(90,604)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(84,636)</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1,535</w:t>
            </w: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(15,221)</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2024</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3,647,675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80,627</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1,409,329</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(105,825)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convertible preferred stock</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into common stock in connection with</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Merger</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(3,647,675)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(80,627)</w:t>
            </w: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3,647,675</w:t>
            </w: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80,627</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80,627</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265,165</w:t>
            </w: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to related party</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investors upon redemption of the SAFEs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1,470,839</w:t>
            </w: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34,125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34,125</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agreement, net of offering</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of $2,000</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4,163,606</w:t>
            </w: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94,600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94,601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the Merger</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3,777,709</w:t>
            </w:r>
          </w:p>
        </w:tc>
        <w:tc>
          <w:tcPr>
            <w:tcW w:w="22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78,156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78,157</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 costs in connection with the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Merger</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(9,937)</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(9,937)</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(12,671)</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June 30, 2024</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14,734,323</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w w:val="70"/>
              </w:rPr>
              <w:t>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284,922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(118,496)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10,154</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(17,717)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September 30, 2024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14,744,477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286,649</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(136,213)</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150,361</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204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3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January 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6,825,483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80,627</w:t>
            </w:r>
          </w:p>
        </w:tc>
        <w:tc>
          <w:tcPr>
            <w:tcW w:w="8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2,525,771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7"/>
              </w:rPr>
              <w:t>(47,781)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Retroactive application of reverse</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recapitalization</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(3,177,808)</w:t>
            </w:r>
          </w:p>
        </w:tc>
        <w:tc>
          <w:tcPr>
            <w:tcW w:w="140" w:type="dxa"/>
            <w:vAlign w:val="bottom"/>
          </w:tcPr>
          <w:p>
            <w:pPr>
              <w:spacing w:after="0"/>
              <w:rPr>
                <w:sz w:val="20"/>
                <w:szCs w:val="20"/>
                <w:color w:val="auto"/>
              </w:rPr>
            </w:pPr>
          </w:p>
        </w:tc>
        <w:tc>
          <w:tcPr>
            <w:tcW w:w="6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(1,175,948)</w:t>
            </w:r>
          </w:p>
        </w:tc>
        <w:tc>
          <w:tcPr>
            <w:tcW w:w="20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balance, beginning of period</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3,647,675</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80,627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1,349,823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(47,781)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(45,654)</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686</w:t>
            </w:r>
          </w:p>
        </w:tc>
        <w:tc>
          <w:tcPr>
            <w:tcW w:w="2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(14,445)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(14,445)</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2023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3,647,675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80,627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1,350,509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2,403</w:t>
            </w:r>
          </w:p>
        </w:tc>
        <w:tc>
          <w:tcPr>
            <w:tcW w:w="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(62,226)</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(59,823)</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(10,455)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(10,455)</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June 30, 2023</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3,647,675</w:t>
            </w:r>
          </w:p>
        </w:tc>
        <w:tc>
          <w:tcPr>
            <w:tcW w:w="2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80,627</w:t>
            </w:r>
          </w:p>
        </w:tc>
        <w:tc>
          <w:tcPr>
            <w:tcW w:w="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1,350,509</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7"/>
              </w:rPr>
              <w:t>(72,681)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(10,054)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(10,054)</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September 30, 2023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3,647,675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80,627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1,350,509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2,955</w:t>
            </w:r>
          </w:p>
        </w:tc>
        <w:tc>
          <w:tcPr>
            <w:tcW w:w="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(82,735)</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(79,780)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(45,609)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(34,954)</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lease expense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4,019</w:t>
            </w: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9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(42,259)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(29,024)</w:t>
            </w:r>
          </w:p>
        </w:tc>
        <w:tc>
          <w:tcPr>
            <w:tcW w:w="0" w:type="dxa"/>
            <w:vAlign w:val="bottom"/>
          </w:tcPr>
          <w:p>
            <w:pPr>
              <w:spacing w:after="0"/>
              <w:rPr>
                <w:sz w:val="1"/>
                <w:szCs w:val="1"/>
                <w:color w:val="auto"/>
              </w:rPr>
            </w:pPr>
          </w:p>
        </w:tc>
      </w:tr>
      <w:tr>
        <w:trPr>
          <w:trHeight w:val="223"/>
        </w:trPr>
        <w:tc>
          <w:tcPr>
            <w:tcW w:w="9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equipment and improvements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30"/>
        </w:trPr>
        <w:tc>
          <w:tcPr>
            <w:tcW w:w="9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Subscription Agreement, net of offering costs of $2,000</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acquired in connection with the Merger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85,230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for Merger transaction costs</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7"/>
        </w:trPr>
        <w:tc>
          <w:tcPr>
            <w:tcW w:w="9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172,783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3"/>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130,326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(29,636)</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beginning of period</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36,553</w:t>
            </w:r>
          </w:p>
        </w:tc>
        <w:tc>
          <w:tcPr>
            <w:tcW w:w="0" w:type="dxa"/>
            <w:vAlign w:val="bottom"/>
          </w:tcPr>
          <w:p>
            <w:pPr>
              <w:spacing w:after="0"/>
              <w:rPr>
                <w:sz w:val="1"/>
                <w:szCs w:val="1"/>
                <w:color w:val="auto"/>
              </w:rPr>
            </w:pPr>
          </w:p>
        </w:tc>
      </w:tr>
      <w:tr>
        <w:trPr>
          <w:trHeight w:val="27"/>
        </w:trPr>
        <w:tc>
          <w:tcPr>
            <w:tcW w:w="9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159,682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6,917</w:t>
            </w:r>
          </w:p>
        </w:tc>
        <w:tc>
          <w:tcPr>
            <w:tcW w:w="0" w:type="dxa"/>
            <w:vAlign w:val="bottom"/>
          </w:tcPr>
          <w:p>
            <w:pPr>
              <w:spacing w:after="0"/>
              <w:rPr>
                <w:sz w:val="1"/>
                <w:szCs w:val="1"/>
                <w:color w:val="auto"/>
              </w:rPr>
            </w:pPr>
          </w:p>
        </w:tc>
      </w:tr>
      <w:tr>
        <w:trPr>
          <w:trHeight w:val="20"/>
        </w:trPr>
        <w:tc>
          <w:tcPr>
            <w:tcW w:w="9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159,095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6,330</w:t>
            </w: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7"/>
        </w:trPr>
        <w:tc>
          <w:tcPr>
            <w:tcW w:w="9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159,682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6,917</w:t>
            </w:r>
          </w:p>
        </w:tc>
        <w:tc>
          <w:tcPr>
            <w:tcW w:w="0" w:type="dxa"/>
            <w:vAlign w:val="bottom"/>
          </w:tcPr>
          <w:p>
            <w:pPr>
              <w:spacing w:after="0"/>
              <w:rPr>
                <w:sz w:val="1"/>
                <w:szCs w:val="1"/>
                <w:color w:val="auto"/>
              </w:rPr>
            </w:pPr>
          </w:p>
        </w:tc>
      </w:tr>
      <w:tr>
        <w:trPr>
          <w:trHeight w:val="20"/>
        </w:trPr>
        <w:tc>
          <w:tcPr>
            <w:tcW w:w="9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transaction costs included in accounts payable and accrued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SAFEs to 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Preferred Stock to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80,627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equipment through the end of the finance leases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560" w:right="8360" w:hanging="444"/>
        <w:spacing w:after="0" w:line="378" w:lineRule="auto"/>
        <w:tabs>
          <w:tab w:leader="none" w:pos="3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b w:val="1"/>
          <w:bCs w:val="1"/>
          <w:i w:val="1"/>
          <w:iCs w:val="1"/>
          <w:color w:val="auto"/>
        </w:rPr>
        <w:t>Business</w:t>
      </w:r>
    </w:p>
    <w:p>
      <w:pPr>
        <w:ind w:left="560" w:right="200"/>
        <w:spacing w:after="0" w:line="281" w:lineRule="auto"/>
        <w:rPr>
          <w:sz w:val="20"/>
          <w:szCs w:val="20"/>
          <w:color w:val="auto"/>
        </w:rPr>
      </w:pPr>
      <w:r>
        <w:rPr>
          <w:rFonts w:ascii="Times New Roman" w:cs="Times New Roman" w:eastAsia="Times New Roman" w:hAnsi="Times New Roman"/>
          <w:sz w:val="17"/>
          <w:szCs w:val="17"/>
          <w:color w:val="auto"/>
        </w:rPr>
        <w:t>Tectonic Therapeutic, Inc. (formerly AVROBIO, Inc.) (the “Company” or “Tectonic”) is a clinical-stage biotechnology company focused on the discovery and development of therapeutic proteins and antibodies that modulate the activity of G-protein coupled receptors (“GPCRs”). The Company focuses on areas of significant unmet medical need, often where therapeutic options are poor or nonexistent, as these are areas where new medicines have the potential to improve patient quality of life. The Company’s corporate headquarters are in Watertown, Massachusetts.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Reverse Merger and Pre-Merger Financing Transaction</w:t>
      </w:r>
    </w:p>
    <w:p>
      <w:pPr>
        <w:spacing w:after="0" w:line="121" w:lineRule="exact"/>
        <w:rPr>
          <w:sz w:val="20"/>
          <w:szCs w:val="20"/>
          <w:color w:val="auto"/>
        </w:rPr>
      </w:pPr>
    </w:p>
    <w:p>
      <w:pPr>
        <w:ind w:left="560" w:right="120"/>
        <w:spacing w:after="0" w:line="255" w:lineRule="auto"/>
        <w:rPr>
          <w:sz w:val="20"/>
          <w:szCs w:val="20"/>
          <w:color w:val="auto"/>
        </w:rPr>
      </w:pPr>
      <w:r>
        <w:rPr>
          <w:rFonts w:ascii="Times New Roman" w:cs="Times New Roman" w:eastAsia="Times New Roman" w:hAnsi="Times New Roman"/>
          <w:sz w:val="18"/>
          <w:szCs w:val="18"/>
          <w:color w:val="auto"/>
        </w:rPr>
        <w:t>On June 20, 2024, the Company completed its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The Merger is being accounted for as a reverse recapitalization in accordance with generally accepted accounting principles in the United States of America (“GAAP”), with AVROBIO treated as the acquired company for financial reporting purposes, and Legacy Tectonic treated as the accounting acquirer.</w:t>
      </w:r>
    </w:p>
    <w:p>
      <w:pPr>
        <w:spacing w:after="0" w:line="189"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Upon the closing of the Merger, each outstanding share of Legacy Tectonic’s common stock, including outstanding and unvested restricted stock, was converted into the right to receive a number of shares of AVROBIO’s common stock based on an exchange ratio of 0.53 (the “Exchange Ratio”), as defined in the Merger Agreement, after giving effect to the 1-for-12 reverse stock split of AVROBIO common stock that was effected on June 20, 2024. The exchange ratio was retroactively applied to all outstanding common shares, convertible preferred shares, stock options and restricted stock.</w:t>
      </w:r>
    </w:p>
    <w:p>
      <w:pPr>
        <w:spacing w:after="0" w:line="183"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Each outstanding and unexercised option to purchase shares of Legacy Tectonic’s common stock immediately prior to closing was assumed by AVROBIO and was converted into an option to purchase shares of AVROBIO common stock, with necessary adjustments to the number of shares and exercise price to reflect the Exchange Ratio. All of Legacy Tectonic’s restricted common stock outstanding and unvested immediately prior to the closing that was assumed by AVROBIO in the Merger remains unvested to the same extent and is subject to the same repurchase option, risk of forfeiture or other condition under any applicable restricted stock purchase agreement.</w:t>
      </w:r>
    </w:p>
    <w:p>
      <w:pPr>
        <w:spacing w:after="0" w:line="183" w:lineRule="exact"/>
        <w:rPr>
          <w:sz w:val="20"/>
          <w:szCs w:val="20"/>
          <w:color w:val="auto"/>
        </w:rPr>
      </w:pPr>
    </w:p>
    <w:p>
      <w:pPr>
        <w:ind w:left="560" w:right="80"/>
        <w:spacing w:after="0" w:line="256" w:lineRule="auto"/>
        <w:rPr>
          <w:sz w:val="20"/>
          <w:szCs w:val="20"/>
          <w:color w:val="auto"/>
        </w:rPr>
      </w:pPr>
      <w:r>
        <w:rPr>
          <w:rFonts w:ascii="Times New Roman" w:cs="Times New Roman" w:eastAsia="Times New Roman" w:hAnsi="Times New Roman"/>
          <w:sz w:val="18"/>
          <w:szCs w:val="18"/>
          <w:color w:val="auto"/>
        </w:rPr>
        <w:t>Legacy Tectonic stockholders received 10,956,614 shares of AVROBIO common stock in connection with the Merger, including 11,447 shares of AVROBIO restricted common stock subject to vesting terms, of which 4,588 have since vested subsequent to the closing of the Merger, based on the number of shares of Legacy Tectonic common stock outstanding immediately prior to the Merger, including restricted stock, the number of shares of common stock issued to investors participating in the Subscription Agreements (as defined below) and SAFEs, and Legacy Tectonic convertible preferred stock outstanding immediately prior to the Merger, which was converted into shares of Legacy Tectonic common stock on a one-for-one basis immediately prior to the closing of the Merger.</w:t>
      </w:r>
    </w:p>
    <w:p>
      <w:pPr>
        <w:spacing w:after="0" w:line="187" w:lineRule="exact"/>
        <w:rPr>
          <w:sz w:val="20"/>
          <w:szCs w:val="20"/>
          <w:color w:val="auto"/>
        </w:rPr>
      </w:pPr>
    </w:p>
    <w:p>
      <w:pPr>
        <w:ind w:left="560"/>
        <w:spacing w:after="0" w:line="272" w:lineRule="auto"/>
        <w:rPr>
          <w:sz w:val="20"/>
          <w:szCs w:val="20"/>
          <w:color w:val="auto"/>
        </w:rPr>
      </w:pPr>
      <w:r>
        <w:rPr>
          <w:rFonts w:ascii="Times New Roman" w:cs="Times New Roman" w:eastAsia="Times New Roman" w:hAnsi="Times New Roman"/>
          <w:sz w:val="17"/>
          <w:szCs w:val="17"/>
          <w:color w:val="auto"/>
        </w:rPr>
        <w:t>In connection with the Merger, the Company and its designated rights agent entered into a contingent value rights agreement (the “CVR Agreement”). Pursuant to the CVR Agreement, each holder of AVROBIO common stock immediately prior to the closing received a contractual contingent value right (“CVR”) subject to and in accordance with the terms and conditions of the CVR Agreement, representing the contractual right to receive a pro rata portion of any net proceeds, if any, as a resulting from a disposition of certain AVROBIO intellectual property (including a license of AVROBIO’s pre-closing assets as defined in the CVR Agreement) after the closing and prior to the 18-month anniversary of the closing, received within a 10-year period following the closing; provided that no contingent payment will be payable to any holder of the CVRs until such time as the then-outstanding and undistributed proceeds exceeds $0.4 million in the aggregate. As of September 30, 2024, no proceeds have been received under the CVR Agreement. As of September 30, 2024 there is no liability recorded in connection with the CVR Agreement.</w:t>
      </w:r>
    </w:p>
    <w:p>
      <w:pPr>
        <w:spacing w:after="0" w:line="172"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Concurrently with the closing of the Merger, certain investors of Legacy Tectonic completed the purchase of 7,790,889 shares of Legacy Tectonic common stock pursuant to that certain Subscription Agreement dated January 30, 2024 (the “Subscription Agreement”) at a purchase price of $12.40 per share for an aggregate purchase price of $96.6 million. Shares of Legacy Tectonic common stock issued pursuant to the Subscription Agreements were converted into 4,163,606 shares of AVROBIO common stock at the closing of the Merger based on the Exchange Ratio, pursuant to the Merger Agreement.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183" w:lineRule="exact"/>
        <w:rPr>
          <w:sz w:val="20"/>
          <w:szCs w:val="20"/>
          <w:color w:val="auto"/>
        </w:rPr>
      </w:pPr>
    </w:p>
    <w:p>
      <w:pPr>
        <w:ind w:left="560" w:right="60"/>
        <w:spacing w:after="0" w:line="247" w:lineRule="auto"/>
        <w:rPr>
          <w:sz w:val="20"/>
          <w:szCs w:val="20"/>
          <w:color w:val="auto"/>
        </w:rPr>
      </w:pPr>
      <w:r>
        <w:rPr>
          <w:rFonts w:ascii="Times New Roman" w:cs="Times New Roman" w:eastAsia="Times New Roman" w:hAnsi="Times New Roman"/>
          <w:sz w:val="17"/>
          <w:szCs w:val="17"/>
          <w:color w:val="auto"/>
        </w:rPr>
        <w:t>The Company’s proprietary GEODe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560" w:right="180"/>
        <w:spacing w:after="0" w:line="255" w:lineRule="auto"/>
        <w:rPr>
          <w:sz w:val="20"/>
          <w:szCs w:val="20"/>
          <w:color w:val="auto"/>
        </w:rPr>
      </w:pPr>
      <w:r>
        <w:rPr>
          <w:rFonts w:ascii="Times New Roman" w:cs="Times New Roman" w:eastAsia="Times New Roman" w:hAnsi="Times New Roman"/>
          <w:sz w:val="18"/>
          <w:szCs w:val="18"/>
          <w:color w:val="auto"/>
        </w:rPr>
        <w:t>As of September 30, 2024, the Company had an accumulated deficit of $136.2 million and has incurred losses and negative cash flows from operations since inception, including a net loss of $17.7 million and $45.6 million for the three and nine months ended September 30, 2024, respectively. To date, the Company has financed its operations primarily through the issuance of common stock, convertible preferred stock, convertible promissory notes and Simple Agreements for Future Equity (“SAFEs”). The Company has devoted substantially all of its financial resources and efforts to business planning, conducting research and development, recruiting management and technical staff, and raising capital. Management expects that the Company’s operating losses and negative cash flows will continue for the foreseeable future as it continues to develop its product candidates.</w:t>
      </w:r>
    </w:p>
    <w:p>
      <w:pPr>
        <w:spacing w:after="0" w:line="189"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Management believes that its current cash on hand, which includes the proceeds related to the Merger and Subscription Agreements, is sufficient to fund the Company’s planned operations for at least one year from the date of issuance of these unaudited condensed consolidated financial statements.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left="560" w:right="64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there were no significant changes to the Company’s significant accounting policies as described in the Company’s audited consolidated financial statements as of and for the years ended December 31, 2023 and 2022.</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conformity with GAAP and the rules and regulations of the Securities and Exchange Commission (“SEC”). Any reference in these notes to applicable guidance is meant to refer to GAAP, as found in the Accounting Standards Codification (“ASC”) and Accounting Standards Updates (“ASU”) of the Financial Accounting Standards Board (“FASB”). In the opinion of the Company, the accompanying unaudited condensed consolidated financial statements contain all adjustments, consisting of only normal recurring adjustments, necessary for a fair presentation of its financial position and its results of operations, changes in convertible preferred stock and stockholders’ equity (deficit) and cash flows. The information as of December 31, 2023 included in the unaudited interim condensed consolidated balance sheets was derived from audited annual consolidated financial statements but does not contain all of the footnote disclosures from the audited annual consolidated financial statements.</w:t>
      </w:r>
    </w:p>
    <w:p>
      <w:pPr>
        <w:spacing w:after="0" w:line="192" w:lineRule="exact"/>
        <w:rPr>
          <w:sz w:val="20"/>
          <w:szCs w:val="20"/>
          <w:color w:val="auto"/>
        </w:rPr>
      </w:pPr>
    </w:p>
    <w:p>
      <w:pPr>
        <w:ind w:left="560" w:right="40"/>
        <w:spacing w:after="0" w:line="282"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audited annual consolidated financial statements as of and for the years ended December 31, 2023 and 2022.</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560" w:right="180"/>
        <w:spacing w:after="0" w:line="261"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expenses during the reporting periods. Significant items subject to such estimates and assumptions include the contract research accruals, stock-based compensation expense, the fair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340"/>
        <w:spacing w:after="0" w:line="266" w:lineRule="auto"/>
        <w:rPr>
          <w:sz w:val="20"/>
          <w:szCs w:val="20"/>
          <w:color w:val="auto"/>
        </w:rPr>
      </w:pPr>
      <w:r>
        <w:rPr>
          <w:rFonts w:ascii="Times New Roman" w:cs="Times New Roman" w:eastAsia="Times New Roman" w:hAnsi="Times New Roman"/>
          <w:sz w:val="18"/>
          <w:szCs w:val="18"/>
          <w:color w:val="auto"/>
        </w:rPr>
        <w:t>value of the Company’s common stock, the income tax valuation allowance, and the fair value determination of the SAFEs. Management’s estimates are based on historical experience and various other assumptions that it believes are reasonable under the circumstances. Changes in estimates are recorded in the period in which they become known. Actual results could differ from those estimates.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560" w:right="60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balances and transactions have been eliminated in consolidation.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ind w:left="560" w:right="8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are adopted by the Company as of the specified effective dates. Unless otherwise discussed, the impact of recently issued standards that are not yet effective are not anticipated to have a material impact on the Company’s condensed consolidated financial statements upon adoption.</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280) (“ASU 2023-07”), which enhances the segment disclosure requirements for public entities on an annual and interim basis. Under ASU 2023-07, public entities will be required to disclose significant segment expenses that are regularly provided to the chief operating decision maker (“CODM”) and included within each reported measure of segment profit or loss. Additionally, current annual disclosures about a reportable segment’s profit or loss and assets will be required on an interim basis. Entities will also be required to disclose information about the CODM’s title and position at the Company along with an explanation of how the CODM uses the reported measures of segment profit or loss in their assessment of segment performance and deciding whether how to allocate resources. Finally, ASU 2023-07 requires all segment disclosures for public entities that have only a single reportable segment. The amendments in ASU 2023-07 are effective for fiscal years beginning after December 15, 2023, and interim periods within fiscal years beginning after December 15, 2024, and early adoption is permitted. The Company is currently evaluating the impact of ASU 2023-07 on its financial statements.</w:t>
      </w:r>
    </w:p>
    <w:p>
      <w:pPr>
        <w:spacing w:after="0" w:line="185"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is currently evaluating the impact of ASU 2023-09 on its financial statements.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MERGER</w:t>
      </w:r>
    </w:p>
    <w:p>
      <w:pPr>
        <w:spacing w:after="0" w:line="121"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As described in Note 1 “Description of Business,” the Company completed its previously announced Merger with AVROBIO on June 20, 2024. The Merger was accounted for as a reverse recapitalization in accordance with GAAP with Legacy Tectonic as the accounting acquirer of AVROBIO. At the effective time of the Merger, substantially all the assets of AVROBIO consisted of cash and cash equivalents, as well as other nominal non-operating assets. Under such reverse recapitalization accounting, the assets and liabilities of AVROBIO were recorded at their fair value in AVROBIO’s financial statements at the effective time of the Merger, which approximated book value due to their short-term nature. No goodwill or intangible assets were recognized. Consequently, the condensed consolidated financial statements of the Company reflect the historical operations of Legacy Tectonic for accounting purposes together with the issuance of shares to the former shareholders of AVROBIO, the legal acquirer, and a recapitalization of the equity of Legacy Tectonic, the accounting acquirer. The exchange ratio was retroactively applied to all outstanding common shares, convertible preferred shares, stock options and restricted stock of Legacy Tectonic.</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part of the recapitalization, Legacy Tectonic obtained the assets and liabilities listed below:</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$85,230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6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64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78,156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560" w:right="100"/>
        <w:spacing w:after="0" w:line="266" w:lineRule="auto"/>
        <w:rPr>
          <w:sz w:val="20"/>
          <w:szCs w:val="20"/>
          <w:color w:val="auto"/>
        </w:rPr>
      </w:pPr>
      <w:r>
        <w:rPr>
          <w:rFonts w:ascii="Times New Roman" w:cs="Times New Roman" w:eastAsia="Times New Roman" w:hAnsi="Times New Roman"/>
          <w:sz w:val="18"/>
          <w:szCs w:val="18"/>
          <w:color w:val="auto"/>
        </w:rPr>
        <w:t>The Company incurred transaction costs of $9.9 million, of which $2.3 million was recorded within accrued expenses and other current liabilities and $0.2 million was recorded within accounts payable on the condensed consolidated balance sheet as of September 30, 2024. $9.9 million was recorded as a reduction to additional paid-in capital in the condensed consolidated balance sheet.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55" w:lineRule="auto"/>
        <w:rPr>
          <w:sz w:val="20"/>
          <w:szCs w:val="20"/>
          <w:color w:val="auto"/>
        </w:rPr>
      </w:pPr>
      <w:r>
        <w:rPr>
          <w:rFonts w:ascii="Times New Roman" w:cs="Times New Roman" w:eastAsia="Times New Roman" w:hAnsi="Times New Roman"/>
          <w:sz w:val="18"/>
          <w:szCs w:val="18"/>
          <w:color w:val="auto"/>
        </w:rPr>
        <w:t>With respect to the CVRs issued in connection with the Merger, the Company believes that any receipt of payments resulting from an AVROBIO disposition of AVROBIO’s pre-closing assets described in the CVR Agreement are highly susceptible to factors outside the Company’s influence that are not expected to be resolved within the timeline outlined in the CVR Agreement, if at all. In particular, these amounts are primarily influenced by the actions and judgments of third parties and the buyers of such assets and are based on the buyers of such assets progressing the specific platform and intellectual property and early stage of research and development programs. If the Company were to record a receivable for such contingent payments, it would also record a corresponding liability. As of September 30, 2024, no receivables or liabilities were recorded on the condensed consolidated balance sheet relating to such contingent payments.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financial assets and liabilities measured at fair value on a recurring basis and indicate the level of the fair value hierarchy utilized to determine such fair values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Money market funds</w:t>
            </w:r>
          </w:p>
        </w:tc>
        <w:tc>
          <w:tcPr>
            <w:tcW w:w="960" w:type="dxa"/>
            <w:vAlign w:val="bottom"/>
            <w:gridSpan w:val="5"/>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160,769</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160,769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160,769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160,769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Money market funds</w:t>
            </w:r>
          </w:p>
        </w:tc>
        <w:tc>
          <w:tcPr>
            <w:tcW w:w="68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27,278</w:t>
            </w:r>
          </w:p>
        </w:tc>
        <w:tc>
          <w:tcPr>
            <w:tcW w:w="2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5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27,278</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27,278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27,278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SAFE liabilities</w:t>
            </w:r>
          </w:p>
        </w:tc>
        <w:tc>
          <w:tcPr>
            <w:tcW w:w="2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gridSpan w:val="2"/>
          </w:tcPr>
          <w:p>
            <w:pPr>
              <w:spacing w:after="0"/>
              <w:rPr>
                <w:sz w:val="18"/>
                <w:szCs w:val="18"/>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30,515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30,515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1120" w:type="dxa"/>
            <w:vAlign w:val="bottom"/>
            <w:gridSpan w:val="6"/>
            <w:shd w:val="clear" w:color="auto" w:fill="CCEEFF"/>
          </w:tcPr>
          <w:p>
            <w:pPr>
              <w:ind w:lef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30,515</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Money market funds are included in cash and cash equivalents on the condensed consolidated balance sheets and are classified within Level 1 of the fair value hierarchy because they are valued using quoted market prices.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transfers between the Level 1, Level 2 or Level 3 categories during the nine months ended September 30, 2024 and 2023.</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SAFE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From October through December 2023, Legacy Tectonic entered into multiple SAFE agreements with certain existing investors and received</w:t>
      </w:r>
    </w:p>
    <w:p>
      <w:pPr>
        <w:spacing w:after="0" w:line="27" w:lineRule="exact"/>
        <w:rPr>
          <w:sz w:val="20"/>
          <w:szCs w:val="20"/>
          <w:color w:val="auto"/>
        </w:rPr>
      </w:pPr>
    </w:p>
    <w:p>
      <w:pPr>
        <w:ind w:left="560" w:right="140"/>
        <w:spacing w:after="0" w:line="253" w:lineRule="auto"/>
        <w:rPr>
          <w:sz w:val="20"/>
          <w:szCs w:val="20"/>
          <w:color w:val="auto"/>
        </w:rPr>
      </w:pPr>
      <w:r>
        <w:rPr>
          <w:rFonts w:ascii="Times New Roman" w:cs="Times New Roman" w:eastAsia="Times New Roman" w:hAnsi="Times New Roman"/>
          <w:sz w:val="18"/>
          <w:szCs w:val="18"/>
          <w:color w:val="auto"/>
        </w:rPr>
        <w:t>$34.1 million. Prior to redemption, the SAFE liabilities were valued using a probability weighted scenario analysis and discount rates derived by application of the build-up method to reflect the cost of equity. The valuation model required a variety of inputs, including the probability of occurrence of events that would trigger conversion or redemption of the SAFEs, the expected timing of such events, and a discount rate. All investors were considered related parties of the Company.</w:t>
      </w:r>
    </w:p>
    <w:p>
      <w:pPr>
        <w:spacing w:after="0" w:line="189"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Upon the closing of the Merger, the principal balance of the SAFEs was automatically redeemed for 2,752,216 shares of Legacy Tectonic common stock at the conversion price of $12.40 per share immediately prior to the Merger closing. As such the valuation inputs utilized to adjust the SAFE liability to fair value upon the closing of the Merger was $12.40. At closing, shares of Legacy Tectonic common stock issued pursuant to the redemption of Legacy Tectonic SAFEs were converted into 1,470,839 shares of AVROBIO common stock based on the Exchange Ratio, pursuant to the Merger Agreement.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The following table presents activity for the SAFE liabilities that were measured at fair value using significant unobservable Level 3 inputs during the nine months ended September 30, 2024 and the year ended December 31, 2023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SAFE Liabilities</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Initial fair value recognition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31,515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issuance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adjustments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adjustments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Conversion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EQUIPMENT AND IMPROVEMENTS, NET</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2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Property, equipment and improvements, net is comprised of the following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24"/>
                <w:szCs w:val="2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right"/>
              <w:ind w:right="296"/>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4,978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(2,652)</w:t>
            </w:r>
          </w:p>
        </w:tc>
        <w:tc>
          <w:tcPr>
            <w:tcW w:w="128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(1,856)</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3,122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expense during the three and nine months ended September 30, 2024 and 2023 was recorded as follows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316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24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4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8"/>
                <w:szCs w:val="18"/>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40" w:type="dxa"/>
            <w:vAlign w:val="bottom"/>
          </w:tcPr>
          <w:p>
            <w:pPr>
              <w:spacing w:after="0"/>
              <w:rPr>
                <w:sz w:val="19"/>
                <w:szCs w:val="19"/>
                <w:color w:val="auto"/>
              </w:rPr>
            </w:pPr>
          </w:p>
        </w:tc>
      </w:tr>
      <w:tr>
        <w:trPr>
          <w:trHeight w:val="216"/>
        </w:trPr>
        <w:tc>
          <w:tcPr>
            <w:tcW w:w="44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281</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808</w:t>
            </w:r>
          </w:p>
        </w:tc>
        <w:tc>
          <w:tcPr>
            <w:tcW w:w="5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732</w:t>
            </w:r>
          </w:p>
        </w:tc>
      </w:tr>
      <w:tr>
        <w:trPr>
          <w:trHeight w:val="20"/>
        </w:trPr>
        <w:tc>
          <w:tcPr>
            <w:tcW w:w="4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 is comprised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9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Tectonic transaction costs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Accrued AVROBIO transaction costs</w:t>
            </w: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1,369</w:t>
            </w:r>
          </w:p>
        </w:tc>
        <w:tc>
          <w:tcPr>
            <w:tcW w:w="1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related costs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3,106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2,840</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1,934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contract research organization fees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2,196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2,298</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development and manufacturing organization fees</w:t>
            </w: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985</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office and laboratory costs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744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12,737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8,141</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7400" w:hanging="444"/>
        <w:spacing w:after="0" w:line="378" w:lineRule="auto"/>
        <w:tabs>
          <w:tab w:leader="none" w:pos="3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Harvard Agreement</w:t>
      </w:r>
    </w:p>
    <w:p>
      <w:pPr>
        <w:ind w:left="560"/>
        <w:spacing w:after="0" w:line="254" w:lineRule="auto"/>
        <w:rPr>
          <w:sz w:val="20"/>
          <w:szCs w:val="20"/>
          <w:color w:val="auto"/>
        </w:rPr>
      </w:pPr>
      <w:r>
        <w:rPr>
          <w:rFonts w:ascii="Times New Roman" w:cs="Times New Roman" w:eastAsia="Times New Roman" w:hAnsi="Times New Roman"/>
          <w:sz w:val="18"/>
          <w:szCs w:val="18"/>
          <w:color w:val="auto"/>
        </w:rPr>
        <w:t>In July 2020, Legacy Tectonic entered into an agreement with the President and Fellows of Harvard College (“Harvard”), for an option fee in the low five digits, whereby Harvard granted Legacy Tectonic an exclusive option to negotiate a worldwide, exclusive, royalty-bearing license under Harvard’s interest in the patent rights covering certain technology that was developed by Harvard. In October 2021, Legacy Tectonic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Management concluded that the acquisition of patents and materials received under the License Agreement represents an asset acquisition of an in-progress research and development asset without future alternative use; therefore, any consideration paid was expensed.</w:t>
      </w:r>
    </w:p>
    <w:p>
      <w:pPr>
        <w:spacing w:after="0" w:line="188"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As consideration for the License Agreement, Legacy Tectonic agreed to pay Harvard a non-refundable license fee, consisting of a cash payment due in three equal annual installments, in total amounting to $170,000. The first two installments were paid in July 2022 and 2023 and the third installment was made in July 2024. As partial consideration for the Harvard License Agreement, the Company entered into a subscription agreement with Harvard in July 2022, pursuant to which Harvard was granted 227,486 shares of common stock with a fair market value in the mid six digits.</w:t>
      </w:r>
    </w:p>
    <w:p>
      <w:pPr>
        <w:spacing w:after="0" w:line="183"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The Company also will be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(3)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Company is also required to pay a one-time milestone payment of $100,000 for each discovered product granted FDA marketing authorization as well as for the first licensed product or know-how enabled product to reach certain clinical developmental milestones, up to $8.5 million and for the first licensed product or know-how enabled product to reach certain commercial milestones, up to $2.0 million.</w:t>
      </w:r>
    </w:p>
    <w:p>
      <w:pPr>
        <w:spacing w:after="0" w:line="190"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The royalty term from sales of Know-How Enabled Products will terminate on the earlier of (i) ten years after the first commercial sale of the first Know-How Enabled Product and (ii) twelve years after the first commercial sale of the first Licensed Product. There was $0.1 million due to Harvard as of September 30, 2024. During the three months ended September 30, 2024 and 2023, the Company paid $0.1 million and less than $0.1 million, respectively, and during each of the nine months ended September 30, 2024 and 2023, the Company paid $0.2 million to Harvard.</w:t>
      </w:r>
    </w:p>
    <w:p>
      <w:pPr>
        <w:spacing w:after="0" w:line="180"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The Harvard License Agreement meets the criteria to be considered a related party transaction due to the Company’s co-founders’ employment as professors in the Harvard Department of Molecular Pharmacology. Additionally, both co-founders served on the board for a portion of the nine months ended September 30, 2024, with one stepping down in June. One co-founder is a shareholder in the Company.</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Alloy Therapeutics License Agreement</w:t>
      </w:r>
    </w:p>
    <w:p>
      <w:pPr>
        <w:spacing w:after="0" w:line="229" w:lineRule="exact"/>
        <w:rPr>
          <w:sz w:val="20"/>
          <w:szCs w:val="20"/>
          <w:color w:val="auto"/>
        </w:rPr>
      </w:pPr>
    </w:p>
    <w:p>
      <w:pPr>
        <w:ind w:left="560" w:right="100"/>
        <w:spacing w:after="0" w:line="253" w:lineRule="auto"/>
        <w:rPr>
          <w:sz w:val="20"/>
          <w:szCs w:val="20"/>
          <w:color w:val="auto"/>
        </w:rPr>
      </w:pPr>
      <w:r>
        <w:rPr>
          <w:rFonts w:ascii="Times New Roman" w:cs="Times New Roman" w:eastAsia="Times New Roman" w:hAnsi="Times New Roman"/>
          <w:sz w:val="18"/>
          <w:szCs w:val="18"/>
          <w:color w:val="auto"/>
        </w:rPr>
        <w:t>On November 29, 2021, Legacy Tectonic executed a license agreement with Alloy Therapeutics, LLC (“ATX”), whereby the Company will use ATX technology for the purpose of preclinical development, clinical development and commercialization of potential product candidates, for an initial period of three years, with an option to extend the term for an additional two years. The Company will pay ATX a non-refundable and non-creditable annual fee of $0.1 million on each anniversary of the agreement. On November 7, 2022, Legacy Tectonic and ATX amended the agreement and extended the period of payment for the first fee due, which was paid in May 2023. Additionally, the Company will be responsible for annual partnering fees if the Company decides to pursue clinical development of a product candidate using the ATX technology. The partnering fees may be creditable against future milestone development fees paid by the Company. The Company will also be responsible to pay ATX development milestone payments for the movement of certain product candidates through clinical trials, which range from the low six digits to the low seven digits upon completion of each milestone and amount to $4.8 million in total milestone payments under the license agreement. Provided the Company is able to commercialize a product using ATX technology, the Company will be responsible to pay ATX commercial payments in the low seven digits per year during the first six years of commercial sales, amounting to an amount in the high eight digits in total commercial payments under the license agreement.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terms of the agreement, the Company had no expense for the three and nine months ended September 30, 2024, and less than</w:t>
      </w:r>
    </w:p>
    <w:p>
      <w:pPr>
        <w:spacing w:after="0" w:line="27" w:lineRule="exact"/>
        <w:rPr>
          <w:sz w:val="20"/>
          <w:szCs w:val="20"/>
          <w:color w:val="auto"/>
        </w:rPr>
      </w:pPr>
    </w:p>
    <w:p>
      <w:pPr>
        <w:ind w:left="560" w:right="160"/>
        <w:spacing w:after="0" w:line="260" w:lineRule="auto"/>
        <w:rPr>
          <w:sz w:val="20"/>
          <w:szCs w:val="20"/>
          <w:color w:val="auto"/>
        </w:rPr>
      </w:pPr>
      <w:r>
        <w:rPr>
          <w:rFonts w:ascii="Times New Roman" w:cs="Times New Roman" w:eastAsia="Times New Roman" w:hAnsi="Times New Roman"/>
          <w:sz w:val="18"/>
          <w:szCs w:val="18"/>
          <w:color w:val="auto"/>
        </w:rPr>
        <w:t>$0.1 million during the three and nine months ended September 30, 2023. The Company intends to terminate the agreement with Alloy effective November 14, 2024.</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Adimab Agreement</w:t>
      </w:r>
    </w:p>
    <w:p>
      <w:pPr>
        <w:spacing w:after="0" w:line="121"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On May 1, 2023, Legacy Tectonic entered into a discovery agreement with Adimab, LLC (“Adimab”), an antibody discovery company, whereby Legacy Tectonic and Adimab are collaborating on human antibody discovery in accordance with an agreed upon research program. Legacy Tectonic paid an upfront technology access fee totaling $20,000 upon execution of the agreement. This agreement is considered to be a related party agreement. The Company terminated the agreement with Adimab in July 2024.</w:t>
      </w:r>
    </w:p>
    <w:p>
      <w:pPr>
        <w:spacing w:after="0" w:line="180" w:lineRule="exact"/>
        <w:rPr>
          <w:sz w:val="20"/>
          <w:szCs w:val="20"/>
          <w:color w:val="auto"/>
        </w:rPr>
      </w:pPr>
    </w:p>
    <w:p>
      <w:pPr>
        <w:ind w:left="560" w:right="260"/>
        <w:spacing w:after="0" w:line="266" w:lineRule="auto"/>
        <w:rPr>
          <w:sz w:val="20"/>
          <w:szCs w:val="20"/>
          <w:color w:val="auto"/>
        </w:rPr>
      </w:pPr>
      <w:r>
        <w:rPr>
          <w:rFonts w:ascii="Times New Roman" w:cs="Times New Roman" w:eastAsia="Times New Roman" w:hAnsi="Times New Roman"/>
          <w:sz w:val="18"/>
          <w:szCs w:val="18"/>
          <w:color w:val="auto"/>
        </w:rPr>
        <w:t>Pursuant to the terms of the agreement, the Company recorded no expense and $0.2 million for the three and nine months ended September 30, 2024, and $0.1 million for the three and nine months ended September 30, 2023. As a result of the termination of the agreement, there are no further amounts due to Adimab and there is no accrual related to the agreement as of September 30, 2024.</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In accordance with the Company’s amended and restated certificate of incorporation (“ARCOI”) and certain indemnification agreements, the Company indemnifies certain officers and directors for specified events or occurrences, subject to certain limits, in which the officer or director is or was serving at the Company’s request in such capacity.</w:t>
      </w:r>
    </w:p>
    <w:p>
      <w:pPr>
        <w:spacing w:after="0" w:line="176" w:lineRule="exact"/>
        <w:rPr>
          <w:sz w:val="20"/>
          <w:szCs w:val="20"/>
          <w:color w:val="auto"/>
        </w:rPr>
      </w:pPr>
    </w:p>
    <w:p>
      <w:pPr>
        <w:ind w:left="560" w:right="100"/>
        <w:spacing w:after="0" w:line="274" w:lineRule="auto"/>
        <w:rPr>
          <w:sz w:val="20"/>
          <w:szCs w:val="20"/>
          <w:color w:val="auto"/>
        </w:rPr>
      </w:pPr>
      <w:r>
        <w:rPr>
          <w:rFonts w:ascii="Times New Roman" w:cs="Times New Roman" w:eastAsia="Times New Roman" w:hAnsi="Times New Roman"/>
          <w:sz w:val="17"/>
          <w:szCs w:val="17"/>
          <w:color w:val="auto"/>
        </w:rPr>
        <w:t>The Company enters into certain types of contracts that contingently requires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with the Company, (ii) contracts under which it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its products, technology, intellectual property or services.</w:t>
      </w:r>
    </w:p>
    <w:p>
      <w:pPr>
        <w:spacing w:after="0" w:line="173"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future business, operating results or financial condition. It is not possible to estimate the maximum amount potentially payable under these contracts since there is no history of prior indemnification claims and the unique facts and circumstances involved in each particular claim will be determinative.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2024 and December 31, 2023, no amounts were accrued related to indemnification claims.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In the normal course of operations, the Company may become involved in various legal proceedings. As of September 30, 2024 and December 31, 2023, the Company has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condensed consolidated financial statements.</w:t>
      </w:r>
    </w:p>
    <w:p>
      <w:pPr>
        <w:spacing w:after="0" w:line="284" w:lineRule="exact"/>
        <w:rPr>
          <w:sz w:val="20"/>
          <w:szCs w:val="20"/>
          <w:color w:val="auto"/>
        </w:rPr>
      </w:pPr>
    </w:p>
    <w:p>
      <w:pPr>
        <w:jc w:val="right"/>
        <w:ind w:left="560" w:right="8500" w:hanging="444"/>
        <w:spacing w:after="0" w:line="400" w:lineRule="auto"/>
        <w:tabs>
          <w:tab w:leader="none" w:pos="30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Convertible Preferred Stock</w:t>
      </w:r>
    </w:p>
    <w:p>
      <w:pPr>
        <w:ind w:left="560" w:right="400"/>
        <w:spacing w:after="0" w:line="282" w:lineRule="auto"/>
        <w:rPr>
          <w:sz w:val="20"/>
          <w:szCs w:val="20"/>
          <w:color w:val="auto"/>
        </w:rPr>
      </w:pPr>
      <w:r>
        <w:rPr>
          <w:rFonts w:ascii="Times New Roman" w:cs="Times New Roman" w:eastAsia="Times New Roman" w:hAnsi="Times New Roman"/>
          <w:sz w:val="18"/>
          <w:szCs w:val="18"/>
          <w:color w:val="auto"/>
        </w:rPr>
        <w:t>Prior to the conversion upon the closing of the Merger, Legacy Tectonic issued Series A-1, A-2, A-3 and A-4 convertible preferred stock (the “Preferred Stock”).</w:t>
      </w:r>
    </w:p>
    <w:p>
      <w:pPr>
        <w:spacing w:after="0" w:line="162"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Prior to the completion of the Merger, Legacy Tectonic classified the Preferred Stock outside of permanent equity as the shares had redemption features that were not entirely within the control of Legacy Tectonic.</w:t>
      </w:r>
    </w:p>
    <w:p>
      <w:pPr>
        <w:spacing w:after="0" w:line="162"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Upon the closing of the Merger, all outstanding shares of the Preferred Stock were converted into 3,647,675 shares of common stock. No shares of the Preferred Stock were outstanding as of September 30, 2024.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560" w:right="400"/>
        <w:spacing w:after="0" w:line="282" w:lineRule="auto"/>
        <w:rPr>
          <w:sz w:val="20"/>
          <w:szCs w:val="20"/>
          <w:color w:val="auto"/>
        </w:rPr>
      </w:pPr>
      <w:r>
        <w:rPr>
          <w:rFonts w:ascii="Times New Roman" w:cs="Times New Roman" w:eastAsia="Times New Roman" w:hAnsi="Times New Roman"/>
          <w:sz w:val="18"/>
          <w:szCs w:val="18"/>
          <w:color w:val="auto"/>
        </w:rPr>
        <w:t>Subsequent to consummation of the Merger, the Company authorized the issuance of 10,000,000 shares of new undesignated preferred stock, however no such shares were issued or outstanding as of September 30, 2024.</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In connection with the Merger, the Company authorized the issuance of 150,000,000 shares of common stock at a par value of $0.0001. Holders of voting common stock are entitled to one vote per share. In addition, holders of voting common stock are entitled to receive dividends, if and when declared by the Company’s Board of Directors. As of September 30, 2024, no dividends had been declared.</w:t>
      </w:r>
    </w:p>
    <w:p>
      <w:pPr>
        <w:spacing w:after="0" w:line="280" w:lineRule="exact"/>
        <w:rPr>
          <w:sz w:val="20"/>
          <w:szCs w:val="20"/>
          <w:color w:val="auto"/>
        </w:rPr>
      </w:pPr>
    </w:p>
    <w:p>
      <w:pPr>
        <w:ind w:left="560" w:right="8420" w:hanging="444"/>
        <w:spacing w:after="0" w:line="400" w:lineRule="auto"/>
        <w:tabs>
          <w:tab w:leader="none" w:pos="30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 INCENTIVE PLANS </w:t>
      </w:r>
      <w:r>
        <w:rPr>
          <w:rFonts w:ascii="Times New Roman" w:cs="Times New Roman" w:eastAsia="Times New Roman" w:hAnsi="Times New Roman"/>
          <w:sz w:val="17"/>
          <w:szCs w:val="17"/>
          <w:b w:val="1"/>
          <w:bCs w:val="1"/>
          <w:i w:val="1"/>
          <w:iCs w:val="1"/>
          <w:color w:val="auto"/>
        </w:rPr>
        <w:t>2019 Equity Incentive Plan</w:t>
      </w:r>
    </w:p>
    <w:p>
      <w:pPr>
        <w:jc w:val="both"/>
        <w:ind w:left="560" w:right="120"/>
        <w:spacing w:after="0" w:line="266" w:lineRule="auto"/>
        <w:rPr>
          <w:sz w:val="20"/>
          <w:szCs w:val="20"/>
          <w:color w:val="auto"/>
        </w:rPr>
      </w:pPr>
      <w:r>
        <w:rPr>
          <w:rFonts w:ascii="Times New Roman" w:cs="Times New Roman" w:eastAsia="Times New Roman" w:hAnsi="Times New Roman"/>
          <w:sz w:val="18"/>
          <w:szCs w:val="18"/>
          <w:color w:val="auto"/>
        </w:rPr>
        <w:t>The Legacy Tectonic 2019 Equity Incentive Plan (the “2019 Plan”) provides employees, consultants and advisors and non-employee members of the Board of Directors and its affiliates with the opportunity to receive grants of stock options, stock awards and equity awards. Since inception, Legacy Tectonic has only issued stock options.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21"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On June 20, 2024, the Company adopted the 2024 Equity Incentive Plan (the “2024 Plan”) which became effective upon completion of the Merger. The 2024 Plan provides for the grant of incentive stock options, nonstatutory stock options, stock appreciation rights, restricted stock awards, restricted stock unit awards, performance awards and other forms of awards to employees, consultants, and non-employee directors of the Company. The terms of stock award agreements, including vesting requirements, are determined by the Company’s Board of Directors and are subject to the provisions of the 2024 Plan. The term of each stock option shall be no more than ten years from the date of grant. Following the effectiveness of the 2024 Plan, no further grants will be made under the 2019 Plan; however, any outstanding equity awards granted under the 2019 Plan will continue to be governed by the terms of the 2019 Plan.</w:t>
      </w:r>
    </w:p>
    <w:p>
      <w:pPr>
        <w:spacing w:after="0" w:line="189" w:lineRule="exact"/>
        <w:rPr>
          <w:sz w:val="20"/>
          <w:szCs w:val="20"/>
          <w:color w:val="auto"/>
        </w:rPr>
      </w:pPr>
    </w:p>
    <w:p>
      <w:pPr>
        <w:ind w:left="560" w:right="100"/>
        <w:spacing w:after="0" w:line="255" w:lineRule="auto"/>
        <w:rPr>
          <w:sz w:val="20"/>
          <w:szCs w:val="20"/>
          <w:color w:val="auto"/>
        </w:rPr>
      </w:pPr>
      <w:r>
        <w:rPr>
          <w:rFonts w:ascii="Times New Roman" w:cs="Times New Roman" w:eastAsia="Times New Roman" w:hAnsi="Times New Roman"/>
          <w:sz w:val="18"/>
          <w:szCs w:val="18"/>
          <w:color w:val="auto"/>
        </w:rPr>
        <w:t>The 2024 Plan initially provided for the issuance of up to 1,938,799 shares of common stock (the “Initial Share Reserve”). Subject to any other adjustments as defined in the 2024 Plan, such aggregate number of shares of common stock will automatically increase on January 1st of each year for a period of ten years commencing on January 1, 2025 and ending on (and including) January 1, 2034, in an amount equal to 5% of the total number of shares of common stock issued and outstanding determined as of the day prior to such increase; provided, however that the board of directors may act prior to January 1st of a given year to provide that the increase for such year will be a lesser number of shares of common stock. The maximum number of shares of common stock that may be issued under the 2024 Plan pursuant to the exercise of incentive stock options shall not exceed three times the Initial Share Reserve.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2024, there were 1,004,299 shares available for issuance under the 2024 Plan.</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121"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On June 20, 2024, the Company adopted the 2024 Employee Stock Purchase Plan (the “2024 ESPP”), which became effective upon completion of the Merger. The maximum number of shares of common stock that may be issued under the 2024 ESPP will not exceed 147,343 shares (the “Initial ESPP Share Reserve”), plus the number of shares of common stock that are automatically added on January 1st of each year for a period of up to ten years commencing on January 1, 2025 and ending on (and including) January 1, 2034, in an amount equal to the lesser of (x) 1% of the total number of shares of common stock issued and outstanding determined as of the day prior to such increase and (y) a number of shares equal to three times the Initial ESPP Share Reserve. Notwithstanding the foregoing, the Board of Directors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No offering periods under the 2024 ESPP had been initiated as of September 30, 2024.</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under the 2019 Plan and 2024 Plan for the nine months ended September 30, 2024 is as follows (in thousands except share, contractual term and per share amounts):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4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5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8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4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56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32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1,002,485</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Granted</w:t>
            </w: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934,500</w:t>
            </w:r>
          </w:p>
        </w:tc>
        <w:tc>
          <w:tcPr>
            <w:tcW w:w="14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16.80</w:t>
            </w: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 Exercised</w:t>
            </w: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(276,854)</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2.62</w:t>
            </w: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2,767</w:t>
            </w: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Forfeited and Expired</w:t>
            </w: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(224,963)</w:t>
            </w:r>
          </w:p>
        </w:tc>
        <w:tc>
          <w:tcPr>
            <w:tcW w:w="14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110.43</w:t>
            </w: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Options assumed from AVROBIO upon</w:t>
            </w: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jc w:val="right"/>
              <w:ind w:right="2190"/>
              <w:spacing w:after="0"/>
              <w:rPr>
                <w:sz w:val="20"/>
                <w:szCs w:val="20"/>
                <w:color w:val="auto"/>
              </w:rPr>
            </w:pPr>
            <w:r>
              <w:rPr>
                <w:rFonts w:ascii="Times New Roman" w:cs="Times New Roman" w:eastAsia="Times New Roman" w:hAnsi="Times New Roman"/>
                <w:sz w:val="18"/>
                <w:szCs w:val="18"/>
                <w:color w:val="auto"/>
              </w:rPr>
              <w:t>Merger closing</w:t>
            </w:r>
          </w:p>
        </w:tc>
        <w:tc>
          <w:tcPr>
            <w:tcW w:w="14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365,428</w:t>
            </w: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89.92</w:t>
            </w:r>
          </w:p>
        </w:tc>
        <w:tc>
          <w:tcPr>
            <w:tcW w:w="1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1,800,596</w:t>
            </w:r>
          </w:p>
        </w:tc>
        <w:tc>
          <w:tcPr>
            <w:tcW w:w="6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14.50</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33,499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Options vested and exercisable as of</w:t>
            </w:r>
          </w:p>
        </w:tc>
        <w:tc>
          <w:tcPr>
            <w:tcW w:w="7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jc w:val="right"/>
              <w:ind w:right="2210"/>
              <w:spacing w:after="0"/>
              <w:rPr>
                <w:sz w:val="20"/>
                <w:szCs w:val="20"/>
                <w:color w:val="auto"/>
              </w:rPr>
            </w:pPr>
            <w:r>
              <w:rPr>
                <w:rFonts w:ascii="Times New Roman" w:cs="Times New Roman" w:eastAsia="Times New Roman" w:hAnsi="Times New Roman"/>
                <w:sz w:val="18"/>
                <w:szCs w:val="18"/>
                <w:color w:val="auto"/>
              </w:rPr>
              <w:t>September 30, 2024</w:t>
            </w:r>
          </w:p>
        </w:tc>
        <w:tc>
          <w:tcPr>
            <w:tcW w:w="14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543,994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16.72</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12,429</w:t>
            </w:r>
          </w:p>
        </w:tc>
        <w:tc>
          <w:tcPr>
            <w:tcW w:w="0" w:type="dxa"/>
            <w:vAlign w:val="bottom"/>
          </w:tcPr>
          <w:p>
            <w:pPr>
              <w:spacing w:after="0"/>
              <w:rPr>
                <w:sz w:val="1"/>
                <w:szCs w:val="1"/>
                <w:color w:val="auto"/>
              </w:rPr>
            </w:pPr>
          </w:p>
        </w:tc>
      </w:tr>
      <w:tr>
        <w:trPr>
          <w:trHeight w:val="198"/>
        </w:trPr>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Options vested and expected to vest as of</w:t>
            </w: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September 30, 2024</w:t>
            </w: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1,800,596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14.50</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33,499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nine months ended September 30, 2024 and 2023 was $13.94 and $2.51 per share, respectively. As of September 30, 2024, total compensation cost not yet recognized related to unvested stock options was $13.4 million, which is expected to be recognized over a weighted-average period of 3.4 years.</w:t>
      </w:r>
    </w:p>
    <w:p>
      <w:pPr>
        <w:spacing w:after="0" w:line="176" w:lineRule="exact"/>
        <w:rPr>
          <w:sz w:val="20"/>
          <w:szCs w:val="20"/>
          <w:color w:val="auto"/>
        </w:rPr>
      </w:pPr>
    </w:p>
    <w:p>
      <w:pPr>
        <w:ind w:left="560" w:right="240"/>
        <w:spacing w:after="0" w:line="282" w:lineRule="auto"/>
        <w:rPr>
          <w:sz w:val="20"/>
          <w:szCs w:val="20"/>
          <w:color w:val="auto"/>
        </w:rPr>
      </w:pPr>
      <w:r>
        <w:rPr>
          <w:rFonts w:ascii="Times New Roman" w:cs="Times New Roman" w:eastAsia="Times New Roman" w:hAnsi="Times New Roman"/>
          <w:sz w:val="18"/>
          <w:szCs w:val="18"/>
          <w:color w:val="auto"/>
        </w:rPr>
        <w:t>The fair values of the options granted in the nine months ended September 30, 2023 were estimated based on the Black-Scholes-Merton option pricing model, using the following assumptions: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6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62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 of underlying common stock</w:t>
            </w:r>
          </w:p>
        </w:tc>
        <w:tc>
          <w:tcPr>
            <w:tcW w:w="10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$ 16.09 - $16.80 </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$ 2.51</w:t>
            </w:r>
          </w:p>
        </w:tc>
        <w:tc>
          <w:tcPr>
            <w:tcW w:w="2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0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6.00-6.25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5.93</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0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4.23% - 4.26%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121"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Since 2019, Legacy Tectonic has granted restricted common stock to founders, employees and consultants. The purchase price of the restricted common stock is the estimated fair value on the grant date and the restricted stock is subject to various vesting schedules. Unvested restricted common stock is subject to repurchase rights held by the Company at the original issuance price in the event the restricted common stockholders’ service to the Company is terminated either voluntarily or involuntarily. The 6,859 unvested restricted common shares are included in the total shares of common stock outstanding as of September 30, 2024 and a repurchase liability of $0.1 million is recorded in accrued expenses and other current liabilities in the accompanying condensed consolidated balance sheet.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for the nine months ended September 30, 2024:</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 as of January 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Early exercise of options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6,859</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(18,968)</w:t>
            </w: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 as of September 30,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28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unvested restricted common stock and restricted common stock vested and forfeited for the nine months ended September 30, 2024 and 2023 was immaterial.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recorded stock-based compensation expense relating to its employees and nonemployees is as follows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280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5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1,227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174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4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726</w:t>
            </w: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r>
      <w:tr>
        <w:trPr>
          <w:trHeight w:val="27"/>
        </w:trPr>
        <w:tc>
          <w:tcPr>
            <w:tcW w:w="4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5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3"/>
              </w:rPr>
              <w:t>1,650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275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2,374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827</w:t>
            </w:r>
          </w:p>
        </w:tc>
      </w:tr>
      <w:tr>
        <w:trPr>
          <w:trHeight w:val="20"/>
        </w:trPr>
        <w:tc>
          <w:tcPr>
            <w:tcW w:w="4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records compensation expense for options with service based vesting conditions on a straight-line basis over the vesting period.</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Certain Stock Options</w:t>
      </w:r>
    </w:p>
    <w:p>
      <w:pPr>
        <w:spacing w:after="0" w:line="121"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In July 2024, the Company entered into a separation agreement with the Company’s Chief Operating Officer (the “Former Executive”). As part of the termination of employment, the Former Executive will serve as an advisor to the Company through March 31, 2025 (“Consulting Period”) on an as needed basis and certain modifications to the Former Executive’s vested and non-vested stock option awards were executed including continued vesting of options during the Consulting Period and the extension of the post-termination exercise period of certain stock option awards. The services performed during the Consulting Period do not qualify as substantive services under ASC 718, Compensation—Stock Compensation; therefore, the continued vesting of these awards represents a modification to the original award. During the three months ended September 30, 2024, the Company recorded stock compensation expense of $0.4 million for the modification of the stock options of the Former Executive. This amount is included in general and administrative expenses on the condensed consolidated statement of operations and comprehensive loss.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2024 and 2023, the Company recorded no income tax provision or benefit.</w:t>
      </w:r>
    </w:p>
    <w:p>
      <w:pPr>
        <w:spacing w:after="0" w:line="225" w:lineRule="exact"/>
        <w:rPr>
          <w:sz w:val="20"/>
          <w:szCs w:val="20"/>
          <w:color w:val="auto"/>
        </w:rPr>
      </w:pPr>
    </w:p>
    <w:p>
      <w:pPr>
        <w:ind w:left="560" w:right="20"/>
        <w:spacing w:after="0" w:line="281" w:lineRule="auto"/>
        <w:rPr>
          <w:sz w:val="20"/>
          <w:szCs w:val="20"/>
          <w:color w:val="auto"/>
        </w:rPr>
      </w:pPr>
      <w:r>
        <w:rPr>
          <w:rFonts w:ascii="Times New Roman" w:cs="Times New Roman" w:eastAsia="Times New Roman" w:hAnsi="Times New Roman"/>
          <w:sz w:val="17"/>
          <w:szCs w:val="17"/>
          <w:color w:val="auto"/>
        </w:rPr>
        <w:t>The Company has evaluated the positive and negative evidence bearing upon its ability to realize its deferred tax assets, which primarily consist of net operating loss carryforwards. The Company has considered its history of cumulative net losses, estimated future taxable income and prudent and feasible tax planning strategies and has concluded that it is more likely than not that the Company will not realize the benefits of its deferred tax assets. As a result, as of September 30, 2024, the Company has maintained a full valuation allowance against its net deferred tax assets.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ind w:left="560" w:right="500"/>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240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196"/>
        </w:trPr>
        <w:tc>
          <w:tcPr>
            <w:tcW w:w="4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(17,717)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(45,609)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(34,954)</w:t>
            </w:r>
          </w:p>
        </w:tc>
      </w:tr>
      <w:tr>
        <w:trPr>
          <w:trHeight w:val="20"/>
        </w:trPr>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6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diluted</w:t>
            </w:r>
          </w:p>
        </w:tc>
        <w:tc>
          <w:tcPr>
            <w:tcW w:w="100" w:type="dxa"/>
            <w:vAlign w:val="bottom"/>
          </w:tcPr>
          <w:p>
            <w:pPr>
              <w:spacing w:after="0"/>
              <w:rPr>
                <w:sz w:val="20"/>
                <w:szCs w:val="20"/>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14,729,018</w:t>
            </w:r>
          </w:p>
        </w:tc>
        <w:tc>
          <w:tcPr>
            <w:tcW w:w="16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1,319,147</w:t>
            </w:r>
          </w:p>
        </w:tc>
        <w:tc>
          <w:tcPr>
            <w:tcW w:w="1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6,373,717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1,245,745</w:t>
            </w:r>
          </w:p>
        </w:tc>
      </w:tr>
      <w:tr>
        <w:trPr>
          <w:trHeight w:val="20"/>
        </w:trPr>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464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4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(28.06)</w:t>
            </w:r>
          </w:p>
        </w:tc>
      </w:tr>
      <w:tr>
        <w:trPr>
          <w:trHeight w:val="20"/>
        </w:trPr>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340"/>
        <w:spacing w:after="0" w:line="282" w:lineRule="auto"/>
        <w:rPr>
          <w:sz w:val="20"/>
          <w:szCs w:val="20"/>
          <w:color w:val="auto"/>
        </w:rPr>
      </w:pPr>
      <w:r>
        <w:rPr>
          <w:rFonts w:ascii="Times New Roman" w:cs="Times New Roman" w:eastAsia="Times New Roman" w:hAnsi="Times New Roman"/>
          <w:sz w:val="18"/>
          <w:szCs w:val="18"/>
          <w:color w:val="auto"/>
        </w:rPr>
        <w:t>The following shares of potentially diluted securities were excluded from the computation of diluted net loss per share attributable to common stockholders for the periods presented because including them would have been anti-dilutive: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332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4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1,800,596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849,959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4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6,859</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27,280</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1,807,455</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4,524,914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200" w:type="dxa"/>
            <w:vAlign w:val="bottom"/>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16</w:t>
            </w: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229" w:lineRule="exact"/>
        <w:rPr>
          <w:sz w:val="20"/>
          <w:szCs w:val="20"/>
          <w:color w:val="auto"/>
        </w:rPr>
      </w:pPr>
    </w:p>
    <w:p>
      <w:pPr>
        <w:ind w:left="560" w:right="620"/>
        <w:spacing w:after="0" w:line="282" w:lineRule="auto"/>
        <w:rPr>
          <w:sz w:val="20"/>
          <w:szCs w:val="20"/>
          <w:color w:val="auto"/>
        </w:rPr>
      </w:pPr>
      <w:r>
        <w:rPr>
          <w:rFonts w:ascii="Times New Roman" w:cs="Times New Roman" w:eastAsia="Times New Roman" w:hAnsi="Times New Roman"/>
          <w:sz w:val="18"/>
          <w:szCs w:val="18"/>
          <w:color w:val="auto"/>
        </w:rPr>
        <w:t>Other than the items discussed below, see Note 4 “Fair Value Measurements” and Note 7 “Commitments and Contingencies” for further discussion of related party transactions.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Scientific Advisory Board Member</w:t>
      </w:r>
    </w:p>
    <w:p>
      <w:pPr>
        <w:spacing w:after="0" w:line="121"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One of the Company’s co-founders and former director is a member of the Company’s Scientific Advisory Board (“SAB”) and meets the criteria of a related party. The Company paid the SAB member fees in the amount of less than $0.1 million during three months ended September 30, 2024 and 2023, and $0.1 million and less than $0.1 million for the nine months ended September 30, 2024 and 2023, respectively, for advisory services provided. There was less than $0.1 million and $0 included in accounts payable for this related party as of September 30, 2024 and December 31, 2023, respectively.</w:t>
      </w:r>
    </w:p>
    <w:p>
      <w:pPr>
        <w:spacing w:after="0" w:line="1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320" w:top="455" w:right="6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left="560" w:right="8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the related notes included elsewhere in this Quarterly Report. In addition to historical information, the following discussion contains forward-looking statements. Our actual results may differ significantly from those projected in the forward-looking statements. Factors that might cause future results to differ materially from those projected in the forward-looking statements include, but are not limited to, those discussed in the sections entitled “Risk Factors” and “Special Note Regarding Forward-Looking Statements” in this Quarterly Report.</w:t>
      </w:r>
    </w:p>
    <w:p>
      <w:pPr>
        <w:spacing w:after="0" w:line="182"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“Management’s Discussion and Analysis of Financial Condition and Results of Operations” section to the Company, “we,” “us,” and “our” refer to the business and operations of Tectonic Operating Company, Inc. (previously Tectonic Therapeutic, Inc., referred to as “Legacy Tectonic”) and its consolidated subsidiaries prior to the Merger, and the business and operations of Tectonic Therapeutic, Inc. (previously AVROBIO, Inc., referred to as “AVROBIO”) and its consolidated subsidiaries following the Merger.</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60"/>
        <w:spacing w:after="0" w:line="236" w:lineRule="auto"/>
        <w:rPr>
          <w:sz w:val="20"/>
          <w:szCs w:val="20"/>
          <w:color w:val="auto"/>
        </w:rPr>
      </w:pPr>
      <w:r>
        <w:rPr>
          <w:rFonts w:ascii="Times New Roman" w:cs="Times New Roman" w:eastAsia="Times New Roman" w:hAnsi="Times New Roman"/>
          <w:sz w:val="18"/>
          <w:szCs w:val="18"/>
          <w:color w:val="auto"/>
        </w:rPr>
        <w:t>We are a clinical-stage biotechnology company focused on the discovery and development of therapeutic proteins and antibodies that modulate the activity of G-protein coupled receptors (“GPCRs”). The discovery of biologics that can modulate GPCRs has historically been quite challenging. We have developed a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or extend duration of life.</w:t>
      </w:r>
    </w:p>
    <w:p>
      <w:pPr>
        <w:spacing w:after="0" w:line="200"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Our lead asset, TX45, is an Fc-relaxin fusion molecule that activates the RXFP1 receptor, the GPCR target of the hormone, relaxin. In September 2024, we announced favorable results from a Phase 1a trial evaluating safety, tolerability and pharmacokinetic (“PK”) and pharmacodynamic (“PD”) properties for TX45. In the Phase 1a trial, TX45 was well-tolerated with no drug-related severe adverse events, no observed immunogenicity and demonstrated a favorable PK/PD relationship. Renal plasma flow was measured in each patient at several time points as a pharmacodynamic marker. This data was used to develop an exposure-response model which enabled the selection of doses for the APEX Phase 2 trial.</w:t>
      </w:r>
    </w:p>
    <w:p>
      <w:pPr>
        <w:spacing w:after="0" w:line="187"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We are currently evaluating TX45 in a Phase 1b hemodynamic clinical trial and in a Phase 2 clinical trial. The TX45 Phase 1b hemodynamic clinical trial is a single dose IV, open-label clinical trial evaluating the safety, tolerability and acute hemodynamic effects of TX45 in patients with Group 2 Pulmonary Hypertension in Heart Failure with Preserved Ejection Fraction (“PH-HFpEF”). The Phase 1b trial is enrolling ahead of plan, and we expect topline results from the Phase 1b trial in late first quarter of 2025 or early second quarter of 2025. We dosed our first subject in the APEX Phase 2 clinical trial in October 2024. The APEX Phase 2 clinical trial is a global, 24-week, placebo-controlled trial designed to evaluate the safety and efficacy TX45 administered subcutaneously (“SC”) in subjects with PH-HFpEF. Subjects will be randomized to 300 mg SC (2ml injection) once monthly of TX45, 300 mg SC once every other week of TX45, or placebo. We expect topline trial results from the APEX trial in 2026.</w:t>
      </w:r>
    </w:p>
    <w:p>
      <w:pPr>
        <w:spacing w:after="0" w:line="192"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We have also identified TX002100 (“TX2100”) as a development candidate for the treatment of Hereditary Hemorrhagic Telangiectasia (“HHT”), the second most common genetic bleeding disorder with no approved therapy. TX2100 is a VHH-Fc fusion antagonist antibody that binds to an undisclosed GPCR target (“GPCR3”) which plays a key role in pathogenic angiogenesis. A rodent surrogate of TX2100 demonstrated reduced arteriovenous malformation development and bleeding in an animal model of HHT. A 4-week non-human primate dose-range study with a functionally equivalent precursor to TX2100 showed no treatment-related toxicity observed at doses up to 100 mg/kg. We expect to initiate a Phase 1 clinical trial for TX2100 in the fourth quarter of 2025 or the first quarter of 2026, subject to the results of IND enabling studies.</w:t>
      </w:r>
    </w:p>
    <w:p>
      <w:pPr>
        <w:spacing w:after="0" w:line="187" w:lineRule="exact"/>
        <w:rPr>
          <w:sz w:val="20"/>
          <w:szCs w:val="20"/>
          <w:color w:val="auto"/>
        </w:rPr>
      </w:pPr>
    </w:p>
    <w:p>
      <w:pPr>
        <w:ind w:left="560" w:right="100"/>
        <w:spacing w:after="0" w:line="255" w:lineRule="auto"/>
        <w:rPr>
          <w:sz w:val="20"/>
          <w:szCs w:val="20"/>
          <w:color w:val="auto"/>
        </w:rPr>
      </w:pPr>
      <w:r>
        <w:rPr>
          <w:rFonts w:ascii="Times New Roman" w:cs="Times New Roman" w:eastAsia="Times New Roman" w:hAnsi="Times New Roman"/>
          <w:sz w:val="18"/>
          <w:szCs w:val="18"/>
          <w:color w:val="auto"/>
        </w:rPr>
        <w:t>Since our inception in 2019, our operations have focused on organizing and staffing our company, business planning, raising capital, establishing our intellectual property portfolio and conducting preclinical studies and clinical trials. We do not have any product candidates approved for sale and have not generated any revenue from product sales. We have funded our operations with an aggregate of $288.6 million in proceeds from the sale of convertible preferred stock, the issuance of convertible promissory notes, the Merger (as defined below), and sale of common stock. As of September 30, 2024, we had $159.1 million in cash and cash equivalents. Based on our current operating plan, we believe that our existing cash and cash equivalents should be sufficient to fund our operations for at least the next twelve months following the issuance of our interim condensed consolidated financial statements.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losses were $17.7 million and $10.1 million for the three months ended September 30, 2024 and 2023, respectively, and $45.6 million and $35.0 million for the nine months ended September 30, 2024 and 2023, respectively. As of September 30, 2024, we had an accumulated deficit of $136.2 million. We expect to continue to incur significant expenses and operating losses for the foreseeable future. We anticipate that our expenses will increase significantly in connection with our ongoing activities, as we:</w:t>
      </w:r>
    </w:p>
    <w:p>
      <w:pPr>
        <w:spacing w:after="0" w:line="89"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and planned research and clinical development of our lead product candidate TX45 and our other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that we may pursue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and further expand our clinical product pipeline;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scale up external manufacturing capacity with the aim of securing sufficient quantities to meet our capacity requirements for clinical trials and eventual potential commercialization;</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to commercialize any product candidate for which we may obtain regulatory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in-licenses other product candidates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regulatory and manufacturing personnel;</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discovery, clinical, operational, financial and management information systems and personnel, including personnel to support our product development and planned future commercialization efforts;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finance, investor relations, public relations and other expenses associated with operating as a public company.</w:t>
      </w:r>
    </w:p>
    <w:p>
      <w:pPr>
        <w:spacing w:after="0" w:line="162"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one or more of our product candidates. If we obtain regulatory approval for any of our product candidates and do not enter into a commercialization partnership, we expect to incur significant expenses related to developing our internal commercialization capability to support product sales, marketing and distribution. Further, we will continue to incur additional costs associated with operating as a public company. As a result, we will need substantial additional funding to support our continuing operations and pursue our growth strategy.</w:t>
      </w:r>
    </w:p>
    <w:p>
      <w:pPr>
        <w:spacing w:after="0" w:line="183" w:lineRule="exact"/>
        <w:rPr>
          <w:sz w:val="20"/>
          <w:szCs w:val="20"/>
          <w:color w:val="auto"/>
        </w:rPr>
      </w:pPr>
    </w:p>
    <w:p>
      <w:pPr>
        <w:ind w:left="560" w:right="180"/>
        <w:spacing w:after="0" w:line="256"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product sales, if ever, we expect to finance our operations through a combination of public or private equity offerings, debt financings or other capital sources, which may include collaborations with other companies, marketing, distribution or licensing arrangements with third parties,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our product discovery and development programs or commercialization efforts.</w:t>
      </w:r>
    </w:p>
    <w:p>
      <w:pPr>
        <w:spacing w:after="0" w:line="187" w:lineRule="exact"/>
        <w:rPr>
          <w:sz w:val="20"/>
          <w:szCs w:val="20"/>
          <w:color w:val="auto"/>
        </w:rPr>
      </w:pPr>
    </w:p>
    <w:p>
      <w:pPr>
        <w:ind w:left="560" w:right="12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Merger with AVROBIO</w:t>
      </w:r>
    </w:p>
    <w:p>
      <w:pPr>
        <w:spacing w:after="0" w:line="121"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On January 30, 2024, Legacy Tectonic entered into the Agreement and Plan of Merger and Reorganization (“Merger Agreement”) with AVROBIO and Alpine Merger Subsidiary, Inc. (“Merger Sub”). Pursuant to the Merger Agreement and the satisfaction of the conditions described in the Merger Agreement, on June 20, 2024, Merger Sub merged with and into Legacy Tectonic, with Legacy Tectonic surviving as a wholly owned subsidiary of AVROBIO (the “Merger”). The Merger Agreement and the transactions contemplated therein were approved by the members of the AVROBIO board of directors and Legacy Tectonic board of directors. Subject to the terms and conditions of the Merger Agreement, at the effective time, (a) each outstanding share of Legacy Tectonic common stock (including shares of Legacy Tectonic common stock issued upon conversion of its preferred stock and the shares issued pursuant to that certain Subscription Agreement dated January 30, 2024, entered into among Legacy Tectonic and the investors party thereto (the “Subscription Agreement”) and conversion of the SAFEs into the right to receive a number of shares of AVROBIO common stock equal to the exchange ratio; and (b) each then outstanding Legacy Tectonic stock option that was outstanding and unexercised immediately prior to the effective time was assumed by AVROBIO, subject to the exchange ratio.</w:t>
      </w:r>
    </w:p>
    <w:p>
      <w:pPr>
        <w:sectPr>
          <w:pgSz w:w="11900" w:h="16838" w:orient="portrait"/>
          <w:cols w:equalWidth="0" w:num="1">
            <w:col w:w="11120"/>
          </w:cols>
          <w:pgMar w:left="320" w:top="455" w:right="459" w:bottom="1440" w:gutter="0" w:footer="0" w:header="0"/>
        </w:sectPr>
      </w:pP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60"/>
        <w:spacing w:after="0" w:line="261" w:lineRule="auto"/>
        <w:rPr>
          <w:sz w:val="20"/>
          <w:szCs w:val="20"/>
          <w:color w:val="auto"/>
        </w:rPr>
      </w:pPr>
      <w:r>
        <w:rPr>
          <w:rFonts w:ascii="Times New Roman" w:cs="Times New Roman" w:eastAsia="Times New Roman" w:hAnsi="Times New Roman"/>
          <w:sz w:val="18"/>
          <w:szCs w:val="18"/>
          <w:color w:val="auto"/>
        </w:rPr>
        <w:t>Immediately after the Merger, AVROBIO securityholders as of immediately prior to the Merger owned approximately 24.8% of the outstanding shares of our capital stock on a diluted basis. Immediately after the Merger, Legacy Tectonic securityholders owned approximately 38.5% of the outstanding shares of our capital stock on a diluted basis. Investors participating in the Subscription Agreement and the SAFEs owned approximately 27.1% and 9.6% of the outstanding shares of our capital stock, respectively, on a diluted basis.</w:t>
      </w:r>
    </w:p>
    <w:p>
      <w:pPr>
        <w:spacing w:after="0" w:line="180" w:lineRule="exact"/>
        <w:rPr>
          <w:sz w:val="20"/>
          <w:szCs w:val="20"/>
          <w:color w:val="auto"/>
        </w:rPr>
      </w:pPr>
    </w:p>
    <w:p>
      <w:pPr>
        <w:ind w:left="560"/>
        <w:spacing w:after="0" w:line="277" w:lineRule="auto"/>
        <w:rPr>
          <w:sz w:val="20"/>
          <w:szCs w:val="20"/>
          <w:color w:val="auto"/>
        </w:rPr>
      </w:pPr>
      <w:r>
        <w:rPr>
          <w:rFonts w:ascii="Times New Roman" w:cs="Times New Roman" w:eastAsia="Times New Roman" w:hAnsi="Times New Roman"/>
          <w:sz w:val="17"/>
          <w:szCs w:val="17"/>
          <w:color w:val="auto"/>
        </w:rPr>
        <w:t>Legacy Tectonic stockholders received 10,956,614 shares of AVROBIO common stock in connection with the Merger, including 11,447 shares of AVROBIO common stock subject to vesting terms, based on the number of shares of Legacy Tectonic common stock outstanding immediately prior to the Merger, including Legacy Tectonic restricted stock, the number of shares of Legacy Tectonic common stock issued to investors participating in the Subscription Agreement and SAFEs, and Legacy Tectonic convertible preferred stock outstanding immediately prior to the Merger, which was converted into shares of Legacy Tectonic common stock on a one-for-one basis immediately prior to the closing of the Merger.</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Tectonic Subscription Agreement</w:t>
      </w:r>
    </w:p>
    <w:p>
      <w:pPr>
        <w:spacing w:after="0" w:line="121" w:lineRule="exact"/>
        <w:rPr>
          <w:sz w:val="20"/>
          <w:szCs w:val="20"/>
          <w:color w:val="auto"/>
        </w:rPr>
      </w:pPr>
    </w:p>
    <w:p>
      <w:pPr>
        <w:ind w:left="560" w:right="240"/>
        <w:spacing w:after="0" w:line="261" w:lineRule="auto"/>
        <w:rPr>
          <w:sz w:val="20"/>
          <w:szCs w:val="20"/>
          <w:color w:val="auto"/>
        </w:rPr>
      </w:pPr>
      <w:r>
        <w:rPr>
          <w:rFonts w:ascii="Times New Roman" w:cs="Times New Roman" w:eastAsia="Times New Roman" w:hAnsi="Times New Roman"/>
          <w:sz w:val="18"/>
          <w:szCs w:val="18"/>
          <w:color w:val="auto"/>
        </w:rPr>
        <w:t>Concurrently with the closing of the Merger, on June 20, 2024, certain investors completed the purchase of shares of Legacy Tectonic common stock pursuant to the Subscription Agreement at a price of $12.40 per share for an aggregate purchase price of $96.6 million. The shares of Legacy Tectonic common stock that were issued pursuant to the Subscription Agreement were converted into 4,163,606 shares of our common stock upon the closing of the Merger based on the exchange ratio, pursuant to the Merger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Macroeconomic Considerations</w:t>
      </w:r>
    </w:p>
    <w:p>
      <w:pPr>
        <w:spacing w:after="0" w:line="121" w:lineRule="exact"/>
        <w:rPr>
          <w:sz w:val="20"/>
          <w:szCs w:val="20"/>
          <w:color w:val="auto"/>
        </w:rPr>
      </w:pPr>
    </w:p>
    <w:p>
      <w:pPr>
        <w:ind w:left="560" w:right="80"/>
        <w:spacing w:after="0" w:line="254" w:lineRule="auto"/>
        <w:rPr>
          <w:sz w:val="20"/>
          <w:szCs w:val="20"/>
          <w:color w:val="auto"/>
        </w:rPr>
      </w:pPr>
      <w:r>
        <w:rPr>
          <w:rFonts w:ascii="Times New Roman" w:cs="Times New Roman" w:eastAsia="Times New Roman" w:hAnsi="Times New Roman"/>
          <w:sz w:val="18"/>
          <w:szCs w:val="18"/>
          <w:color w:val="auto"/>
        </w:rPr>
        <w:t>Uncertainty in the global economy presents significant risks to our business. We are subject to continuing risks and uncertainties in connection with the current macroeconomic environment, including rising interest rates, recent bank failures and geopolitical factors, such as tensions involving China and the United States, the war between Russia and Ukraine and the conflict in the Middle East and the responses thereto. While we are closely monitoring the impact of the current macroeconomic conditions on all aspects of our business, including the impacts on our participants in our clinical trials, employees, suppliers, vendors and collaboration partners, the ultimate extent of the impact on our business remains highly uncertain and will depend on future developments and factors that continue to evolve. Most of these developments and factors are outside our control and could exist for an extended period of time. We will continue to evaluate the nature and extent of the potential impacts to our business, results of operations, liquidity and capital resources.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60" w:right="100"/>
        <w:spacing w:after="0" w:line="277" w:lineRule="auto"/>
        <w:rPr>
          <w:sz w:val="20"/>
          <w:szCs w:val="20"/>
          <w:color w:val="auto"/>
        </w:rPr>
      </w:pPr>
      <w:r>
        <w:rPr>
          <w:rFonts w:ascii="Times New Roman" w:cs="Times New Roman" w:eastAsia="Times New Roman" w:hAnsi="Times New Roman"/>
          <w:sz w:val="17"/>
          <w:szCs w:val="17"/>
          <w:color w:val="auto"/>
        </w:rPr>
        <w:t>We have not generated any revenue since our inception and do not expect to generate any revenue from the sale of products in the foreseeable future, if at all. If our development efforts for our product candidates are successful and result in regulatory approval, or if we enter collaboration or license agreements with third parties, we may generate revenue in the future from product sales or payments from collaboration or license agreements, or any combination thereof. We cannot predict if, when or to what extent we will generate revenue from the commercialization and sale of our product candidates. We may never succeed in obtaining regulatory approval for any of our product candidates.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560" w:right="2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for our research activities, including our discovery efforts and the development of our programs and platform. These expenses include:</w:t>
      </w:r>
    </w:p>
    <w:p>
      <w:pPr>
        <w:spacing w:after="0" w:line="67" w:lineRule="exact"/>
        <w:rPr>
          <w:sz w:val="20"/>
          <w:szCs w:val="20"/>
          <w:color w:val="auto"/>
        </w:rPr>
      </w:pPr>
    </w:p>
    <w:p>
      <w:pPr>
        <w:ind w:left="1080" w:right="6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bonuses, related benefits and stock-based compensation expense, for employees engaged in research and development functions;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research and the preclinical and clinical development of our programs and our product candidates, including under agreements with third parties;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contract manufacturing organizations (“CMOs”);</w:t>
      </w:r>
    </w:p>
    <w:p>
      <w:pPr>
        <w:spacing w:after="0" w:line="3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consumables and other research materials;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related to research and development activities, which include direct or allocated expenses for rent and maintenance of facilities, and utilities;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ind w:left="560" w:right="140"/>
        <w:spacing w:after="0" w:line="272" w:lineRule="auto"/>
        <w:rPr>
          <w:sz w:val="20"/>
          <w:szCs w:val="20"/>
          <w:color w:val="auto"/>
        </w:rPr>
      </w:pPr>
      <w:r>
        <w:rPr>
          <w:rFonts w:ascii="Times New Roman" w:cs="Times New Roman" w:eastAsia="Times New Roman" w:hAnsi="Times New Roman"/>
          <w:sz w:val="17"/>
          <w:szCs w:val="17"/>
          <w:color w:val="auto"/>
        </w:rPr>
        <w:t>We expense all research and development costs in the periods in which they are incurred. Costs for certain development activities are recognized based on our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w:t>
      </w:r>
    </w:p>
    <w:p>
      <w:pPr>
        <w:spacing w:after="0" w:line="172"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Our direct research and development expenses relate to the development of TX45, as well as the nonclinical safety pharmacology and toxicology testing of our product candidates. Our external services expenses consist of the external costs and fees paid to consultants and other research laboratories in connection with our preclinical development and clinical development activities.</w:t>
      </w:r>
    </w:p>
    <w:p>
      <w:pPr>
        <w:spacing w:after="0" w:line="176"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Costs that are deployed across multiple internal programs, including the HHT program and programs aimed at the discovery and development of potential therapies for fibrotic disease, and our platform technology and are not directly attributable to any single program are not allocated to any single program and, as such, are not separately classified. These costs include multi-program personnel-related costs, cross-program payments made under third-party licensing agreements, costs of laboratory supplies and facilities expenses, including rent, depreciation and other indirect costs, the costs of our discovery efforts and projects, and other expenses.</w:t>
      </w:r>
    </w:p>
    <w:p>
      <w:pPr>
        <w:spacing w:after="0" w:line="183" w:lineRule="exact"/>
        <w:rPr>
          <w:sz w:val="20"/>
          <w:szCs w:val="20"/>
          <w:color w:val="auto"/>
        </w:rPr>
      </w:pPr>
    </w:p>
    <w:p>
      <w:pPr>
        <w:ind w:left="560"/>
        <w:spacing w:after="0" w:line="271" w:lineRule="auto"/>
        <w:rPr>
          <w:sz w:val="20"/>
          <w:szCs w:val="20"/>
          <w:color w:val="auto"/>
        </w:rPr>
      </w:pPr>
      <w:r>
        <w:rPr>
          <w:rFonts w:ascii="Times New Roman" w:cs="Times New Roman" w:eastAsia="Times New Roman" w:hAnsi="Times New Roman"/>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spacing w:after="0" w:line="7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 including based on the number of doses that patients received;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ectPr>
          <w:pgSz w:w="11900" w:h="16838" w:orient="portrait"/>
          <w:cols w:equalWidth="0" w:num="1">
            <w:col w:w="11120"/>
          </w:cols>
          <w:pgMar w:left="320" w:top="455" w:right="459" w:bottom="1440" w:gutter="0" w:footer="0" w:header="0"/>
        </w:sectPr>
      </w:pPr>
    </w:p>
    <w:p>
      <w:pPr>
        <w:spacing w:after="0" w:line="3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our product candidates;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left="560" w:right="18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personnel-related costs, including stock-based compensation, for our personnel in executive, legal, finance and accounting, human resources and other administrative functions. General and administrative expenses also include legal fees relating to patents and corporate matters, professional fees paid for accounting, auditing, consulting and tax services, insurance, travel expenses, office and information technology costs and facilities and utilities, depreciation and other expenses related to general and administrative activities.</w:t>
      </w:r>
    </w:p>
    <w:p>
      <w:pPr>
        <w:spacing w:after="0" w:line="183"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expect to incur significantly increased accounting, audit, legal, regulatory, compliance, director and officer insurance, and investor and public relations expenses associated with operating as a public company. We also expect to incur additional intellectual property-related expenses as we file patent applications to protect innovations arising from our research and development activities.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Loss on Issuance of SAFE Liabilities and Change in Fair Value of SAFE Liabilities</w:t>
      </w:r>
    </w:p>
    <w:p>
      <w:pPr>
        <w:spacing w:after="0" w:line="119"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In October and December 2023, Legacy Tectonic issued SAFEs for proceeds of $34.1 million. The SAFEs were recorded as liabilities in the condensed consolidated balance sheets at their fair value on the issuance dates. Until redemption on June 20, 2024, the SAFEs were measured at a fair value on a recurring basis, with subsequent changes in fair value recorded in other income and expenses on the consolidated statement of operations and comprehensive loss.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60" w:right="280"/>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money market funds, which are included in cash and cash equivalents in the condensed consolidated balance sheet.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2024 and 2023:</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1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1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60" w:type="dxa"/>
            <w:vAlign w:val="bottom"/>
            <w:tcBorders>
              <w:top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5"/>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$ 14,317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8,134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6,183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3,340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(19,637)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(10,114)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(9,523)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5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6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1,855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6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w:t>
            </w:r>
          </w:p>
        </w:tc>
        <w:tc>
          <w:tcPr>
            <w:tcW w:w="36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other income, net</w:t>
            </w:r>
          </w:p>
        </w:tc>
        <w:tc>
          <w:tcPr>
            <w:tcW w:w="25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6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(17,717)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(10,054)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(7,663)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54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rPr>
              <w:t>22</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5"/>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TX45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8,922</w:t>
            </w:r>
          </w:p>
        </w:tc>
        <w:tc>
          <w:tcPr>
            <w:tcW w:w="1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$ 3,752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5,170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3,105</w:t>
            </w:r>
          </w:p>
        </w:tc>
        <w:tc>
          <w:tcPr>
            <w:tcW w:w="1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219</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External services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1,147</w:t>
            </w:r>
          </w:p>
        </w:tc>
        <w:tc>
          <w:tcPr>
            <w:tcW w:w="13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774</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Facility, supplies and other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platform development, early-stage research and unallocated expenses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5,395</w:t>
            </w:r>
          </w:p>
        </w:tc>
        <w:tc>
          <w:tcPr>
            <w:tcW w:w="13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1,013</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6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$ 8,134</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Total research and development expenses increased $6.2 million for the three months ended September 30, 2024, compared to the three months ended September 30, 2023. The increase in research and development expense was primarily the result of increased external contract research organization (“CRO”) costs related to the progression of the TX45 Phase 1b clinical trial and the initiation of the TX45 Phase 2 clinical trial, along with increase in consulting and professional services to support the ongoing development activities of our early-stage product candidates.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5"/>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$ 3,131</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2,118</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820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related and other</w:t>
            </w:r>
          </w:p>
        </w:tc>
        <w:tc>
          <w:tcPr>
            <w:tcW w:w="7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402</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$ 5,320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Total general and administrative expenses increased $3.3 million for the three months ended September 30, 2024 compared to the three months ended September 30, 2023. Personnel-related expenses increased $2.1 million during the three months ended September 30, 2024 compared to the three months ended September 30, 2023. The increase in personnel-related expenses was primarily due to an increase in stock-based compensation for newly granted stock-based awards and the modification of certain stock options. Professional and consulting fees increased $0.8 million during the three months ended September 30, 2024 compared to the three months ended September 30, 2023 due to an increase in fees to support merger-related activities.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60" w:right="400"/>
        <w:spacing w:after="0" w:line="282" w:lineRule="auto"/>
        <w:rPr>
          <w:sz w:val="20"/>
          <w:szCs w:val="20"/>
          <w:color w:val="auto"/>
        </w:rPr>
      </w:pPr>
      <w:r>
        <w:rPr>
          <w:rFonts w:ascii="Times New Roman" w:cs="Times New Roman" w:eastAsia="Times New Roman" w:hAnsi="Times New Roman"/>
          <w:sz w:val="18"/>
          <w:szCs w:val="18"/>
          <w:color w:val="auto"/>
        </w:rPr>
        <w:t>Interest income increased by $1.9 million for the three months ended September 30, 2024 compared to the three months ended September 30, 2023 primarily due to an increase in cash and cash equivalents as a result of the Merger.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2024 and 2023:</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8"/>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60" w:type="dxa"/>
            <w:vAlign w:val="bottom"/>
            <w:tcBorders>
              <w:top w:val="single" w:sz="8" w:color="auto"/>
            </w:tcBorders>
            <w:gridSpan w:val="3"/>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8"/>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$ 32,208</w:t>
            </w:r>
          </w:p>
        </w:tc>
        <w:tc>
          <w:tcPr>
            <w:tcW w:w="20" w:type="dxa"/>
            <w:vAlign w:val="bottom"/>
          </w:tcPr>
          <w:p>
            <w:pPr>
              <w:spacing w:after="0"/>
              <w:rPr>
                <w:sz w:val="18"/>
                <w:szCs w:val="18"/>
                <w:color w:val="auto"/>
              </w:rPr>
            </w:pPr>
          </w:p>
        </w:tc>
        <w:tc>
          <w:tcPr>
            <w:tcW w:w="100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$ 29,774</w:t>
            </w:r>
          </w:p>
        </w:tc>
        <w:tc>
          <w:tcPr>
            <w:tcW w:w="240" w:type="dxa"/>
            <w:vAlign w:val="bottom"/>
          </w:tcPr>
          <w:p>
            <w:pPr>
              <w:spacing w:after="0"/>
              <w:rPr>
                <w:sz w:val="18"/>
                <w:szCs w:val="18"/>
                <w:color w:val="auto"/>
              </w:rPr>
            </w:pPr>
          </w:p>
        </w:tc>
        <w:tc>
          <w:tcPr>
            <w:tcW w:w="7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  2,434</w:t>
            </w:r>
          </w:p>
        </w:tc>
        <w:tc>
          <w:tcPr>
            <w:tcW w:w="2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11,816</w:t>
            </w:r>
          </w:p>
        </w:tc>
        <w:tc>
          <w:tcPr>
            <w:tcW w:w="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6,316</w:t>
            </w: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35,274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2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(44,024)</w:t>
            </w:r>
          </w:p>
        </w:tc>
        <w:tc>
          <w:tcPr>
            <w:tcW w:w="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(35,274)</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the SAFE liabilities</w:t>
            </w:r>
          </w:p>
        </w:tc>
        <w:tc>
          <w:tcPr>
            <w:tcW w:w="82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2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2,526</w:t>
            </w:r>
          </w:p>
        </w:tc>
        <w:tc>
          <w:tcPr>
            <w:tcW w:w="20" w:type="dxa"/>
            <w:vAlign w:val="bottom"/>
          </w:tcPr>
          <w:p>
            <w:pPr>
              <w:spacing w:after="0"/>
              <w:rPr>
                <w:sz w:val="18"/>
                <w:szCs w:val="18"/>
                <w:color w:val="auto"/>
              </w:rPr>
            </w:pPr>
          </w:p>
        </w:tc>
        <w:tc>
          <w:tcPr>
            <w:tcW w:w="100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tcPr>
          <w:p>
            <w:pPr>
              <w:spacing w:after="0"/>
              <w:rPr>
                <w:sz w:val="18"/>
                <w:szCs w:val="18"/>
                <w:color w:val="auto"/>
              </w:rPr>
            </w:pPr>
          </w:p>
        </w:tc>
        <w:tc>
          <w:tcPr>
            <w:tcW w:w="7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2,078</w:t>
            </w:r>
          </w:p>
        </w:tc>
        <w:tc>
          <w:tcPr>
            <w:tcW w:w="2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w:t>
            </w:r>
          </w:p>
        </w:tc>
        <w:tc>
          <w:tcPr>
            <w:tcW w:w="820" w:type="dxa"/>
            <w:vAlign w:val="bottom"/>
            <w:gridSpan w:val="4"/>
          </w:tcPr>
          <w:p>
            <w:pPr>
              <w:jc w:val="right"/>
              <w:ind w:right="21"/>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18"/>
                <w:szCs w:val="18"/>
                <w:color w:val="auto"/>
              </w:rPr>
            </w:pPr>
          </w:p>
        </w:tc>
        <w:tc>
          <w:tcPr>
            <w:tcW w:w="100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82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(1,585)</w:t>
            </w:r>
          </w:p>
        </w:tc>
        <w:tc>
          <w:tcPr>
            <w:tcW w:w="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(45,609</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(34,954</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(10,655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8"/>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8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00" w:type="dxa"/>
            <w:vAlign w:val="bottom"/>
          </w:tcPr>
          <w:p>
            <w:pPr>
              <w:spacing w:after="0"/>
              <w:rPr>
                <w:sz w:val="15"/>
                <w:szCs w:val="15"/>
                <w:color w:val="auto"/>
              </w:rPr>
            </w:pPr>
          </w:p>
        </w:tc>
        <w:tc>
          <w:tcPr>
            <w:tcW w:w="7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560" w:type="dxa"/>
            <w:vAlign w:val="bottom"/>
            <w:tcBorders>
              <w:top w:val="single" w:sz="8" w:color="auto"/>
            </w:tcBorders>
            <w:gridSpan w:val="2"/>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7"/>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TX45</w:t>
            </w: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$17,091</w:t>
            </w:r>
          </w:p>
        </w:tc>
        <w:tc>
          <w:tcPr>
            <w:tcW w:w="124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$16,789</w:t>
            </w:r>
          </w:p>
        </w:tc>
        <w:tc>
          <w:tcPr>
            <w:tcW w:w="10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   302</w:t>
            </w: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9,071</w:t>
            </w:r>
          </w:p>
        </w:tc>
        <w:tc>
          <w:tcPr>
            <w:tcW w:w="124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8,612</w:t>
            </w:r>
          </w:p>
        </w:tc>
        <w:tc>
          <w:tcPr>
            <w:tcW w:w="10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459</w:t>
            </w: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External services</w:t>
            </w:r>
          </w:p>
        </w:tc>
        <w:tc>
          <w:tcPr>
            <w:tcW w:w="8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2,717</w:t>
            </w:r>
          </w:p>
        </w:tc>
        <w:tc>
          <w:tcPr>
            <w:tcW w:w="124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834</w:t>
            </w:r>
          </w:p>
        </w:tc>
        <w:tc>
          <w:tcPr>
            <w:tcW w:w="10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1,883</w:t>
            </w:r>
          </w:p>
        </w:tc>
        <w:tc>
          <w:tcPr>
            <w:tcW w:w="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Facility, supplies and other</w:t>
            </w:r>
          </w:p>
        </w:tc>
        <w:tc>
          <w:tcPr>
            <w:tcW w:w="260" w:type="dxa"/>
            <w:vAlign w:val="bottom"/>
            <w:gridSpan w:val="2"/>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platform development, early-stage research and unallocated expenses</w:t>
            </w:r>
          </w:p>
        </w:tc>
        <w:tc>
          <w:tcPr>
            <w:tcW w:w="26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15,117</w:t>
            </w: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12,985</w:t>
            </w:r>
          </w:p>
        </w:tc>
        <w:tc>
          <w:tcPr>
            <w:tcW w:w="10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2,132</w:t>
            </w:r>
          </w:p>
        </w:tc>
        <w:tc>
          <w:tcPr>
            <w:tcW w:w="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32,208</w:t>
            </w:r>
          </w:p>
        </w:tc>
        <w:tc>
          <w:tcPr>
            <w:tcW w:w="20" w:type="dxa"/>
            <w:vAlign w:val="bottom"/>
            <w:tcBorders>
              <w:bottom w:val="single" w:sz="8" w:color="auto"/>
            </w:tcBorders>
          </w:tcPr>
          <w:p>
            <w:pPr>
              <w:spacing w:after="0"/>
              <w:rPr>
                <w:sz w:val="19"/>
                <w:szCs w:val="19"/>
                <w:color w:val="auto"/>
              </w:rPr>
            </w:pPr>
          </w:p>
        </w:tc>
        <w:tc>
          <w:tcPr>
            <w:tcW w:w="400" w:type="dxa"/>
            <w:vAlign w:val="bottom"/>
            <w:gridSpan w:val="2"/>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29,774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$ 2,434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20"/>
        <w:spacing w:after="0" w:line="258" w:lineRule="auto"/>
        <w:rPr>
          <w:sz w:val="20"/>
          <w:szCs w:val="20"/>
          <w:color w:val="auto"/>
        </w:rPr>
      </w:pPr>
      <w:r>
        <w:rPr>
          <w:rFonts w:ascii="Times New Roman" w:cs="Times New Roman" w:eastAsia="Times New Roman" w:hAnsi="Times New Roman"/>
          <w:sz w:val="18"/>
          <w:szCs w:val="18"/>
          <w:color w:val="auto"/>
        </w:rPr>
        <w:t>Total research and development expenses increased $2.4 million for the nine months ended September 30, 2024, compared to the nine months ended September 30, 2023. The increase in research and development expenses was primarily due to the increase in total platform development, early-stage research and unallocated expenses. Total platform development, early-stage research and unallocated expenses increased $2.1 million during the nine months ended September 30, 2024 compared to the nine months ended September 30, 2023. The increase was primarily due to an increase in consulting and professional services to support the ongoing development activities of our early-stage product candidates.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5"/>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5,920</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2,879</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4,170</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2,799</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related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1,726</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11,816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5,500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560" w:right="100"/>
        <w:spacing w:after="0" w:line="266" w:lineRule="auto"/>
        <w:rPr>
          <w:sz w:val="20"/>
          <w:szCs w:val="20"/>
          <w:color w:val="auto"/>
        </w:rPr>
      </w:pPr>
      <w:r>
        <w:rPr>
          <w:rFonts w:ascii="Times New Roman" w:cs="Times New Roman" w:eastAsia="Times New Roman" w:hAnsi="Times New Roman"/>
          <w:sz w:val="18"/>
          <w:szCs w:val="18"/>
          <w:color w:val="auto"/>
        </w:rPr>
        <w:t>Total general and administrative expenses increased $6.3 million for the nine months ended September 30, 2024 as compared to the nine months ended September 30, 2023. Personnel-related expenses increased $2.9 million during the nine months ended September 30, 2024 compared to the nine months ended September 30, 2023. The increase in personnel-related</w:t>
      </w:r>
    </w:p>
    <w:p>
      <w:pPr>
        <w:sectPr>
          <w:pgSz w:w="11900" w:h="16838" w:orient="portrait"/>
          <w:cols w:equalWidth="0" w:num="1">
            <w:col w:w="11140"/>
          </w:cols>
          <w:pgMar w:left="320" w:top="455" w:right="439" w:bottom="1440" w:gutter="0" w:footer="0" w:header="0"/>
        </w:sectPr>
      </w:pPr>
    </w:p>
    <w:p>
      <w:pPr>
        <w:spacing w:after="0" w:line="3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56" w:lineRule="auto"/>
        <w:rPr>
          <w:sz w:val="20"/>
          <w:szCs w:val="20"/>
          <w:color w:val="auto"/>
        </w:rPr>
      </w:pPr>
      <w:r>
        <w:rPr>
          <w:rFonts w:ascii="Times New Roman" w:cs="Times New Roman" w:eastAsia="Times New Roman" w:hAnsi="Times New Roman"/>
          <w:sz w:val="18"/>
          <w:szCs w:val="18"/>
          <w:color w:val="auto"/>
        </w:rPr>
        <w:t>expenses was due to an increase in stock-based compensation for newly granted stock-based awards, the expense for the modification of certain stock options and severance costs related the reduction in force that occurred during the nine months ended September 30, 2024. Professional and consulting fees increased $2.8 million and facility related and other expenses increased $0.6 million for the nine months ended September 30, 2024 compared to the nine months ended September 30, 2023. The increase in professional and consulting fees and facility and other expenses was due to an increase in consulting and professional services fees to support Merger-related activities and an increase in audit, legal and professional services to support our operations as a public company.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Change in Fair Value of SAFE Liabilities</w:t>
      </w:r>
    </w:p>
    <w:p>
      <w:pPr>
        <w:spacing w:after="0" w:line="119" w:lineRule="exact"/>
        <w:rPr>
          <w:sz w:val="20"/>
          <w:szCs w:val="20"/>
          <w:color w:val="auto"/>
        </w:rPr>
      </w:pPr>
    </w:p>
    <w:p>
      <w:pPr>
        <w:ind w:left="560" w:right="460"/>
        <w:spacing w:after="0" w:line="282" w:lineRule="auto"/>
        <w:rPr>
          <w:sz w:val="20"/>
          <w:szCs w:val="20"/>
          <w:color w:val="auto"/>
        </w:rPr>
      </w:pPr>
      <w:r>
        <w:rPr>
          <w:rFonts w:ascii="Times New Roman" w:cs="Times New Roman" w:eastAsia="Times New Roman" w:hAnsi="Times New Roman"/>
          <w:sz w:val="18"/>
          <w:szCs w:val="18"/>
          <w:color w:val="auto"/>
        </w:rPr>
        <w:t>The SAFE liabilities loss of $3.6 million resulted from the remeasurement of the SAFE liabilities to fair value during the nine months ended September 30, 2024, upon redemption in June 2024.</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Interest income increased by $2.0 million for the nine months ended September 30, 2024 compared to the nine months ended September 30, 2023 primarily due to an increase in cash and cash equivalents as a result of the Merger.</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costs will increase in connection with conducting additional preclinical studies and clinical trials for our current and future research programs and product candidates, contracting with CMOs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189" w:lineRule="exact"/>
        <w:rPr>
          <w:sz w:val="20"/>
          <w:szCs w:val="20"/>
          <w:color w:val="auto"/>
        </w:rPr>
      </w:pPr>
    </w:p>
    <w:p>
      <w:pPr>
        <w:ind w:left="560" w:right="80"/>
        <w:spacing w:after="0" w:line="256" w:lineRule="auto"/>
        <w:rPr>
          <w:sz w:val="20"/>
          <w:szCs w:val="20"/>
          <w:color w:val="auto"/>
        </w:rPr>
      </w:pPr>
      <w:r>
        <w:rPr>
          <w:rFonts w:ascii="Times New Roman" w:cs="Times New Roman" w:eastAsia="Times New Roman" w:hAnsi="Times New Roman"/>
          <w:sz w:val="18"/>
          <w:szCs w:val="18"/>
          <w:color w:val="auto"/>
        </w:rPr>
        <w:t>We do not currently have any approved products and have never generated any revenue from product sales. We have funded our operations with an aggregate of $288.6 million in proceeds from the sale of convertible preferred stock, the issuance of convertible promissory notes, the Merger, and sale of common stock. As of September 30, 2024, we had $159.1 million in cash and cash equivalents and an accumulated deficit of $136.2 million. We believe that our cash and cash equivalents will be sufficient to fund our anticipated operating and capital expenditure requirements into mid-2027. We have based this estimate on assumptions that may prove to be wrong, and we could exhaust our capital resources sooner than we expect.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nine months ended September 30, 2024 and 2023:</w:t>
      </w:r>
    </w:p>
    <w:p>
      <w:pPr>
        <w:spacing w:after="0" w:line="246"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440" w:type="dxa"/>
        <w:tblCellMar>
          <w:top w:w="0" w:type="dxa"/>
          <w:left w:w="0" w:type="dxa"/>
          <w:bottom w:w="0" w:type="dxa"/>
          <w:right w:w="0" w:type="dxa"/>
        </w:tblCellMar>
      </w:tblPr>
      <w:tr>
        <w:trPr>
          <w:trHeight w:val="142"/>
        </w:trPr>
        <w:tc>
          <w:tcPr>
            <w:tcW w:w="65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700" w:type="dxa"/>
            <w:vAlign w:val="bottom"/>
            <w:gridSpan w:val="4"/>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(42,259)</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$(29,024)</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172,783</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130,326</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(29,636)</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cash used in operating activities was $42.3 million. Cash used in operating activities was primarily used to fund our operations to develop our product candidates resulting in a net loss of $45.6 million and changes in our operating assets and liabilities of $4.7 million, partially offset by non-cash charges of $8.0 million related to the change in the fair value of the SAFE liabilities, stock-based compensation expense, depreciation and amortization expense and lease expense. The increase in operating assets and liabilities relates to accrued expenses for the Merger and prepayments to the CRO.</w:t>
      </w:r>
    </w:p>
    <w:p>
      <w:pPr>
        <w:spacing w:after="0" w:line="183"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2023, cash used in operating activities was $29.0 million. Cash used in operating activities was primarily due to the use of funds in our operations to develop our product candidates resulting in a net loss of $35.0 million, and changes in our operating assets and liabilities of $3.2 million, partially offset by non-cash charges of $2.8 million related to depreciation and amortization expense, stock-based compensation expense, and lease expense. The increase in operating assets and liabilities relates to accrued expenses, timing of vendor payments, and timing of lease repayments.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560" w:right="500"/>
        <w:spacing w:after="0" w:line="282" w:lineRule="auto"/>
        <w:rPr>
          <w:sz w:val="20"/>
          <w:szCs w:val="20"/>
          <w:color w:val="auto"/>
        </w:rPr>
      </w:pPr>
      <w:r>
        <w:rPr>
          <w:rFonts w:ascii="Times New Roman" w:cs="Times New Roman" w:eastAsia="Times New Roman" w:hAnsi="Times New Roman"/>
          <w:sz w:val="18"/>
          <w:szCs w:val="18"/>
          <w:color w:val="auto"/>
        </w:rPr>
        <w:t>During each of the nine month periods ended September 30, 2024 and 2023, net cash used in investing activities was $0.2 million related to purchases of property, equipment, and improvements.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net cash provided by financing activities was $172.8 million, primarily due to net proceeds of $94.6 million from the sale of shares pursuant to the Subscription Agreement, $85.2 million in gross proceeds from the Merger and $0.7 million in proceeds from the exercise of stock options, partially offset by cash paid for transaction costs related to the Merger of $7.4 million. Net cash used in financing activities during the nine months ended September 30, 2023 was primarily due to $0.4 million of repayment of finance lease obligations.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560" w:right="180"/>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continue or initiate clinical trials of, and seek marketing approval for, our product candidates including our lead product candidate TX45. In addition, if we obtain marketing approval for TX45 or any of our other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84" w:lineRule="exact"/>
        <w:rPr>
          <w:sz w:val="20"/>
          <w:szCs w:val="20"/>
          <w:color w:val="auto"/>
        </w:rPr>
      </w:pPr>
    </w:p>
    <w:p>
      <w:pPr>
        <w:ind w:left="560" w:right="180"/>
        <w:spacing w:after="0" w:line="266" w:lineRule="auto"/>
        <w:rPr>
          <w:sz w:val="20"/>
          <w:szCs w:val="20"/>
          <w:color w:val="auto"/>
        </w:rPr>
      </w:pPr>
      <w:r>
        <w:rPr>
          <w:rFonts w:ascii="Times New Roman" w:cs="Times New Roman" w:eastAsia="Times New Roman" w:hAnsi="Times New Roman"/>
          <w:sz w:val="18"/>
          <w:szCs w:val="18"/>
          <w:color w:val="auto"/>
        </w:rPr>
        <w:t>We expect our existing cash and cash equivalents, together with the net proceeds from the Merger and the sale of securities pursuant to the Subscription Agreement, will enable us to fund our operating expenses and capital expenditure requirements for at least the next twelve months. Our future capital requirements will depend on many factors, including:</w:t>
      </w:r>
    </w:p>
    <w:p>
      <w:pPr>
        <w:spacing w:after="0" w:line="81"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product discovery,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w:t>
      </w:r>
    </w:p>
    <w:p>
      <w:pPr>
        <w:spacing w:after="0" w:line="130"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the license agreements and any other collaboration agreements we enter into;</w:t>
      </w:r>
    </w:p>
    <w:p>
      <w:pPr>
        <w:spacing w:after="0" w:line="67"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collaboration agreements, if any;</w:t>
      </w:r>
    </w:p>
    <w:p>
      <w:pPr>
        <w:spacing w:after="0" w:line="67"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w:t>
      </w:r>
    </w:p>
    <w:p>
      <w:pPr>
        <w:sectPr>
          <w:pgSz w:w="11900" w:h="16838" w:orient="portrait"/>
          <w:cols w:equalWidth="0" w:num="1">
            <w:col w:w="11120"/>
          </w:cols>
          <w:pgMar w:left="320" w:top="455" w:right="45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publicly traded company;</w:t>
      </w:r>
    </w:p>
    <w:p>
      <w:pPr>
        <w:spacing w:after="0" w:line="130" w:lineRule="exact"/>
        <w:rPr>
          <w:rFonts w:ascii="Times New Roman" w:cs="Times New Roman" w:eastAsia="Times New Roman" w:hAnsi="Times New Roman"/>
          <w:sz w:val="18"/>
          <w:szCs w:val="18"/>
          <w:color w:val="auto"/>
        </w:rPr>
      </w:pPr>
    </w:p>
    <w:p>
      <w:pPr>
        <w:ind w:left="1080" w:right="64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environment, including inflation and interest rates.</w:t>
      </w:r>
    </w:p>
    <w:p>
      <w:pPr>
        <w:spacing w:after="0" w:line="225"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 Until such time, if ever, as we can generate substantial product revenues, we expect to finance our cash needs through a combination of equity offerings, debt financings, collaborations, strategic alliances and licensing arrangements. Debt financing, if available, may involve agreements that include covenants limiting or restricting our ability to take specific actions, such as incurring additional debt, making capital expenditures or declaring dividends.</w:t>
      </w:r>
    </w:p>
    <w:p>
      <w:pPr>
        <w:spacing w:after="0" w:line="188"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ind w:left="560" w:right="300"/>
        <w:spacing w:after="0" w:line="261" w:lineRule="auto"/>
        <w:rPr>
          <w:sz w:val="20"/>
          <w:szCs w:val="20"/>
          <w:color w:val="auto"/>
        </w:rPr>
      </w:pPr>
      <w:r>
        <w:rPr>
          <w:rFonts w:ascii="Times New Roman" w:cs="Times New Roman" w:eastAsia="Times New Roman" w:hAnsi="Times New Roman"/>
          <w:sz w:val="18"/>
          <w:szCs w:val="18"/>
          <w:color w:val="auto"/>
        </w:rPr>
        <w:t>We expect to incur additional costs associated with operating as a public company. In addition, we anticipate that we will need substantial additional funding in connection with our continuing operations. Our projections of operating capital requirements are based on our current operating plan, which includes several assumptions that may prove to be incorrect and we may use all of our available capital resources sooner than we expect.</w:t>
      </w:r>
    </w:p>
    <w:p>
      <w:pPr>
        <w:spacing w:after="0" w:line="180"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We currently have no ongoing material financing commitments, such as lines of credit or guarantees, that are expected to affect our liquidity over the next five years, other than our lease obligations.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Contractual Obligations &amp; Commitments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Lease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our contractual obligations and commitments as of September 30, 2024:</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4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30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2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More than 5 Years</w:t>
            </w:r>
          </w:p>
        </w:tc>
        <w:tc>
          <w:tcPr>
            <w:tcW w:w="460" w:type="dxa"/>
            <w:vAlign w:val="bottom"/>
          </w:tcPr>
          <w:p>
            <w:pPr>
              <w:spacing w:after="0"/>
              <w:rPr>
                <w:sz w:val="15"/>
                <w:szCs w:val="15"/>
                <w:color w:val="auto"/>
              </w:rPr>
            </w:pP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3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24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1,097</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$1,691</w:t>
            </w:r>
          </w:p>
        </w:tc>
      </w:tr>
      <w:tr>
        <w:trPr>
          <w:trHeight w:val="22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9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60" w:type="dxa"/>
            <w:vAlign w:val="bottom"/>
          </w:tcPr>
          <w:p>
            <w:pPr>
              <w:spacing w:after="0"/>
              <w:rPr>
                <w:sz w:val="19"/>
                <w:szCs w:val="19"/>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2,163</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1,625</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3,788</w:t>
            </w:r>
          </w:p>
        </w:tc>
      </w:tr>
      <w:tr>
        <w:trPr>
          <w:trHeight w:val="20"/>
        </w:trPr>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160"/>
        <w:spacing w:after="0" w:line="266" w:lineRule="auto"/>
        <w:rPr>
          <w:sz w:val="20"/>
          <w:szCs w:val="20"/>
          <w:color w:val="auto"/>
        </w:rPr>
      </w:pPr>
      <w:r>
        <w:rPr>
          <w:rFonts w:ascii="Times New Roman" w:cs="Times New Roman" w:eastAsia="Times New Roman" w:hAnsi="Times New Roman"/>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Harvard Agreement</w:t>
      </w:r>
    </w:p>
    <w:p>
      <w:pPr>
        <w:spacing w:after="0" w:line="119" w:lineRule="exact"/>
        <w:rPr>
          <w:sz w:val="20"/>
          <w:szCs w:val="20"/>
          <w:color w:val="auto"/>
        </w:rPr>
      </w:pPr>
    </w:p>
    <w:p>
      <w:pPr>
        <w:ind w:left="560" w:right="80"/>
        <w:spacing w:after="0" w:line="273" w:lineRule="auto"/>
        <w:rPr>
          <w:sz w:val="20"/>
          <w:szCs w:val="20"/>
          <w:color w:val="auto"/>
        </w:rPr>
      </w:pPr>
      <w:r>
        <w:rPr>
          <w:rFonts w:ascii="Times New Roman" w:cs="Times New Roman" w:eastAsia="Times New Roman" w:hAnsi="Times New Roman"/>
          <w:sz w:val="17"/>
          <w:szCs w:val="17"/>
          <w:color w:val="auto"/>
        </w:rPr>
        <w:t>In July 2020, we entered into an option agreement with the President and Fellows of Harvard College (“Harvard”) and obtained an option to negotiate a license under Harvard’s interest in certain patent rights (the “Patent Rights”) in exchange for an option fee in the low five digits. In October 2021, Legacy Tectonic exercised the option and in February 2022 it entered into a license agreement with Harvard (the “Harvard License Agreement”) to conduct research and development activities using certain materials, technology and patent rights owned by Harvard, with the intent to develop, obtain regulatory approval for, and commercialize products. The Harvard License Agreement expires upon the later of: (i) the expiry of the last valid claim within the licensed patent rights, expected to be not earlier than May 2041; and (ii) the earlier of (a) ten years after the first commercial sale of the first know-how enabled product or (b) twelve years after the first commercial sale of the first licensed product.</w:t>
      </w:r>
    </w:p>
    <w:p>
      <w:pPr>
        <w:spacing w:after="0" w:line="3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As partial consideration for the Harvard License Agreement, we agreed to pay Harvard a one-time license fee of $170,000, with such fee to be paid in equal installments over three years. The first two installments were paid in July 2022 and 2023 and the third installment was made in July 2024. As partial consideration for the Harvard License Agreement, we entered into a subscription agreement with Harvard in July 2022, pursuant to which Harvard was granted 227,486 shares of our common stock with a fair market value in the mid six digits.</w:t>
      </w:r>
    </w:p>
    <w:p>
      <w:pPr>
        <w:spacing w:after="0" w:line="180" w:lineRule="exact"/>
        <w:rPr>
          <w:sz w:val="20"/>
          <w:szCs w:val="20"/>
          <w:color w:val="auto"/>
        </w:rPr>
      </w:pPr>
    </w:p>
    <w:p>
      <w:pPr>
        <w:ind w:left="560"/>
        <w:spacing w:after="0" w:line="270" w:lineRule="auto"/>
        <w:rPr>
          <w:sz w:val="20"/>
          <w:szCs w:val="20"/>
          <w:color w:val="auto"/>
        </w:rPr>
      </w:pPr>
      <w:r>
        <w:rPr>
          <w:rFonts w:ascii="Times New Roman" w:cs="Times New Roman" w:eastAsia="Times New Roman" w:hAnsi="Times New Roman"/>
          <w:sz w:val="17"/>
          <w:szCs w:val="17"/>
          <w:color w:val="auto"/>
        </w:rPr>
        <w:t>We are required to pay an annual maintenance fee ranging from the low five digits to the low six digits until the first commercial sale of a royalty-bearing product, following which the annual maintenance fee will increase to a low six digits for the remainder of the term of the Harvard License Agreement. We are required to pay a one-time milestone payment of $100,000 for each discovered product granted FDA marketing authorization as well as for the first licensed product or know-how enabled product to reach certain clinical developmental milestones, up to $8.5 million and for the first licensed product or know-how enabled product to reach certain commercial milestones, up to $2.0 million. We are also obligated to pay tiered royalties as a percentage in the low single digits on net sales of licensed products, as a percentage in the low single digits on the net sales of know-how enabled products and a single royalty as a percentage in the low single digits on the net sales of discovered products, subject to a reduction for third-party licenses, as well as a percentage between 10-20% of non-royalty income we receive in connection with a sublicense, strategic partnership or know-how enabled license. With respect to any net sales of licensed products and know-how enabled products sold in certain countries outside of the United States and Europe, we and Harvard will negotiate a royalty percentage on a country-by-country basis.</w:t>
      </w:r>
    </w:p>
    <w:p>
      <w:pPr>
        <w:spacing w:after="0" w:line="177"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For a more detailed description of this agreement, see Note 7 “Commitments and Contingencies” to the interim condensed consolidated financial statements included elsewhere in this Quarterly Report.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Alloy Therapeutics License Agreement</w:t>
      </w:r>
    </w:p>
    <w:p>
      <w:pPr>
        <w:spacing w:after="0" w:line="119" w:lineRule="exact"/>
        <w:rPr>
          <w:sz w:val="20"/>
          <w:szCs w:val="20"/>
          <w:color w:val="auto"/>
        </w:rPr>
      </w:pPr>
    </w:p>
    <w:p>
      <w:pPr>
        <w:ind w:left="560" w:right="140"/>
        <w:spacing w:after="0" w:line="257" w:lineRule="auto"/>
        <w:rPr>
          <w:sz w:val="20"/>
          <w:szCs w:val="20"/>
          <w:color w:val="auto"/>
        </w:rPr>
      </w:pPr>
      <w:r>
        <w:rPr>
          <w:rFonts w:ascii="Times New Roman" w:cs="Times New Roman" w:eastAsia="Times New Roman" w:hAnsi="Times New Roman"/>
          <w:sz w:val="18"/>
          <w:szCs w:val="18"/>
          <w:color w:val="auto"/>
        </w:rPr>
        <w:t>On November 29, 2021, we executed a license agreement with Alloy Therapeutics, LLC (“ATX”), whereby we will use ATX technology for the purpose of preclinical development, clinical development and commercialization of potential product candidates, for an initial period of three years, with the option to extend the term for an additional two years. We will pay ATX a non-refundable and non-creditable annual fee of</w:t>
      </w:r>
    </w:p>
    <w:p>
      <w:pPr>
        <w:spacing w:after="0" w:line="1" w:lineRule="exact"/>
        <w:rPr>
          <w:sz w:val="20"/>
          <w:szCs w:val="20"/>
          <w:color w:val="auto"/>
        </w:rPr>
      </w:pPr>
    </w:p>
    <w:p>
      <w:pPr>
        <w:ind w:left="560"/>
        <w:spacing w:after="0" w:line="251" w:lineRule="auto"/>
        <w:rPr>
          <w:sz w:val="20"/>
          <w:szCs w:val="20"/>
          <w:color w:val="auto"/>
        </w:rPr>
      </w:pPr>
      <w:r>
        <w:rPr>
          <w:rFonts w:ascii="Times New Roman" w:cs="Times New Roman" w:eastAsia="Times New Roman" w:hAnsi="Times New Roman"/>
          <w:sz w:val="18"/>
          <w:szCs w:val="18"/>
          <w:color w:val="auto"/>
        </w:rPr>
        <w:t>$0.1 million on each anniversary of the agreement. On November 7, 2022, we amended the agreement and extended the period of payment for the first fee due, which was paid in May 2023. Additionally, we will be responsible for annual partnering fees if we decide to pursue clinical development of a product candidate using the ATX technology. The partnering fees may be creditable against future milestone development fees paid by us. We will also be responsible to pay ATX development milestone payments for the movement of certain product candidates through clinical trials, which range from the low six digits to the low seven digits upon completion of each milestone and amount to $4.8 million in total milestone payments under the license agreement. Provided we are able to commercialize a product using ATX technology, we will be responsible to pay ATX commercial payments in the low seven digits per year during the first six years of commercial sales, amounting to an amount in the high eight digits in total commercial payments under the license agreement. Pursuant to the terms of the agreement, the Company had no expense for the three and nine months ended September 30, 2024, and less than $0.1 million during the three and nine months ended September 30, 2023. We intend to terminate the agreement with ATX effective November 14, 2024.</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Adimab Agreement</w:t>
      </w:r>
    </w:p>
    <w:p>
      <w:pPr>
        <w:spacing w:after="0" w:line="119"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color w:val="auto"/>
        </w:rPr>
        <w:t>On May 1, 2023, we entered into a discovery agreement with Adimab, LLC (“Adimab”), an antibody discovery company, whereby we and Adimab are collaborating on human antibody discovery in accordance with an agreed upon research program. Legacy Tectonic paid an upfront technology access fee totaling $20,000 upon execution of the Adimab agreement during the year ended December 31, 2023. This agreement was terminated effective July 25, 2024.</w:t>
      </w:r>
    </w:p>
    <w:p>
      <w:pPr>
        <w:spacing w:after="0" w:line="180" w:lineRule="exact"/>
        <w:rPr>
          <w:sz w:val="20"/>
          <w:szCs w:val="20"/>
          <w:color w:val="auto"/>
        </w:rPr>
      </w:pPr>
    </w:p>
    <w:p>
      <w:pPr>
        <w:ind w:left="560" w:right="220"/>
        <w:spacing w:after="0" w:line="266" w:lineRule="auto"/>
        <w:rPr>
          <w:sz w:val="20"/>
          <w:szCs w:val="20"/>
          <w:color w:val="auto"/>
        </w:rPr>
      </w:pPr>
      <w:r>
        <w:rPr>
          <w:rFonts w:ascii="Times New Roman" w:cs="Times New Roman" w:eastAsia="Times New Roman" w:hAnsi="Times New Roman"/>
          <w:sz w:val="18"/>
          <w:szCs w:val="18"/>
          <w:color w:val="auto"/>
        </w:rPr>
        <w:t>Pursuant to the terms of the agreement, the Company recorded no expense and $0.2 million for the three and nine months ended September 30, 2024, and $0.1 million for the three and nine months ended September 30, 2023. As a result of the termination of the agreement, there are no further amounts due to Adimab and there is no accrual related to the agreement as of September 30, 2024.</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560" w:right="100"/>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interim condensed consolidated financial statements, which have been prepared in accordance with generally accepted accounting principles in the United States (“GAAP”). The preparation of these interim condensed consolidated financial statements requires us to make estimates and assumptions that affect the reported amounts of assets and liabilities, the disclosures of contingent assets and liabilities at the date of the interim condensed consolidated financial statements and the reported amounts of expenses during the reporting periods. We base our estimates on historical experience, known trends and events, and various other assumptions that we believe are reasonable under the circumstances, the results of which form the basis for making judgments about the carrying values of assets and liabilities recorded expenses that are not readily apparent from other sources. We evaluate our estimates and assumptions on an ongoing basis. Actual results may differ from these estimates.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4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greater detail in Note 2 “Summary of Significant Accounting Policies” to our audited annual consolidated financial statements, we believe that the following accounting policies are those most critical to the judgements and estimates used in the preparation of our interim condensed consolidated financial statements.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Prepaid and Accrued Research and Development Expenses</w:t>
      </w:r>
    </w:p>
    <w:p>
      <w:pPr>
        <w:spacing w:after="0" w:line="121" w:lineRule="exact"/>
        <w:rPr>
          <w:sz w:val="20"/>
          <w:szCs w:val="20"/>
          <w:color w:val="auto"/>
        </w:rPr>
      </w:pPr>
    </w:p>
    <w:p>
      <w:pPr>
        <w:ind w:left="560" w:right="140"/>
        <w:spacing w:after="0" w:line="269" w:lineRule="auto"/>
        <w:rPr>
          <w:sz w:val="20"/>
          <w:szCs w:val="20"/>
          <w:color w:val="auto"/>
        </w:rPr>
      </w:pPr>
      <w:r>
        <w:rPr>
          <w:rFonts w:ascii="Times New Roman" w:cs="Times New Roman" w:eastAsia="Times New Roman" w:hAnsi="Times New Roman"/>
          <w:sz w:val="17"/>
          <w:szCs w:val="17"/>
          <w:color w:val="auto"/>
        </w:rPr>
        <w:t>As part of the process of preparing our interim condensed consolidated financial statements, we are required to estimate our prepaid and accrued research and development expenses. This process involves estimating the level of service performed and the associated cost incurred for the services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prepaid and accrued research and development expenses as of each balance sheet date in the interim condensed consolidated financial statements based on facts and circumstances known to us at that time, which includes corroboration of these estimates with the service providers. Estimated research and development expenses include those related to fees paid to vendors in connection with clinical, discovery and preclinical development activities and any research organizations in connection with clinical and preclinical studies and testing. Although we do not expect our estimates to be materially different from amounts actually incurred, our understanding of the status and timing of services performed relative to the actual status and timing of services performed may vary and may result in changes in estimates reported in the current period. To date, there have not been any material adjustments to our prior estimates of prepaid and accrued research and development expenses.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We measure stock options granted to employees and non-employees based on their fair value on the date of the grant using the Black-Scholes-Merton (“BSM”) option pricing model. Compensation expense for those awards is recognized over the requisite service period, which is generally the vesting period of the respective award for employees. Compensation expense for awards to non-employee with service-based vesting conditions is recognized in the same manner as if we had paid cash in exchange for the goods or services, which is generally the over the vesting period of the award. We use the straight-line method to recognize the expense of awards with service-based vesting conditions. We account for forfeitures of stock options as they occur.</w:t>
      </w:r>
    </w:p>
    <w:p>
      <w:pPr>
        <w:spacing w:after="0" w:line="187"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The BSM requires the use of assumptions to determine the fair value of the stock options. The determination of fair value of our common stock is described below. Other assumptions used in the BSM, the volatility of our common stock, the expected term of our common stock, the risk-free interest rate for a period that approximates the expected term of our common stock and our expected dividend yield, are determined by our management.</w:t>
      </w:r>
    </w:p>
    <w:p>
      <w:pPr>
        <w:spacing w:after="0" w:line="180"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 xml:space="preserve">Prior to being publicly-traded, we estimated the grant date fair value of our common stock using an appropriate valuation methodology, in accordance with the framework of the American Institute of Certified Public Accountants’ Technical Practice Aid, </w:t>
      </w:r>
      <w:r>
        <w:rPr>
          <w:rFonts w:ascii="Times New Roman" w:cs="Times New Roman" w:eastAsia="Times New Roman" w:hAnsi="Times New Roman"/>
          <w:sz w:val="18"/>
          <w:szCs w:val="18"/>
          <w:i w:val="1"/>
          <w:iCs w:val="1"/>
          <w:color w:val="auto"/>
        </w:rPr>
        <w:t>Valuation of Privately-Held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Equity Securities Issued as Compensation</w:t>
      </w:r>
      <w:r>
        <w:rPr>
          <w:rFonts w:ascii="Times New Roman" w:cs="Times New Roman" w:eastAsia="Times New Roman" w:hAnsi="Times New Roman"/>
          <w:sz w:val="18"/>
          <w:szCs w:val="18"/>
          <w:color w:val="auto"/>
        </w:rPr>
        <w:t>. Each valuation methodology included estimates and assumptions that required our judgment.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estimates and assumptions included a number of objective and subjective factors, including external market conditions, guideline public company information, the prices at which we sold convertible preferred stock to third parties in arms’ length transactions, the rights and preferences of securities senior to our common stock at the time and the likelihood of achieving a liquidity event such as an initial public offering or sale. Significant changes to the assumptions used in the valuations could result in different fair values at each valuation date.</w:t>
      </w:r>
    </w:p>
    <w:p>
      <w:pPr>
        <w:spacing w:after="0" w:line="3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560" w:right="60"/>
        <w:spacing w:after="0" w:line="256" w:lineRule="auto"/>
        <w:rPr>
          <w:sz w:val="20"/>
          <w:szCs w:val="20"/>
          <w:color w:val="auto"/>
        </w:rPr>
      </w:pPr>
      <w:r>
        <w:rPr>
          <w:rFonts w:ascii="Times New Roman" w:cs="Times New Roman" w:eastAsia="Times New Roman" w:hAnsi="Times New Roman"/>
          <w:sz w:val="18"/>
          <w:szCs w:val="18"/>
          <w:color w:val="auto"/>
        </w:rPr>
        <w:t>Our primary exposure to market risk is to market risk related to interest rate sensitivity, which is affected by changes in the general level of U.S. interest rates. As of September 30, 2024, we had cash and cash equivalents of $159.1 million, which consisted of cash and interest-bearing money market funds. As of September 30, 2024, we had an operating lease liability and a finance lease liability of $2.0 million and $1.0 million, respectively. Interest income and expenses are sensitive to changes in the general level of interest rates. However, due to the nature of these investments, an immediate 10% change in market interest rates would not have a material effect on the fair market value of our investment portfolio.</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21"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79" w:lineRule="exact"/>
        <w:rPr>
          <w:sz w:val="20"/>
          <w:szCs w:val="20"/>
          <w:color w:val="auto"/>
        </w:rPr>
      </w:pPr>
    </w:p>
    <w:p>
      <w:pPr>
        <w:ind w:left="560" w:right="20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September 30, 2024, the end of the period covered by this Quarterly Report. Based on the evaluation of our disclosure controls and procedures as of September 30, 2024,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On June 20, 2024, we completed the Merger. Other than any changes relating to the integration of internal controls in connection with the Merger, there were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 xml:space="preserve">Prior to the closing of the merger between AVROBIO and Tectonic Therapeutic, Inc. on June 20, 2024, three actions were filed by purported stockholders of AVROBIO in connection with the Merger. One action has been filed in the United States District Court for the Southern District of New York captioned </w:t>
      </w:r>
      <w:r>
        <w:rPr>
          <w:rFonts w:ascii="Times New Roman" w:cs="Times New Roman" w:eastAsia="Times New Roman" w:hAnsi="Times New Roman"/>
          <w:sz w:val="18"/>
          <w:szCs w:val="18"/>
          <w:i w:val="1"/>
          <w:iCs w:val="1"/>
          <w:color w:val="auto"/>
        </w:rPr>
        <w:t>Garofalo v. Avrobio, Inc. et al.</w:t>
      </w:r>
      <w:r>
        <w:rPr>
          <w:rFonts w:ascii="Times New Roman" w:cs="Times New Roman" w:eastAsia="Times New Roman" w:hAnsi="Times New Roman"/>
          <w:sz w:val="18"/>
          <w:szCs w:val="18"/>
          <w:color w:val="auto"/>
        </w:rPr>
        <w:t xml:space="preserve">, 24-cv-1493 (filed February 27, 2024). Two actions have been filed in the Supreme Court of New York, captioned </w:t>
      </w:r>
      <w:r>
        <w:rPr>
          <w:rFonts w:ascii="Times New Roman" w:cs="Times New Roman" w:eastAsia="Times New Roman" w:hAnsi="Times New Roman"/>
          <w:sz w:val="18"/>
          <w:szCs w:val="18"/>
          <w:i w:val="1"/>
          <w:iCs w:val="1"/>
          <w:color w:val="auto"/>
        </w:rPr>
        <w:t>Price v. Avrobio, Inc., et al.</w:t>
      </w:r>
      <w:r>
        <w:rPr>
          <w:rFonts w:ascii="Times New Roman" w:cs="Times New Roman" w:eastAsia="Times New Roman" w:hAnsi="Times New Roman"/>
          <w:sz w:val="18"/>
          <w:szCs w:val="18"/>
          <w:color w:val="auto"/>
        </w:rPr>
        <w:t xml:space="preserve">, No. 652555/2024 (filed May 17, 2024) and </w:t>
      </w:r>
      <w:r>
        <w:rPr>
          <w:rFonts w:ascii="Times New Roman" w:cs="Times New Roman" w:eastAsia="Times New Roman" w:hAnsi="Times New Roman"/>
          <w:sz w:val="18"/>
          <w:szCs w:val="18"/>
          <w:i w:val="1"/>
          <w:iCs w:val="1"/>
          <w:color w:val="auto"/>
        </w:rPr>
        <w:t>Keller v. Avrobio, Inc., et al.</w:t>
      </w:r>
      <w:r>
        <w:rPr>
          <w:rFonts w:ascii="Times New Roman" w:cs="Times New Roman" w:eastAsia="Times New Roman" w:hAnsi="Times New Roman"/>
          <w:sz w:val="18"/>
          <w:szCs w:val="18"/>
          <w:color w:val="auto"/>
        </w:rPr>
        <w:t>, No. 652597/2024 (filed May 21, 2024). The foregoing actions are referred to as the “Merger Actions.”</w:t>
      </w:r>
    </w:p>
    <w:p>
      <w:pPr>
        <w:spacing w:after="0" w:line="183" w:lineRule="exact"/>
        <w:rPr>
          <w:sz w:val="20"/>
          <w:szCs w:val="20"/>
          <w:color w:val="auto"/>
        </w:rPr>
      </w:pPr>
    </w:p>
    <w:p>
      <w:pPr>
        <w:ind w:left="560" w:right="140"/>
        <w:spacing w:after="0" w:line="256" w:lineRule="auto"/>
        <w:rPr>
          <w:sz w:val="20"/>
          <w:szCs w:val="20"/>
          <w:color w:val="auto"/>
        </w:rPr>
      </w:pPr>
      <w:r>
        <w:rPr>
          <w:rFonts w:ascii="Times New Roman" w:cs="Times New Roman" w:eastAsia="Times New Roman" w:hAnsi="Times New Roman"/>
          <w:sz w:val="18"/>
          <w:szCs w:val="18"/>
          <w:color w:val="auto"/>
        </w:rPr>
        <w:t xml:space="preserve">The Merger Actions generally allege that the registration statement filed by AVROBIO on February 14, 2024, as amended on March 26, 2024, April 15, 2024, and April 29, 2024 (the “Registration Statement”) misrepresents and/or omits certain purportedly material information in connection with the Merger, potential conflicts of interest of AVROBIO’s officers and directors, and the events that led to the signing of the definitive merger agreement. The </w:t>
      </w: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Keller</w:t>
      </w:r>
      <w:r>
        <w:rPr>
          <w:rFonts w:ascii="Times New Roman" w:cs="Times New Roman" w:eastAsia="Times New Roman" w:hAnsi="Times New Roman"/>
          <w:sz w:val="18"/>
          <w:szCs w:val="18"/>
          <w:color w:val="auto"/>
        </w:rPr>
        <w:t xml:space="preserve"> actions assert claims for breach of fiduciary duty against all defendants. The Merger Actions seek, among other things, an injunction enjoining the consummation of the Merger, rescission of the Merger if consummated, costs of the action, including plaintiff’s attorneys’ fees and experts’ fees and other relief the court may deem just and proper.</w:t>
      </w:r>
    </w:p>
    <w:p>
      <w:pPr>
        <w:spacing w:after="0" w:line="187"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AVROBIO also received demand letters from eleven purported AVROBIO stockholders (the “Demands”). The Demands generally assert that the Registration Statement misrepresents and/or omits certain purportedly material information relating to the Merger.</w:t>
      </w:r>
    </w:p>
    <w:p>
      <w:pPr>
        <w:spacing w:after="0" w:line="162" w:lineRule="exact"/>
        <w:rPr>
          <w:sz w:val="20"/>
          <w:szCs w:val="20"/>
          <w:color w:val="auto"/>
        </w:rPr>
      </w:pPr>
    </w:p>
    <w:p>
      <w:pPr>
        <w:ind w:left="560" w:right="120"/>
        <w:spacing w:after="0" w:line="255" w:lineRule="auto"/>
        <w:rPr>
          <w:sz w:val="20"/>
          <w:szCs w:val="20"/>
          <w:color w:val="auto"/>
        </w:rPr>
      </w:pPr>
      <w:r>
        <w:rPr>
          <w:rFonts w:ascii="Times New Roman" w:cs="Times New Roman" w:eastAsia="Times New Roman" w:hAnsi="Times New Roman"/>
          <w:sz w:val="18"/>
          <w:szCs w:val="18"/>
          <w:color w:val="auto"/>
        </w:rPr>
        <w:t>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 Following the issuance of the Supplemental Disclosures, each of the Merger Actions was voluntarily dismissed and each of the Demands with withdrawn.</w:t>
      </w:r>
    </w:p>
    <w:p>
      <w:pPr>
        <w:spacing w:after="0" w:line="189"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 material and adverse impact on us because of defense and settlement costs, diversion of management resources and other factors.</w:t>
      </w:r>
    </w:p>
    <w:p>
      <w:pPr>
        <w:spacing w:after="0" w:line="183"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Although the results of ordinary course litigation and claims cannot be predicted with certainty, we currently believe that the final outcome of these ordinary course matters will not have a material adverse effect on our business, financial condition, results of operations or cash flows. Regardless of the outcome, litigation can have an adverse impact because of defense and settlement costs, diversion of management resources and other factors.</w:t>
      </w:r>
    </w:p>
    <w:p>
      <w:pPr>
        <w:spacing w:after="0" w:line="3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as well as general economic and business risks and the other information in this Quarterly Report.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jc w:val="both"/>
        <w:ind w:left="560" w:right="60"/>
        <w:spacing w:after="0" w:line="266" w:lineRule="auto"/>
        <w:rPr>
          <w:sz w:val="20"/>
          <w:szCs w:val="20"/>
          <w:color w:val="auto"/>
        </w:rPr>
      </w:pPr>
      <w:r>
        <w:rPr>
          <w:rFonts w:ascii="Times New Roman" w:cs="Times New Roman" w:eastAsia="Times New Roman" w:hAnsi="Times New Roman"/>
          <w:sz w:val="18"/>
          <w:szCs w:val="18"/>
          <w:color w:val="auto"/>
        </w:rPr>
        <w:t>The risk factors summarized below could materially and adversely affect our business, financial condition, operating results and prospects, and/or cause the price of our common stock to decline. These risks are discussed more fully below. Material risks that may affect our business, financial condition, results of operations, and trading price of our common stock including the following:</w:t>
      </w:r>
    </w:p>
    <w:p>
      <w:pPr>
        <w:spacing w:after="0" w:line="81" w:lineRule="exact"/>
        <w:rPr>
          <w:sz w:val="20"/>
          <w:szCs w:val="20"/>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net losses in every year since our inception, and expect to continue to incur net losses in the future.</w:t>
      </w:r>
    </w:p>
    <w:p>
      <w:pPr>
        <w:spacing w:after="0" w:line="67" w:lineRule="exact"/>
        <w:rPr>
          <w:rFonts w:ascii="Times New Roman" w:cs="Times New Roman" w:eastAsia="Times New Roman" w:hAnsi="Times New Roman"/>
          <w:sz w:val="18"/>
          <w:szCs w:val="18"/>
          <w:color w:val="auto"/>
        </w:rPr>
      </w:pPr>
    </w:p>
    <w:p>
      <w:pPr>
        <w:ind w:left="1080" w:right="5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81" w:lineRule="exact"/>
        <w:rPr>
          <w:rFonts w:ascii="Times New Roman" w:cs="Times New Roman" w:eastAsia="Times New Roman" w:hAnsi="Times New Roman"/>
          <w:sz w:val="18"/>
          <w:szCs w:val="18"/>
          <w:color w:val="auto"/>
        </w:rPr>
      </w:pPr>
    </w:p>
    <w:p>
      <w:pPr>
        <w:ind w:left="1080" w:right="500" w:hanging="424"/>
        <w:spacing w:after="0" w:line="213"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therapeutic discovery and development and our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may never result in the regulatory approval of a product candidate.</w:t>
      </w:r>
    </w:p>
    <w:p>
      <w:pPr>
        <w:spacing w:after="0" w:line="104" w:lineRule="exact"/>
        <w:rPr>
          <w:rFonts w:ascii="Times New Roman" w:cs="Times New Roman" w:eastAsia="Times New Roman" w:hAnsi="Times New Roman"/>
          <w:sz w:val="18"/>
          <w:szCs w:val="18"/>
          <w:color w:val="auto"/>
        </w:rPr>
      </w:pPr>
    </w:p>
    <w:p>
      <w:pPr>
        <w:ind w:left="1080" w:right="50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demonstrate substantial evidence of the safety, efficacy, purity and potency of our product candidates or any future product candidates, which would prevent or delay or limit the scope of regulatory approval and commercialization.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commercialize any product candidate for which we receive regulatory approval,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intellectual property licensed from third parties and termination of any of these licenses could result in the loss of significant rights, which would harm our business.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rely in the future on the use of manufacturing suites in third-party facilities or on third parties to manufacture TX45 and any other product candidates, and we may rely on third parties to produce and process our products, if approved.</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if we are unable to use third-party manufacturing suites or if the third-party manufacturers encounter difficulties in production.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our operating results will suffer if we fail to compete effectively.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expected to be volatile, and the market price of the common stock may drop.</w:t>
      </w:r>
    </w:p>
    <w:p>
      <w:pPr>
        <w:spacing w:after="0" w:line="130" w:lineRule="exact"/>
        <w:rPr>
          <w:rFonts w:ascii="Times New Roman" w:cs="Times New Roman" w:eastAsia="Times New Roman" w:hAnsi="Times New Roman"/>
          <w:sz w:val="18"/>
          <w:szCs w:val="18"/>
          <w:color w:val="auto"/>
        </w:rPr>
      </w:pPr>
    </w:p>
    <w:p>
      <w:pPr>
        <w:ind w:left="1080" w:right="10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management and other key personnel, we may be unable to continue to successfully develop or commercialize our product candidates or otherwise implement our business plan.</w:t>
      </w:r>
    </w:p>
    <w:p>
      <w:pPr>
        <w:spacing w:after="0" w:line="3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Cash Needs</w:t>
      </w:r>
    </w:p>
    <w:p>
      <w:pPr>
        <w:spacing w:after="0" w:line="117" w:lineRule="exact"/>
        <w:rPr>
          <w:sz w:val="20"/>
          <w:szCs w:val="20"/>
          <w:color w:val="auto"/>
        </w:rPr>
      </w:pPr>
    </w:p>
    <w:p>
      <w:pPr>
        <w:ind w:left="5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incurred net losses in every year since our inception. We expect to continue to incur net losses in the future.</w:t>
      </w:r>
    </w:p>
    <w:p>
      <w:pPr>
        <w:spacing w:after="0" w:line="51"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Since our inception in 2019, we have invested most of our resources in organizing and staffing our company, developing our technology and product candidates, building our intellectual property portfolio, conducting business planning, raising capital and providing general and administrative support for these operations. We also completed the Merger in June 2024 and have been operating under this structure for only a short time.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continue to incur significant research and clinical development and other expenses related to our ongoing operations. As a result, we are not profitable and have incurred losses in each period since our inception. For the three months ended September 30, 2024 and 2023, we reported a net loss of $17.7 million and $10.1 million, respectively. As of September 30, 2024, we had an accumulated deficit of $136.2 million. We expect to continue to incur significant losses for the foreseeable future, and expect these losses to increase as we continue our research and development of, and seek regulatory approvals for, our lead product candidate, TX45, along with any future product candidates we may develop.</w:t>
      </w:r>
    </w:p>
    <w:p>
      <w:pPr>
        <w:spacing w:after="0" w:line="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31" w:lineRule="exact"/>
        <w:rPr>
          <w:sz w:val="20"/>
          <w:szCs w:val="20"/>
          <w:color w:val="auto"/>
        </w:rPr>
      </w:pPr>
    </w:p>
    <w:p>
      <w:pPr>
        <w:ind w:left="1080" w:right="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clinical and preclinical-stage product candidates and discovery-stage programs, including the continued development of our lead product candidate TX45;</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 of research and development activities to identify and develop product candidates using our proprietary discovery approach;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under in-license or collaboration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medical affairs and distribution infrastructure to commercialize any products for which we may obtain marketing approval and intend to commercialize on our own or jointly with third 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or in-license other technologies; and</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manufacturing challenges, safety issues or other regulatory challenges.</w:t>
      </w:r>
    </w:p>
    <w:p>
      <w:pPr>
        <w:spacing w:after="0" w:line="162"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w:t>
      </w:r>
    </w:p>
    <w:p>
      <w:pPr>
        <w:spacing w:after="0" w:line="188"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67" w:lineRule="exact"/>
        <w:rPr>
          <w:sz w:val="20"/>
          <w:szCs w:val="20"/>
          <w:color w:val="auto"/>
        </w:rPr>
      </w:pPr>
    </w:p>
    <w:p>
      <w:pPr>
        <w:ind w:left="560" w:right="180"/>
        <w:spacing w:after="0" w:line="254"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the sale of Series A convertible preferred stock, convertible promissory notes and the issuance of SAFEs. We are also planning to fund our operations with the funds we received in the Merger and pursuant to the Subscription Agreement. We expect our expenses to increase in connection with our ongoing activities, particularly as we continue our Phase 1b and Phase 2 clinical trials of TX45, pursue manufacturing activities for our HHT product candidate, TX2100, and initiate health authority and/or IND enabling safety studies and continue to research, develop and initiate clinical trials of any other future product candidates. In addition, if we successfully complete development through Phase 3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w:t>
      </w:r>
    </w:p>
    <w:p>
      <w:pPr>
        <w:spacing w:after="0" w:line="188" w:lineRule="exact"/>
        <w:rPr>
          <w:sz w:val="20"/>
          <w:szCs w:val="20"/>
          <w:color w:val="auto"/>
        </w:rPr>
      </w:pPr>
    </w:p>
    <w:p>
      <w:pPr>
        <w:ind w:left="560" w:right="380"/>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enable us to fund our operating expenses and capital expenditure requirements into mid-2027. We have based this estimate on assumptions that may prove to be wrong, and we could use our capital resources sooner than we currently expect. Future capital requirements for TX45 or our preclinical programs will depend on many factors, including:</w:t>
      </w:r>
    </w:p>
    <w:p>
      <w:pPr>
        <w:spacing w:after="0" w:line="81" w:lineRule="exact"/>
        <w:rPr>
          <w:sz w:val="20"/>
          <w:szCs w:val="20"/>
          <w:color w:val="auto"/>
        </w:rPr>
      </w:pPr>
    </w:p>
    <w:p>
      <w:pPr>
        <w:ind w:left="1080" w:right="10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completion of preclinical studies and clinical trials for our current or any future product candidates, as well as the associated costs, including any unforeseen costs we may incur as a result of preclinical study or clinical trial delays due to disease outbreaks, epidemics and pandemics or other causes;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and royalty payments we are required to make or are eligible to receive under our license agreements with Harvard and other license agreements, as applicable;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new product candidates we identify and decide to develop;</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additional or expanded pre-clinical studies and clinical trials beyond those that we plan to conduct with respect to our current and future product candidates;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the organization to the size needed to allow for the research, development and potential commercialization of our current or any future product candidates;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patent applications, maintaining and enforcing patents or defending against infringement or other claims raised by third 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our existing license and collaboration agreements and the entry into new license and collaboration agreements;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 for our product candidates and any delays we may encounter as a result of evolving regulatory requirements or adverse results with respect to any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outsourced manufacturing activities;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if any, we may derive either directly or in the form of royalty payments from future sales of our product candidates, if approved;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225" w:lineRule="exact"/>
        <w:rPr>
          <w:sz w:val="20"/>
          <w:szCs w:val="20"/>
          <w:color w:val="auto"/>
        </w:rPr>
      </w:pPr>
    </w:p>
    <w:p>
      <w:pPr>
        <w:ind w:left="560" w:right="340"/>
        <w:spacing w:after="0" w:line="281" w:lineRule="auto"/>
        <w:rPr>
          <w:sz w:val="20"/>
          <w:szCs w:val="20"/>
          <w:color w:val="auto"/>
        </w:rPr>
      </w:pPr>
      <w:r>
        <w:rPr>
          <w:rFonts w:ascii="Times New Roman" w:cs="Times New Roman" w:eastAsia="Times New Roman" w:hAnsi="Times New Roman"/>
          <w:sz w:val="17"/>
          <w:szCs w:val="17"/>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or royalty financings, collaborations, strategic alliances, licensing arrangements and other marketing or distribution arrangements.</w:t>
      </w:r>
    </w:p>
    <w:p>
      <w:pPr>
        <w:spacing w:after="0" w:line="164" w:lineRule="exact"/>
        <w:rPr>
          <w:sz w:val="20"/>
          <w:szCs w:val="20"/>
          <w:color w:val="auto"/>
        </w:rPr>
      </w:pPr>
    </w:p>
    <w:p>
      <w:pPr>
        <w:jc w:val="both"/>
        <w:ind w:left="560" w:right="160"/>
        <w:spacing w:after="0" w:line="277" w:lineRule="auto"/>
        <w:rPr>
          <w:sz w:val="20"/>
          <w:szCs w:val="20"/>
          <w:color w:val="auto"/>
        </w:rPr>
      </w:pPr>
      <w:r>
        <w:rPr>
          <w:rFonts w:ascii="Times New Roman" w:cs="Times New Roman" w:eastAsia="Times New Roman" w:hAnsi="Times New Roman"/>
          <w:sz w:val="17"/>
          <w:szCs w:val="17"/>
          <w:color w:val="auto"/>
        </w:rPr>
        <w:t>Our ability to raise additional funds will depend on financial, economic and market conditions and other factors, over which we may have no or limited control. Market volatility resulting from geopolitical and economic instability, including the conflicts between Russia and Ukraine and in the Middle East or other factors could also adversely impact our ability to access capital as and when needed.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w:t>
      </w:r>
    </w:p>
    <w:p>
      <w:pPr>
        <w:sectPr>
          <w:pgSz w:w="11900" w:h="16838" w:orient="portrait"/>
          <w:cols w:equalWidth="0" w:num="1">
            <w:col w:w="11140"/>
          </w:cols>
          <w:pgMar w:left="320" w:top="455" w:right="439" w:bottom="1440" w:gutter="0" w:footer="0" w:header="0"/>
        </w:sectPr>
      </w:pP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will cause dilution to our stockholders, and may restrict our operations, or require us to relinquish rights to our product candidates.</w:t>
      </w:r>
    </w:p>
    <w:p>
      <w:pPr>
        <w:spacing w:after="0" w:line="51" w:lineRule="exact"/>
        <w:rPr>
          <w:sz w:val="20"/>
          <w:szCs w:val="20"/>
          <w:color w:val="auto"/>
        </w:rPr>
      </w:pPr>
    </w:p>
    <w:p>
      <w:pPr>
        <w:ind w:left="560" w:right="200"/>
        <w:spacing w:after="0" w:line="273" w:lineRule="auto"/>
        <w:rPr>
          <w:sz w:val="20"/>
          <w:szCs w:val="20"/>
          <w:color w:val="auto"/>
        </w:rPr>
      </w:pPr>
      <w:r>
        <w:rPr>
          <w:rFonts w:ascii="Times New Roman" w:cs="Times New Roman" w:eastAsia="Times New Roman" w:hAnsi="Times New Roman"/>
          <w:sz w:val="17"/>
          <w:szCs w:val="17"/>
          <w:color w:val="auto"/>
        </w:rPr>
        <w:t>Until such time, if ever, as we can generate substantial product revenue, we expect to finance our cash needs through equity, debt or royalty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the ownership interest of our current stockholders will be diluted, and the terms of these securities may include liquidation or other preferences.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w:t>
      </w:r>
    </w:p>
    <w:p>
      <w:pPr>
        <w:spacing w:after="0" w:line="171"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Product Candidates</w:t>
      </w:r>
    </w:p>
    <w:p>
      <w:pPr>
        <w:spacing w:after="0" w:line="117" w:lineRule="exact"/>
        <w:rPr>
          <w:sz w:val="20"/>
          <w:szCs w:val="20"/>
          <w:color w:val="auto"/>
        </w:rPr>
      </w:pPr>
    </w:p>
    <w:p>
      <w:pPr>
        <w:ind w:left="560" w:right="100"/>
        <w:spacing w:after="0" w:line="215"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therapeutic discovery and development and our GEODe</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platform may never result in the regulatory approval of a product candidate.</w:t>
      </w:r>
    </w:p>
    <w:p>
      <w:pPr>
        <w:spacing w:after="0" w:line="91" w:lineRule="exact"/>
        <w:rPr>
          <w:sz w:val="20"/>
          <w:szCs w:val="20"/>
          <w:color w:val="auto"/>
        </w:rPr>
      </w:pPr>
    </w:p>
    <w:p>
      <w:pPr>
        <w:ind w:left="560" w:right="80"/>
        <w:spacing w:after="0" w:line="236" w:lineRule="auto"/>
        <w:rPr>
          <w:sz w:val="20"/>
          <w:szCs w:val="20"/>
          <w:color w:val="auto"/>
        </w:rPr>
      </w:pPr>
      <w:r>
        <w:rPr>
          <w:rFonts w:ascii="Times New Roman" w:cs="Times New Roman" w:eastAsia="Times New Roman" w:hAnsi="Times New Roman"/>
          <w:sz w:val="18"/>
          <w:szCs w:val="18"/>
          <w:color w:val="auto"/>
        </w:rPr>
        <w:t>Notwithstanding the prior experience of individuals on our management team in drug discovery and development, we are still a relatively young organization that has not yet completed the full cycle of activities from discovery through regulatory approval for any of our portfolio projects. Our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w:t>
      </w:r>
    </w:p>
    <w:p>
      <w:pPr>
        <w:spacing w:after="0" w:line="196" w:lineRule="exact"/>
        <w:rPr>
          <w:sz w:val="20"/>
          <w:szCs w:val="20"/>
          <w:color w:val="auto"/>
        </w:rPr>
      </w:pPr>
    </w:p>
    <w:p>
      <w:pPr>
        <w:ind w:left="56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If we are unable to advance TX45 or any of our other product candidates through clinical development, obtain regulatory approval and ultimately commercialize TX45 or any of our other product candidates, or experience significant delays in doing so, our business will be materially harmed.</w:t>
      </w:r>
    </w:p>
    <w:p>
      <w:pPr>
        <w:spacing w:after="0" w:line="67" w:lineRule="exact"/>
        <w:rPr>
          <w:sz w:val="20"/>
          <w:szCs w:val="20"/>
          <w:color w:val="auto"/>
        </w:rPr>
      </w:pPr>
    </w:p>
    <w:p>
      <w:pPr>
        <w:jc w:val="both"/>
        <w:ind w:left="560" w:right="180"/>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sale and our lead product candidate, TX45, will require clinical development, regulatory review and approval in each jurisdiction in which we intend to market it, access to sufficient commercial manufacturing capacity, and significant sales and marketing efforts before we can generate any revenue from product sales.</w:t>
      </w:r>
    </w:p>
    <w:p>
      <w:pPr>
        <w:spacing w:after="0" w:line="176"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TX45 is still in a Phase 1b clinical trial, and recently initiated a Phase 2 clinical trial.</w:t>
      </w:r>
    </w:p>
    <w:p>
      <w:pPr>
        <w:spacing w:after="0" w:line="176" w:lineRule="exact"/>
        <w:rPr>
          <w:sz w:val="20"/>
          <w:szCs w:val="20"/>
          <w:color w:val="auto"/>
        </w:rPr>
      </w:pPr>
    </w:p>
    <w:p>
      <w:pPr>
        <w:ind w:left="560"/>
        <w:spacing w:after="0" w:line="273" w:lineRule="auto"/>
        <w:rPr>
          <w:sz w:val="20"/>
          <w:szCs w:val="20"/>
          <w:color w:val="auto"/>
        </w:rPr>
      </w:pPr>
      <w:r>
        <w:rPr>
          <w:rFonts w:ascii="Times New Roman" w:cs="Times New Roman" w:eastAsia="Times New Roman" w:hAnsi="Times New Roman"/>
          <w:sz w:val="17"/>
          <w:szCs w:val="17"/>
          <w:color w:val="auto"/>
        </w:rPr>
        <w:t>Our ability to generate product revenues, which we do not expect will occur in the foreseeable future, if ever, will depend heavily on the successful development and eventual commercialization of TX45, TX2100, and any future product candidates we develop, which may never occur. TX45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w:t>
      </w:r>
    </w:p>
    <w:p>
      <w:pPr>
        <w:spacing w:after="0" w:line="77" w:lineRule="exact"/>
        <w:rPr>
          <w:sz w:val="20"/>
          <w:szCs w:val="20"/>
          <w:color w:val="auto"/>
        </w:rPr>
      </w:pPr>
    </w:p>
    <w:p>
      <w:pPr>
        <w:ind w:left="1080" w:right="6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studies and clinical trials for which the FDA, or any comparable foreign regulatory authority agree with the design, endpoints or implementation;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regulatory approvals or authorizations for conducting our planned clinical trials or future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and successful patient enrollment in, and completion of, additional clinical trials on a timely basis;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or any comparable foreign regulatory authority that the applicable product candidate is safe, pure, and potent for its targeted indications;</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or any comparable foreign regulatory authority that the applicable product candidate’s risk-benefit ratio for its proposed indication is acceptable;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approvals for our product candidates from applicable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scaling up, either alone or with third-party manufacturers, manufacturing capabilities of clinical supply for our clinical trials and commercial manufacturing, if any of our product candidates are approved;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proprietary information protection or regulatory exclusivity for our product candidates, both in the United States and internationally;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scaling a sales and marketing organization and launching commercial sales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benefits and uses, if approved,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following approval;</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companies developing and commercializing other therapies in the indications which our product candidates target;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225" w:lineRule="exact"/>
        <w:rPr>
          <w:sz w:val="20"/>
          <w:szCs w:val="20"/>
          <w:color w:val="auto"/>
        </w:rPr>
      </w:pPr>
    </w:p>
    <w:p>
      <w:pPr>
        <w:ind w:left="560" w:right="200"/>
        <w:spacing w:after="0" w:line="266"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TX45 or any future product candidates we develop, which would materially harm our business. If we do not receive marketing approvals for our current and future product candidates, we may not be able to continue our operations.</w:t>
      </w:r>
    </w:p>
    <w:p>
      <w:pPr>
        <w:spacing w:after="0" w:line="172" w:lineRule="exact"/>
        <w:rPr>
          <w:sz w:val="20"/>
          <w:szCs w:val="20"/>
          <w:color w:val="auto"/>
        </w:rPr>
      </w:pPr>
    </w:p>
    <w:p>
      <w:pPr>
        <w:ind w:left="56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All of our product candidates are in discovery, preclinical or Phase 1 and Phase 2 clinical trials.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w:t>
      </w:r>
    </w:p>
    <w:p>
      <w:pPr>
        <w:spacing w:after="0" w:line="67"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w:t>
      </w:r>
    </w:p>
    <w:p>
      <w:pPr>
        <w:spacing w:after="0" w:line="180"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To date, we have completed only one clinical trial (Phase 1a study in normal healthy volunteer with TX45) required for the approval of any of our product candidates. Although we are currently enrolling Phase 1b and Phase 2 clinical trials with TX45 in Group 2 PH patients with HFpEF, we may experience delays in our ongoing clinical trials or preclinical studies and we do not know whether planned clinical trials will begin on time, need to be redesigned, enroll patients on time, have sufficient drug supply for our product candidates on a timely basis or be completed on schedule, if at all. Furthermore, our product candidate TX2100 is still in preclinical studies and the full results of such studies are not yet known.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TX45 or any future product candidates, including:</w:t>
      </w:r>
    </w:p>
    <w:p>
      <w:pPr>
        <w:spacing w:after="0" w:line="9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regulatory authorizations to commence a trial;</w:t>
      </w:r>
    </w:p>
    <w:p>
      <w:pPr>
        <w:spacing w:after="0" w:line="130" w:lineRule="exact"/>
        <w:rPr>
          <w:rFonts w:ascii="Times New Roman" w:cs="Times New Roman" w:eastAsia="Times New Roman" w:hAnsi="Times New Roman"/>
          <w:sz w:val="18"/>
          <w:szCs w:val="18"/>
          <w:color w:val="auto"/>
        </w:rPr>
      </w:pPr>
    </w:p>
    <w:p>
      <w:pPr>
        <w:ind w:left="5540" w:right="1980" w:hanging="4884"/>
        <w:spacing w:after="0" w:line="454" w:lineRule="auto"/>
        <w:tabs>
          <w:tab w:leader="none" w:pos="10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as to the design or implementation of our clinical trials; 36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institutional review board (“IRB”) approval at each site;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recruit a sufficient number of suitable patients to participate in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patients complete a trial or return for post-treatment follow-up;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adding new clinical trial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sufficient quantities of our product candidates for use in clinical trials in a timely manner;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 such as complications with pharmacokinetic behaviors, or safety or tolerability concerns that could cause us or our collaborators, as applicable, to suspend or terminate a trial if we or our collaborators find that the participants are being exposed to unacceptable health risks;</w:t>
      </w:r>
    </w:p>
    <w:p>
      <w:pPr>
        <w:spacing w:after="0" w:line="81"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clinical trials in accordance with the FDA’s or any other regulatory authority’s good clinical practices (“GCP”) requirements, or regulatory guidelines in other countries;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to the satisfaction of the FDA or any comparable foreign regulatory authority that the applicable product candidate’s risk-benefit ratio for its proposed indication is acceptable;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guidelines;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research contractors to comply with regulatory requirements or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establishing the appropriate dosage levels in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our product candidates falling below acceptable standards;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w:t>
      </w:r>
    </w:p>
    <w:p>
      <w:pPr>
        <w:spacing w:after="0" w:line="176" w:lineRule="exact"/>
        <w:rPr>
          <w:sz w:val="20"/>
          <w:szCs w:val="20"/>
          <w:color w:val="auto"/>
        </w:rPr>
      </w:pPr>
    </w:p>
    <w:p>
      <w:pPr>
        <w:ind w:left="560" w:right="40"/>
        <w:spacing w:after="0" w:line="253" w:lineRule="auto"/>
        <w:rPr>
          <w:sz w:val="20"/>
          <w:szCs w:val="20"/>
          <w:color w:val="auto"/>
        </w:rPr>
      </w:pPr>
      <w:r>
        <w:rPr>
          <w:rFonts w:ascii="Times New Roman" w:cs="Times New Roman" w:eastAsia="Times New Roman" w:hAnsi="Times New Roman"/>
          <w:sz w:val="18"/>
          <w:szCs w:val="18"/>
          <w:color w:val="auto"/>
        </w:rPr>
        <w:t>In addition, we could also encounter delays if a clinical trial is suspended or terminated by us, the IRBs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92"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83" w:lineRule="exact"/>
        <w:rPr>
          <w:sz w:val="20"/>
          <w:szCs w:val="20"/>
          <w:color w:val="auto"/>
        </w:rPr>
      </w:pPr>
    </w:p>
    <w:p>
      <w:pPr>
        <w:ind w:left="56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substantial evidence of the safety, efficacy, purity and potency of our product candidates or any future product candidates, which would prevent or delay or limit the scope of regulatory approval and commercialization.</w:t>
      </w:r>
    </w:p>
    <w:p>
      <w:pPr>
        <w:spacing w:after="0" w:line="51" w:lineRule="exact"/>
        <w:rPr>
          <w:sz w:val="20"/>
          <w:szCs w:val="20"/>
          <w:color w:val="auto"/>
        </w:rPr>
      </w:pPr>
    </w:p>
    <w:p>
      <w:pPr>
        <w:ind w:left="560" w:right="160"/>
        <w:spacing w:after="0" w:line="266" w:lineRule="auto"/>
        <w:rPr>
          <w:sz w:val="20"/>
          <w:szCs w:val="20"/>
          <w:color w:val="auto"/>
        </w:rPr>
      </w:pPr>
      <w:r>
        <w:rPr>
          <w:rFonts w:ascii="Times New Roman" w:cs="Times New Roman" w:eastAsia="Times New Roman" w:hAnsi="Times New Roman"/>
          <w:sz w:val="18"/>
          <w:szCs w:val="18"/>
          <w:color w:val="auto"/>
        </w:rPr>
        <w:t>To obtain the requisite regulatory approvals to market and sell any of our product candidates, including TX45 and any other future product candidates, we must demonstrate through extensive preclinical studies and clinical trials that our biologic products, including TX45, are safe and effective for use in each targeted indication. Clinical testing is expensive and can take</w:t>
      </w:r>
    </w:p>
    <w:p>
      <w:pPr>
        <w:sectPr>
          <w:pgSz w:w="11900" w:h="16838" w:orient="portrait"/>
          <w:cols w:equalWidth="0" w:num="1">
            <w:col w:w="11140"/>
          </w:cols>
          <w:pgMar w:left="320" w:top="455" w:right="439" w:bottom="1440" w:gutter="0" w:footer="0" w:header="0"/>
        </w:sectPr>
      </w:pP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260"/>
        <w:spacing w:after="0" w:line="272" w:lineRule="auto"/>
        <w:rPr>
          <w:sz w:val="20"/>
          <w:szCs w:val="20"/>
          <w:color w:val="auto"/>
        </w:rPr>
      </w:pPr>
      <w:r>
        <w:rPr>
          <w:rFonts w:ascii="Times New Roman" w:cs="Times New Roman" w:eastAsia="Times New Roman" w:hAnsi="Times New Roman"/>
          <w:sz w:val="17"/>
          <w:szCs w:val="17"/>
          <w:color w:val="auto"/>
        </w:rPr>
        <w:t>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w:t>
      </w:r>
    </w:p>
    <w:p>
      <w:pPr>
        <w:spacing w:after="0" w:line="2" w:lineRule="exact"/>
        <w:rPr>
          <w:sz w:val="20"/>
          <w:szCs w:val="20"/>
          <w:color w:val="auto"/>
        </w:rPr>
      </w:pPr>
    </w:p>
    <w:p>
      <w:pPr>
        <w:ind w:left="560" w:right="120"/>
        <w:spacing w:after="0" w:line="252" w:lineRule="auto"/>
        <w:rPr>
          <w:sz w:val="20"/>
          <w:szCs w:val="20"/>
          <w:color w:val="auto"/>
        </w:rPr>
      </w:pPr>
      <w:r>
        <w:rPr>
          <w:rFonts w:ascii="Times New Roman" w:cs="Times New Roman" w:eastAsia="Times New Roman" w:hAnsi="Times New Roman"/>
          <w:sz w:val="18"/>
          <w:szCs w:val="18"/>
          <w:color w:val="auto"/>
        </w:rPr>
        <w:t>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w:t>
      </w:r>
    </w:p>
    <w:p>
      <w:pPr>
        <w:spacing w:after="0" w:line="190"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w:t>
      </w:r>
    </w:p>
    <w:p>
      <w:pPr>
        <w:spacing w:after="0" w:line="192" w:lineRule="exact"/>
        <w:rPr>
          <w:sz w:val="20"/>
          <w:szCs w:val="20"/>
          <w:color w:val="auto"/>
        </w:rPr>
      </w:pPr>
    </w:p>
    <w:p>
      <w:pPr>
        <w:ind w:left="560" w:right="80"/>
        <w:spacing w:after="0" w:line="253" w:lineRule="auto"/>
        <w:rPr>
          <w:sz w:val="20"/>
          <w:szCs w:val="20"/>
          <w:color w:val="auto"/>
        </w:rPr>
      </w:pPr>
      <w:r>
        <w:rPr>
          <w:rFonts w:ascii="Times New Roman" w:cs="Times New Roman" w:eastAsia="Times New Roman" w:hAnsi="Times New Roman"/>
          <w:sz w:val="18"/>
          <w:szCs w:val="18"/>
          <w:color w:val="auto"/>
        </w:rPr>
        <w:t>Even if the trials are successfully completed, clinical data are often susceptible to varying interpretations and analyses or may not provide a sufficient risk-benefit ratio, and we cannot guarantee that the FDA or comparable foreign regulatory authorities will interpret the results as we do or find a risk-benefit ratio for a proposed indication acceptable,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our commercial potential.</w:t>
      </w:r>
    </w:p>
    <w:p>
      <w:pPr>
        <w:spacing w:after="0" w:line="188" w:lineRule="exact"/>
        <w:rPr>
          <w:sz w:val="20"/>
          <w:szCs w:val="20"/>
          <w:color w:val="auto"/>
        </w:rPr>
      </w:pPr>
    </w:p>
    <w:p>
      <w:pPr>
        <w:ind w:left="56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w:t>
      </w:r>
    </w:p>
    <w:p>
      <w:pPr>
        <w:spacing w:after="0" w:line="67"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The results of nonclinical, preclinical and early-stage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Any such setbacks in our clinical development could have a material adverse effect on our business, financial condition and results of operations.</w:t>
      </w:r>
    </w:p>
    <w:p>
      <w:pPr>
        <w:spacing w:after="0" w:line="188"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w:t>
      </w:r>
    </w:p>
    <w:p>
      <w:pPr>
        <w:spacing w:after="0" w:line="57"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lead product candidate, TX45, has been generally well tolerated in its preclinical studies and the Phase 1a healthy volunteer trial to date, the results from future preclinical studies and clinical trials, including of our other product candidates, may identify safety concerns or other undesirable properties of our product candidates.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The results of our ongoing Phase 1b clinical trial of TX45, the recently initiated Phase 2 clinical trial of TX45,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w:t>
      </w:r>
    </w:p>
    <w:p>
      <w:pPr>
        <w:spacing w:after="0" w:line="187" w:lineRule="exact"/>
        <w:rPr>
          <w:sz w:val="20"/>
          <w:szCs w:val="20"/>
          <w:color w:val="auto"/>
        </w:rPr>
      </w:pPr>
    </w:p>
    <w:p>
      <w:pPr>
        <w:ind w:left="560" w:right="80"/>
        <w:spacing w:after="0" w:line="261" w:lineRule="auto"/>
        <w:rPr>
          <w:sz w:val="20"/>
          <w:szCs w:val="20"/>
          <w:color w:val="auto"/>
        </w:rPr>
      </w:pPr>
      <w:r>
        <w:rPr>
          <w:rFonts w:ascii="Times New Roman" w:cs="Times New Roman" w:eastAsia="Times New Roman" w:hAnsi="Times New Roman"/>
          <w:sz w:val="18"/>
          <w:szCs w:val="18"/>
          <w:color w:val="auto"/>
        </w:rPr>
        <w:t>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w:t>
      </w:r>
    </w:p>
    <w:p>
      <w:pPr>
        <w:spacing w:after="0" w:line="180"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 For example, immunogenicity is a concern for all protein therapeutics in human clinical trials, and immunogenic reactions in patients in our trials may lead to adverse effects and/or impact exposure, which in turn may lead to protocol amendments, clinical holds, or other actions that delay or significantly impact the prospects for our product candidates.</w:t>
      </w:r>
    </w:p>
    <w:p>
      <w:pPr>
        <w:spacing w:after="0" w:line="183"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Additionally, if any of our product candidates receive marketing approval and we or others later identify undesirable or unacceptable side effects caused by such products, a number of potentially significant negative consequences could result, including:</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 and require us to take such approved product off the market;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medication guide outlining the risks of such side effects for distribution to patients, or that we implement a risk evaluation and mitigation strategy (“REMS”) plan to ensure that the benefits of the product outweigh its risks;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conduct additional clinical trials or change the labeling of the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left="560" w:right="24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w:t>
      </w:r>
    </w:p>
    <w:p>
      <w:pPr>
        <w:spacing w:after="0" w:line="172" w:lineRule="exact"/>
        <w:rPr>
          <w:sz w:val="20"/>
          <w:szCs w:val="20"/>
          <w:color w:val="auto"/>
        </w:rPr>
      </w:pPr>
    </w:p>
    <w:p>
      <w:pPr>
        <w:ind w:left="56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which could delay or prevent us from proceeding with, or otherwise adversely affect, clinical trials of our product candidates.</w:t>
      </w:r>
    </w:p>
    <w:p>
      <w:pPr>
        <w:spacing w:after="0" w:line="51"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timely completion of our clinical trials in accordance with our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and enroll a sufficient number of patients, or those with the required or desired characteristics, to complete our clinical trials in a timely manner.</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Patient enrollment and trial completion is affected by many factors, including the:</w:t>
      </w:r>
    </w:p>
    <w:p>
      <w:pPr>
        <w:spacing w:after="0" w:line="112"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of one of our trial sites in Moldova for the Phase 1b trial and its proximity to the conflict between Russia and the Ukraine;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 and process for identifying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for the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clinical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profile, to date, of the product candidate under study;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our approach;</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competing product candidates currently under investigation for the treatment of similar diseases or conditions, or competing clinical trials for similar product candidates or targeting patient populations meeting our patient eligibility criteria;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progression of the patient’s disease at the time of enrollment;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adequately monitor patients during and after treatment.</w:t>
      </w:r>
    </w:p>
    <w:p>
      <w:pPr>
        <w:spacing w:after="0" w:line="225"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183"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158" w:lineRule="exact"/>
        <w:rPr>
          <w:sz w:val="20"/>
          <w:szCs w:val="20"/>
          <w:color w:val="auto"/>
        </w:rPr>
      </w:pPr>
    </w:p>
    <w:p>
      <w:pPr>
        <w:ind w:left="56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w:t>
      </w:r>
    </w:p>
    <w:p>
      <w:pPr>
        <w:spacing w:after="0" w:line="189"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56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spacing w:after="0" w:line="67"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Before we can commence clinical trials for any product candidate, we must complete extensive preclinical studies that support any future Investigational New Drug (“IND”) applications in the United States, or similar applications in other jurisdictions. In July 2024, we received clearance from the FDA for our IND application for our TX45 program but as the date of this report, studies are only being conducted in Australia, Moldova and the Netherlands. Conducting preclinical testing is a lengthy, time-consuming and expensive process and delays associated with product candidates for which we are directly conducting preclinical testing and studies may cause us to incur additional operating expenses. While we are currently conducting a Phase 1b and the recently initiated Phase 2 clinical trials for TX45, including some trials which may be outside of the United States,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on the timelines we expect, if at all, and we cannot be sure that submission of INDs or similar applications will result in the FDA or comparable foreign regulatory authorities allowing clinical trials to begin.</w:t>
      </w:r>
    </w:p>
    <w:p>
      <w:pPr>
        <w:spacing w:after="0" w:line="188" w:lineRule="exact"/>
        <w:rPr>
          <w:sz w:val="20"/>
          <w:szCs w:val="20"/>
          <w:color w:val="auto"/>
        </w:rPr>
      </w:pPr>
    </w:p>
    <w:p>
      <w:pPr>
        <w:jc w:val="both"/>
        <w:ind w:left="56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our business will be substantially harmed.</w:t>
      </w:r>
    </w:p>
    <w:p>
      <w:pPr>
        <w:spacing w:after="0" w:line="67" w:lineRule="exact"/>
        <w:rPr>
          <w:sz w:val="20"/>
          <w:szCs w:val="20"/>
          <w:color w:val="auto"/>
        </w:rPr>
      </w:pPr>
    </w:p>
    <w:p>
      <w:pPr>
        <w:ind w:left="560" w:right="140"/>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pure and potent for its proposed indication;</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may not be sufficiently broad or representative to assure safety or efficacy in the population for which we seek approval;</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clinical significance required by the FDA or comparable foreign regulatory authorities for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require additional preclinical studies or clinical trials beyond those that we currently anticipate;</w:t>
      </w:r>
    </w:p>
    <w:p>
      <w:pPr>
        <w:spacing w:after="0" w:line="67" w:lineRule="exact"/>
        <w:rPr>
          <w:rFonts w:ascii="Times New Roman" w:cs="Times New Roman" w:eastAsia="Times New Roman" w:hAnsi="Times New Roman"/>
          <w:sz w:val="18"/>
          <w:szCs w:val="18"/>
          <w:color w:val="auto"/>
        </w:rPr>
      </w:pPr>
    </w:p>
    <w:p>
      <w:pPr>
        <w:jc w:val="both"/>
        <w:ind w:left="1080" w:right="360" w:hanging="424"/>
        <w:spacing w:after="0" w:line="312" w:lineRule="auto"/>
        <w:tabs>
          <w:tab w:leader="none" w:pos="10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product candidates may not be sufficient to support the submission of a Biologics License Application (“BLA”) as applicable, to the FDA or other submission or to obtain regulatory approval in the United States or elsewhere;</w:t>
      </w:r>
    </w:p>
    <w:p>
      <w:pPr>
        <w:spacing w:after="0" w:line="45" w:lineRule="exact"/>
        <w:rPr>
          <w:rFonts w:ascii="Times New Roman" w:cs="Times New Roman" w:eastAsia="Times New Roman" w:hAnsi="Times New Roman"/>
          <w:sz w:val="17"/>
          <w:szCs w:val="17"/>
          <w:color w:val="auto"/>
        </w:rPr>
      </w:pPr>
    </w:p>
    <w:p>
      <w:pPr>
        <w:ind w:left="1080" w:right="6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any comparable foreign regulatory authorities or the laws they enforce may significantly change in a manner rendering our clinical data insufficient for approval.</w:t>
      </w:r>
    </w:p>
    <w:p>
      <w:pPr>
        <w:spacing w:after="0" w:line="162"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w:t>
      </w:r>
    </w:p>
    <w:p>
      <w:pPr>
        <w:spacing w:after="0" w:line="183" w:lineRule="exact"/>
        <w:rPr>
          <w:sz w:val="20"/>
          <w:szCs w:val="20"/>
          <w:color w:val="auto"/>
        </w:rPr>
      </w:pPr>
    </w:p>
    <w:p>
      <w:pPr>
        <w:ind w:left="560" w:right="240"/>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9" w:lineRule="exact"/>
        <w:rPr>
          <w:sz w:val="20"/>
          <w:szCs w:val="20"/>
          <w:color w:val="auto"/>
        </w:rPr>
      </w:pPr>
    </w:p>
    <w:p>
      <w:pPr>
        <w:ind w:left="56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any comparable foreign regulatory authorities may not accept data from trials conducted in locations outside of their jurisdiction.</w:t>
      </w:r>
    </w:p>
    <w:p>
      <w:pPr>
        <w:spacing w:after="0" w:line="51" w:lineRule="exact"/>
        <w:rPr>
          <w:sz w:val="20"/>
          <w:szCs w:val="20"/>
          <w:color w:val="auto"/>
        </w:rPr>
      </w:pPr>
    </w:p>
    <w:p>
      <w:pPr>
        <w:ind w:left="560" w:right="100"/>
        <w:spacing w:after="0" w:line="269" w:lineRule="auto"/>
        <w:rPr>
          <w:sz w:val="20"/>
          <w:szCs w:val="20"/>
          <w:color w:val="auto"/>
        </w:rPr>
      </w:pPr>
      <w:r>
        <w:rPr>
          <w:rFonts w:ascii="Times New Roman" w:cs="Times New Roman" w:eastAsia="Times New Roman" w:hAnsi="Times New Roman"/>
          <w:sz w:val="17"/>
          <w:szCs w:val="17"/>
          <w:color w:val="auto"/>
        </w:rPr>
        <w:t>We are presently conducting clinical development in Australia, Moldova and the Netherlands and will likely choose to conduct additional international clinical trials in the future.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w:t>
      </w:r>
    </w:p>
    <w:p>
      <w:pPr>
        <w:spacing w:after="0" w:line="3" w:lineRule="exact"/>
        <w:rPr>
          <w:sz w:val="20"/>
          <w:szCs w:val="20"/>
          <w:color w:val="auto"/>
        </w:rPr>
      </w:pPr>
    </w:p>
    <w:p>
      <w:pPr>
        <w:ind w:left="820" w:hanging="264"/>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trials are performed by clinical investigators of recognized competence and pursuant to compliance with current GCP requirements and</w:t>
      </w:r>
    </w:p>
    <w:p>
      <w:pPr>
        <w:spacing w:after="0" w:line="9" w:lineRule="exact"/>
        <w:rPr>
          <w:rFonts w:ascii="Times New Roman" w:cs="Times New Roman" w:eastAsia="Times New Roman" w:hAnsi="Times New Roman"/>
          <w:sz w:val="18"/>
          <w:szCs w:val="18"/>
          <w:color w:val="auto"/>
        </w:rPr>
      </w:pPr>
    </w:p>
    <w:p>
      <w:pPr>
        <w:ind w:left="560" w:right="80" w:hanging="4"/>
        <w:spacing w:after="0" w:line="252" w:lineRule="auto"/>
        <w:tabs>
          <w:tab w:leader="none" w:pos="8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is able to validate the data through an on-site inspection or other appropriate mean.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184" w:lineRule="exact"/>
        <w:rPr>
          <w:sz w:val="20"/>
          <w:szCs w:val="20"/>
          <w:color w:val="auto"/>
        </w:rPr>
      </w:pPr>
    </w:p>
    <w:p>
      <w:pPr>
        <w:ind w:left="56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w:t>
      </w:r>
    </w:p>
    <w:p>
      <w:pPr>
        <w:spacing w:after="0" w:line="67"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Practices (“cGMPs”) and GCP requirements for any clinical trials that we conduct post-approval.</w:t>
      </w:r>
    </w:p>
    <w:p>
      <w:pPr>
        <w:spacing w:after="0" w:line="183" w:lineRule="exact"/>
        <w:rPr>
          <w:sz w:val="20"/>
          <w:szCs w:val="20"/>
          <w:color w:val="auto"/>
        </w:rPr>
      </w:pPr>
    </w:p>
    <w:p>
      <w:pPr>
        <w:ind w:left="560" w:right="160"/>
        <w:spacing w:after="0" w:line="277" w:lineRule="auto"/>
        <w:rPr>
          <w:sz w:val="20"/>
          <w:szCs w:val="20"/>
          <w:color w:val="auto"/>
        </w:rPr>
      </w:pPr>
      <w:r>
        <w:rPr>
          <w:rFonts w:ascii="Times New Roman" w:cs="Times New Roman" w:eastAsia="Times New Roman" w:hAnsi="Times New Roman"/>
          <w:sz w:val="17"/>
          <w:szCs w:val="17"/>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68" w:lineRule="exact"/>
        <w:rPr>
          <w:sz w:val="20"/>
          <w:szCs w:val="20"/>
          <w:color w:val="auto"/>
        </w:rPr>
      </w:pPr>
    </w:p>
    <w:p>
      <w:pPr>
        <w:ind w:left="560" w:right="60"/>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93" w:lineRule="exact"/>
        <w:rPr>
          <w:sz w:val="20"/>
          <w:szCs w:val="20"/>
          <w:color w:val="auto"/>
        </w:rPr>
      </w:pPr>
    </w:p>
    <w:p>
      <w:pPr>
        <w:ind w:left="1080" w:right="4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560" w:right="60"/>
        <w:spacing w:after="0" w:line="253"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w:t>
      </w:r>
    </w:p>
    <w:p>
      <w:pPr>
        <w:spacing w:after="0" w:line="190"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The holder of a BLA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183"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may face competition from biosimilars approved through an abbreviated regulatory pathway.</w:t>
      </w:r>
    </w:p>
    <w:p>
      <w:pPr>
        <w:spacing w:after="0" w:line="121"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We are developing TX45 initially for the treatment of Group 2 Pulmonary Hypertension (“PH”) in HFpEF, which we anticipate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61" w:lineRule="auto"/>
        <w:rPr>
          <w:sz w:val="20"/>
          <w:szCs w:val="20"/>
          <w:color w:val="auto"/>
        </w:rPr>
      </w:pPr>
      <w:r>
        <w:rPr>
          <w:rFonts w:ascii="Times New Roman" w:cs="Times New Roman" w:eastAsia="Times New Roman" w:hAnsi="Times New Roman"/>
          <w:sz w:val="18"/>
          <w:szCs w:val="18"/>
          <w:color w:val="auto"/>
        </w:rPr>
        <w:t>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80" w:lineRule="exact"/>
        <w:rPr>
          <w:sz w:val="20"/>
          <w:szCs w:val="20"/>
          <w:color w:val="auto"/>
        </w:rPr>
      </w:pPr>
    </w:p>
    <w:p>
      <w:pPr>
        <w:ind w:left="560" w:right="120"/>
        <w:spacing w:after="0" w:line="255"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89" w:lineRule="exact"/>
        <w:rPr>
          <w:sz w:val="20"/>
          <w:szCs w:val="20"/>
          <w:color w:val="auto"/>
        </w:rPr>
      </w:pPr>
    </w:p>
    <w:p>
      <w:pPr>
        <w:ind w:left="560" w:right="300"/>
        <w:spacing w:after="0" w:line="282"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158" w:lineRule="exact"/>
        <w:rPr>
          <w:sz w:val="20"/>
          <w:szCs w:val="20"/>
          <w:color w:val="auto"/>
        </w:rPr>
      </w:pPr>
    </w:p>
    <w:p>
      <w:pPr>
        <w:ind w:left="56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51" w:lineRule="exact"/>
        <w:rPr>
          <w:sz w:val="20"/>
          <w:szCs w:val="20"/>
          <w:color w:val="auto"/>
        </w:rPr>
      </w:pPr>
    </w:p>
    <w:p>
      <w:pPr>
        <w:ind w:left="560" w:right="40"/>
        <w:spacing w:after="0" w:line="25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biotechnology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9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due to negative public perception;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difficulties in recruiting new trial participants;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or settle the related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product sales;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our product candidates, if approved.</w:t>
      </w:r>
    </w:p>
    <w:p>
      <w:pPr>
        <w:spacing w:after="0" w:line="225" w:lineRule="exact"/>
        <w:rPr>
          <w:sz w:val="20"/>
          <w:szCs w:val="20"/>
          <w:color w:val="auto"/>
        </w:rPr>
      </w:pPr>
    </w:p>
    <w:p>
      <w:pPr>
        <w:ind w:left="560"/>
        <w:spacing w:after="0" w:line="277" w:lineRule="auto"/>
        <w:rPr>
          <w:sz w:val="20"/>
          <w:szCs w:val="20"/>
          <w:color w:val="auto"/>
        </w:rPr>
      </w:pPr>
      <w:r>
        <w:rPr>
          <w:rFonts w:ascii="Times New Roman" w:cs="Times New Roman" w:eastAsia="Times New Roman" w:hAnsi="Times New Roman"/>
          <w:sz w:val="17"/>
          <w:szCs w:val="17"/>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68" w:lineRule="exact"/>
        <w:rPr>
          <w:sz w:val="20"/>
          <w:szCs w:val="20"/>
          <w:color w:val="auto"/>
        </w:rPr>
      </w:pPr>
    </w:p>
    <w:p>
      <w:pPr>
        <w:ind w:left="560" w:right="540"/>
        <w:spacing w:after="0" w:line="282" w:lineRule="auto"/>
        <w:rPr>
          <w:sz w:val="20"/>
          <w:szCs w:val="20"/>
          <w:color w:val="auto"/>
        </w:rPr>
      </w:pPr>
      <w:r>
        <w:rPr>
          <w:rFonts w:ascii="Times New Roman" w:cs="Times New Roman" w:eastAsia="Times New Roman" w:hAnsi="Times New Roman"/>
          <w:sz w:val="18"/>
          <w:szCs w:val="18"/>
          <w:color w:val="auto"/>
        </w:rPr>
        <w:t>Should any of the events described above occur, this could have a material adverse effect on our business, financial condition and results of operations.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67"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biotechnology industry, in particular for our lead product candidate, TX45, TX2100, our business, financial condition and results of operations could be materially adversely affected.</w:t>
      </w:r>
    </w:p>
    <w:p>
      <w:pPr>
        <w:spacing w:after="0" w:line="188" w:lineRule="exact"/>
        <w:rPr>
          <w:sz w:val="20"/>
          <w:szCs w:val="20"/>
          <w:color w:val="auto"/>
        </w:rPr>
      </w:pPr>
    </w:p>
    <w:p>
      <w:pPr>
        <w:ind w:left="56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product candidates we develop,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any product candidates we develop, and we may be unsuccessful. While we have not made a determination on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w:t>
      </w:r>
    </w:p>
    <w:p>
      <w:pPr>
        <w:spacing w:after="0" w:line="192"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w:t>
      </w:r>
    </w:p>
    <w:p>
      <w:pPr>
        <w:spacing w:after="0" w:line="176" w:lineRule="exact"/>
        <w:rPr>
          <w:sz w:val="20"/>
          <w:szCs w:val="20"/>
          <w:color w:val="auto"/>
        </w:rPr>
      </w:pPr>
    </w:p>
    <w:p>
      <w:pPr>
        <w:ind w:left="560" w:right="80"/>
        <w:spacing w:after="0" w:line="253" w:lineRule="auto"/>
        <w:rPr>
          <w:sz w:val="20"/>
          <w:szCs w:val="20"/>
          <w:color w:val="auto"/>
        </w:rPr>
      </w:pPr>
      <w:r>
        <w:rPr>
          <w:rFonts w:ascii="Times New Roman" w:cs="Times New Roman" w:eastAsia="Times New Roman" w:hAnsi="Times New Roman"/>
          <w:sz w:val="18"/>
          <w:szCs w:val="18"/>
          <w:color w:val="auto"/>
        </w:rPr>
        <w:t>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ind w:left="56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commercialize any product candidate for which we receive regulatory approval, or experience significant delays in doing so, our business will be materially harmed.</w:t>
      </w:r>
    </w:p>
    <w:p>
      <w:pPr>
        <w:spacing w:after="0" w:line="51" w:lineRule="exact"/>
        <w:rPr>
          <w:sz w:val="20"/>
          <w:szCs w:val="20"/>
          <w:color w:val="auto"/>
        </w:rPr>
      </w:pPr>
    </w:p>
    <w:p>
      <w:pPr>
        <w:ind w:left="560" w:right="40"/>
        <w:spacing w:after="0" w:line="282" w:lineRule="auto"/>
        <w:rPr>
          <w:sz w:val="20"/>
          <w:szCs w:val="20"/>
          <w:color w:val="auto"/>
        </w:rPr>
      </w:pPr>
      <w:r>
        <w:rPr>
          <w:rFonts w:ascii="Times New Roman" w:cs="Times New Roman" w:eastAsia="Times New Roman" w:hAnsi="Times New Roman"/>
          <w:sz w:val="18"/>
          <w:szCs w:val="18"/>
          <w:color w:val="auto"/>
        </w:rPr>
        <w:t>If we are successful in obtaining marketing approval from applicable regulatory authorities for TX45 or any other product candidate, our ability to generate revenues from any such products will depend on our success in:</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such products, whether alone or in collaboration with others;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approved labels with claims that are necessary or desirable for successful marketing, and that do not contain safety or other limitations that would impede our ability to market such products;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market demand for such products through marketing, sales and promotion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training, and deploying a sales force or contracting with third parties to commercialize such products in the United States;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strategic collaborations with, or offering licenses to, third parties to promote and sell such products in foreign markets where we receive marketing approval;</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such products (i) in sufficient quantities, (ii) at acceptable quality and cost and (iii) in a presentation that is practical and compatible with the intended clinical use to meet commercial demand at launch and thereafter;</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wholesalers, distributors, and group purchasing organizations on commercially reasonable terms;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patent and trade secret protection and regulatory exclusivity for such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market acceptance of such products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coverage and adequate reimbursement from third-party payors for such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in the absence of such coverage and adequate reimbursement from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such products following launch.</w:t>
      </w:r>
    </w:p>
    <w:p>
      <w:pPr>
        <w:spacing w:after="0" w:line="225"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To the extent we are not able to do any of the foregoing, our business, financial condition, results of operations, stock price and prospects will be materially harmed.</w:t>
      </w:r>
    </w:p>
    <w:p>
      <w:pPr>
        <w:spacing w:after="0" w:line="158" w:lineRule="exact"/>
        <w:rPr>
          <w:sz w:val="20"/>
          <w:szCs w:val="20"/>
          <w:color w:val="auto"/>
        </w:rPr>
      </w:pPr>
    </w:p>
    <w:p>
      <w:pPr>
        <w:ind w:left="56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ind w:left="560" w:right="20"/>
        <w:spacing w:after="0" w:line="252" w:lineRule="auto"/>
        <w:rPr>
          <w:sz w:val="20"/>
          <w:szCs w:val="20"/>
          <w:color w:val="auto"/>
        </w:rPr>
      </w:pPr>
      <w:r>
        <w:rPr>
          <w:rFonts w:ascii="Times New Roman" w:cs="Times New Roman" w:eastAsia="Times New Roman" w:hAnsi="Times New Roman"/>
          <w:sz w:val="18"/>
          <w:szCs w:val="18"/>
          <w:color w:val="auto"/>
        </w:rPr>
        <w:t>The biotechnology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196"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We compete in the segments of the biotechnology, pharmaceutical and other related industries that develop and market therapies for the treatment of Group 2 PH with HFpEF and Hereditary Hemorrhagic Telangiectasia (“HHT”) disorders. Although there are no other companies who have commercialized therapies for the same therapeutic areas that our product candidates target, there are many other companies, including large biotechnology and pharmaceutical companies, that are developing therapies for the same therapeutic areas. For example, AstraZeneca and Tenax Therapeutics for the treatment of Group 2 PH and Diagonal Therapeutics and Vaderis Therapeutics for the treatment of HHT. Also, treatments that could potentially be of use across all HFpEF patients, such as are currently being developed by Lilly and others, could also benefit the Group 2 PH subgroup of the HFpEF population and thus represent competition for us in this segment as well.</w:t>
      </w:r>
    </w:p>
    <w:p>
      <w:pPr>
        <w:spacing w:after="0" w:line="189" w:lineRule="exact"/>
        <w:rPr>
          <w:sz w:val="20"/>
          <w:szCs w:val="20"/>
          <w:color w:val="auto"/>
        </w:rPr>
      </w:pPr>
    </w:p>
    <w:p>
      <w:pPr>
        <w:ind w:left="560" w:right="60"/>
        <w:spacing w:after="0" w:line="255" w:lineRule="auto"/>
        <w:rPr>
          <w:sz w:val="20"/>
          <w:szCs w:val="20"/>
          <w:color w:val="auto"/>
        </w:rPr>
      </w:pPr>
      <w:r>
        <w:rPr>
          <w:rFonts w:ascii="Times New Roman" w:cs="Times New Roman" w:eastAsia="Times New Roman" w:hAnsi="Times New Roman"/>
          <w:sz w:val="18"/>
          <w:szCs w:val="18"/>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sectPr>
          <w:pgSz w:w="11900" w:h="16838" w:orient="portrait"/>
          <w:cols w:equalWidth="0" w:num="1">
            <w:col w:w="11120"/>
          </w:cols>
          <w:pgMar w:left="320" w:top="455" w:right="459" w:bottom="1440" w:gutter="0" w:footer="0" w:header="0"/>
        </w:sectPr>
      </w:pP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have a sales or marketing infrastructure and have no experience in the sale or marketing of biotechnology products. To achieve commercial success for any approved product, we must develop or acquire a sales and marketing organization, outsource these functions to third parties or enter into strategic collaborations.</w:t>
      </w:r>
    </w:p>
    <w:p>
      <w:pPr>
        <w:spacing w:after="0" w:line="67" w:lineRule="exact"/>
        <w:rPr>
          <w:sz w:val="20"/>
          <w:szCs w:val="20"/>
          <w:color w:val="auto"/>
        </w:rPr>
      </w:pPr>
    </w:p>
    <w:p>
      <w:pPr>
        <w:ind w:left="560" w:right="80"/>
        <w:spacing w:after="0" w:line="254" w:lineRule="auto"/>
        <w:rPr>
          <w:sz w:val="20"/>
          <w:szCs w:val="20"/>
          <w:color w:val="auto"/>
        </w:rPr>
      </w:pPr>
      <w:r>
        <w:rPr>
          <w:rFonts w:ascii="Times New Roman" w:cs="Times New Roman" w:eastAsia="Times New Roman" w:hAnsi="Times New Roman"/>
          <w:sz w:val="18"/>
          <w:szCs w:val="18"/>
          <w:color w:val="auto"/>
        </w:rPr>
        <w:t>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biotechnology products. In addition, recruiting and training a sales force is expensive and time 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w:t>
      </w:r>
    </w:p>
    <w:p>
      <w:pPr>
        <w:spacing w:after="0" w:line="9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educate adequate numbers of physicians on the benefits of our products;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marketing and promotion above those anticipated by us.</w:t>
      </w:r>
    </w:p>
    <w:p>
      <w:pPr>
        <w:spacing w:after="0" w:line="225" w:lineRule="exact"/>
        <w:rPr>
          <w:sz w:val="20"/>
          <w:szCs w:val="20"/>
          <w:color w:val="auto"/>
        </w:rPr>
      </w:pPr>
    </w:p>
    <w:p>
      <w:pPr>
        <w:ind w:left="560" w:right="40"/>
        <w:spacing w:after="0" w:line="254"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w:t>
      </w:r>
    </w:p>
    <w:p>
      <w:pPr>
        <w:spacing w:after="0" w:line="192" w:lineRule="exact"/>
        <w:rPr>
          <w:sz w:val="20"/>
          <w:szCs w:val="20"/>
          <w:color w:val="auto"/>
        </w:rPr>
      </w:pPr>
    </w:p>
    <w:p>
      <w:pPr>
        <w:ind w:left="560" w:right="300"/>
        <w:spacing w:after="0" w:line="266" w:lineRule="auto"/>
        <w:rPr>
          <w:sz w:val="20"/>
          <w:szCs w:val="20"/>
          <w:color w:val="auto"/>
        </w:rPr>
      </w:pPr>
      <w:r>
        <w:rPr>
          <w:rFonts w:ascii="Times New Roman" w:cs="Times New Roman" w:eastAsia="Times New Roman" w:hAnsi="Times New Roman"/>
          <w:sz w:val="18"/>
          <w:szCs w:val="18"/>
          <w:color w:val="auto"/>
        </w:rPr>
        <w:t>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w:t>
      </w:r>
    </w:p>
    <w:p>
      <w:pPr>
        <w:spacing w:after="0" w:line="172" w:lineRule="exact"/>
        <w:rPr>
          <w:sz w:val="20"/>
          <w:szCs w:val="20"/>
          <w:color w:val="auto"/>
        </w:rPr>
      </w:pPr>
    </w:p>
    <w:p>
      <w:pPr>
        <w:ind w:left="56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 The revenues that we generate from our sales may be limited, and we may never become profitable.</w:t>
      </w:r>
    </w:p>
    <w:p>
      <w:pPr>
        <w:spacing w:after="0" w:line="67" w:lineRule="exact"/>
        <w:rPr>
          <w:sz w:val="20"/>
          <w:szCs w:val="20"/>
          <w:color w:val="auto"/>
        </w:rPr>
      </w:pPr>
    </w:p>
    <w:p>
      <w:pPr>
        <w:ind w:left="560" w:right="60"/>
        <w:spacing w:after="0" w:line="255"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89"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w:t>
      </w:r>
    </w:p>
    <w:p>
      <w:pPr>
        <w:spacing w:after="0" w:line="85" w:lineRule="exact"/>
        <w:rPr>
          <w:sz w:val="20"/>
          <w:szCs w:val="20"/>
          <w:color w:val="auto"/>
        </w:rPr>
      </w:pPr>
    </w:p>
    <w:p>
      <w:pPr>
        <w:ind w:left="5540" w:right="4960" w:hanging="4884"/>
        <w:spacing w:after="0" w:line="367" w:lineRule="auto"/>
        <w:tabs>
          <w:tab w:leader="none" w:pos="109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our product candidates are approved; 47</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and patients considering our product candidates as a safe and effective treatment;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comparable foreign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 or comparable foreign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in relation to other potentially competitive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product candidates in relation to alternative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upfront costs or training required for physicians to administer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third-party payors and government authorities;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comprehensive coverage and reimbursement by third-party payors and government authorities;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including as compared to alternative treatments and competitive therapies;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distribution support;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or perceived risk of potential product liability claims.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may negatively impact our ability to profitably sell TX45 and any potential future product candidates, if approved.</w:t>
      </w:r>
    </w:p>
    <w:p>
      <w:pPr>
        <w:spacing w:after="0" w:line="121" w:lineRule="exact"/>
        <w:rPr>
          <w:sz w:val="20"/>
          <w:szCs w:val="20"/>
          <w:color w:val="auto"/>
        </w:rPr>
      </w:pPr>
    </w:p>
    <w:p>
      <w:pPr>
        <w:ind w:left="560" w:right="400"/>
        <w:spacing w:after="0" w:line="261"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or any potential future product candidates, restrict or regulate post-approval activities and affect our ability to profitably sell any product for which we obtain marketing approval.</w:t>
      </w:r>
    </w:p>
    <w:p>
      <w:pPr>
        <w:spacing w:after="0" w:line="180"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 While Congress has not passed comprehensive legislation repealing the ACA, such legislation may be reintroduced. Members of Congress have introduced legislation to modify or replace certain provisions of the ACA. It is unclear how these efforts to repeal and/or replace the ACA will impact the ACA and our business. For example, the Tax Cuts and Jobs Act, repealed the tax-based shared responsibility payment imposed by the ACA on certain individuals who fail to maintain qualifying health coverage that is commonly referred to as the “individual mandate.” On June 17, 2021, the Supreme Court dismissed a challenge on procedural grounds that argued the ACA is unconstitutional in its entirety because the “individual mandate” was repealed by Congress. Prior to the United States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7" w:lineRule="exact"/>
        <w:rPr>
          <w:sz w:val="20"/>
          <w:szCs w:val="20"/>
          <w:color w:val="auto"/>
        </w:rPr>
      </w:pPr>
    </w:p>
    <w:p>
      <w:pPr>
        <w:ind w:left="560" w:right="80"/>
        <w:spacing w:after="0" w:line="261" w:lineRule="auto"/>
        <w:rPr>
          <w:sz w:val="20"/>
          <w:szCs w:val="20"/>
          <w:color w:val="auto"/>
        </w:rPr>
      </w:pPr>
      <w:r>
        <w:rPr>
          <w:rFonts w:ascii="Times New Roman" w:cs="Times New Roman" w:eastAsia="Times New Roman" w:hAnsi="Times New Roman"/>
          <w:sz w:val="18"/>
          <w:szCs w:val="18"/>
          <w:color w:val="auto"/>
        </w:rPr>
        <w:t>Further, on July 9, 2021, President Biden issued an executive order directing the FDA to, among other things, continue to clarify and improve the approval framework for generic drugs and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generic drug and biosimilar competition.</w:t>
      </w:r>
    </w:p>
    <w:p>
      <w:pPr>
        <w:spacing w:after="0" w:line="180" w:lineRule="exact"/>
        <w:rPr>
          <w:sz w:val="20"/>
          <w:szCs w:val="20"/>
          <w:color w:val="auto"/>
        </w:rPr>
      </w:pPr>
    </w:p>
    <w:p>
      <w:pPr>
        <w:ind w:left="560" w:right="20"/>
        <w:spacing w:after="0" w:line="255" w:lineRule="auto"/>
        <w:rPr>
          <w:sz w:val="20"/>
          <w:szCs w:val="20"/>
          <w:color w:val="auto"/>
        </w:rPr>
      </w:pPr>
      <w:r>
        <w:rPr>
          <w:rFonts w:ascii="Times New Roman" w:cs="Times New Roman" w:eastAsia="Times New Roman" w:hAnsi="Times New Roman"/>
          <w:sz w:val="18"/>
          <w:szCs w:val="18"/>
          <w:color w:val="auto"/>
        </w:rPr>
        <w:t>Additionally, on August 16, 2022, President Biden signed the Inflation Reduction Act (the “IRA”), into law, which among other things, (1) directs the Department of Health and Human Services (the “HHS”), to negotiate the price of certain single-source drugs and biologics covered under Medicare and (2) imposes rebates under Medicare Part B and Medicare Part D to penalize price increases that outpace inflation. The IRA includes certain exemptions to the price negotiation program, including a limited exemption for products with orphan drug designation. This exemption applies only to products with one orphan drug designation that is (i) for a rare disease or condition and (ii) is approved for indication(s) for such rare disease or condition. By limiting price negotiation exemption to products with only one orphan drug designation, the IRA may decrease our interest in pursuing orphan drug designation for our product candidates in multiple indications. The IRA also, among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These provisions take effect progressively starting in fiscal year 2023. On August 15, 2024, HHS announced the agreed-upon reimbursement prices of the first ten drugs that were subject to price negotiations, although the Medicare drug price negotiation program is currently subject to legal challenges. HHS will select up to fifteen additional drugs covered under Part D for price negotiation in 2025. The IRA permits HHS to implement many of these provisions through guidance, as opposed to regulation, for the initial years. HHS has and will continue to issue and update guidance as these programs are implemented. It is possible that the ACA and IRA may be subject to judicial or Congressional challenges in the future. It is unclear how any additional healthcare reform measures may impact the ACA or IRA, increase the pressure on drug pricing or limit the availability of coverage and adequate reimbursement for TX45 and any potential future product candidates, which would adversely affect our business.</w:t>
      </w:r>
    </w:p>
    <w:p>
      <w:pPr>
        <w:spacing w:after="0" w:line="194" w:lineRule="exact"/>
        <w:rPr>
          <w:sz w:val="20"/>
          <w:szCs w:val="20"/>
          <w:color w:val="auto"/>
        </w:rPr>
      </w:pPr>
    </w:p>
    <w:p>
      <w:pPr>
        <w:ind w:left="560" w:right="20"/>
        <w:spacing w:after="0" w:line="252" w:lineRule="auto"/>
        <w:rPr>
          <w:sz w:val="20"/>
          <w:szCs w:val="20"/>
          <w:color w:val="auto"/>
        </w:rPr>
      </w:pPr>
      <w:r>
        <w:rPr>
          <w:rFonts w:ascii="Times New Roman" w:cs="Times New Roman" w:eastAsia="Times New Roman" w:hAnsi="Times New Roman"/>
          <w:sz w:val="18"/>
          <w:szCs w:val="18"/>
          <w:color w:val="auto"/>
        </w:rPr>
        <w:t>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an executive order, the administration of President Biden expressed its intent to pursue certain policy initiatives to reduce drug prices and, in response, HHS released a Comprehensive Plan for Addressing High Drug Prices that outlines principles for drug pricing reform and sets out a variety of potential legislative policies that Congress could pursue to lower drug prices. Further, in response to the Biden administration’s October 2022 executive order, on February 14, 2023, HHS released a report outlining three new models for testing by the Centers for Medicare &amp; Medicaid Services (“CMS”), Innovation Center which will be evaluated on their ability to lower the cost of drugs, promote accessibility, and improve the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91"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particularly in light of the recent U.S. presidential and Congressional elections. Such reforms could have an adverse effect on anticipated revenue from TX45 and any potential future product candidates that we may successfully develop and for which we may obtain regulatory approval and may affect our overall financial condition and ability to develop product candidates.</w:t>
      </w:r>
    </w:p>
    <w:p>
      <w:pPr>
        <w:spacing w:after="0" w:line="183" w:lineRule="exact"/>
        <w:rPr>
          <w:sz w:val="20"/>
          <w:szCs w:val="20"/>
          <w:color w:val="auto"/>
        </w:rPr>
      </w:pPr>
    </w:p>
    <w:p>
      <w:pPr>
        <w:ind w:left="560" w:right="100"/>
        <w:spacing w:after="0" w:line="256" w:lineRule="auto"/>
        <w:rPr>
          <w:sz w:val="20"/>
          <w:szCs w:val="20"/>
          <w:color w:val="auto"/>
        </w:rPr>
      </w:pPr>
      <w:r>
        <w:rPr>
          <w:rFonts w:ascii="Times New Roman" w:cs="Times New Roman" w:eastAsia="Times New Roman" w:hAnsi="Times New Roman"/>
          <w:sz w:val="18"/>
          <w:szCs w:val="18"/>
          <w:color w:val="auto"/>
        </w:rPr>
        <w:t>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w:t>
      </w:r>
    </w:p>
    <w:p>
      <w:pPr>
        <w:spacing w:after="0" w:line="187" w:lineRule="exact"/>
        <w:rPr>
          <w:sz w:val="20"/>
          <w:szCs w:val="20"/>
          <w:color w:val="auto"/>
        </w:rPr>
      </w:pPr>
    </w:p>
    <w:p>
      <w:pPr>
        <w:ind w:left="560" w:right="60"/>
        <w:spacing w:after="0" w:line="253" w:lineRule="auto"/>
        <w:rPr>
          <w:sz w:val="20"/>
          <w:szCs w:val="20"/>
          <w:color w:val="auto"/>
        </w:rPr>
      </w:pPr>
      <w:r>
        <w:rPr>
          <w:rFonts w:ascii="Times New Roman" w:cs="Times New Roman" w:eastAsia="Times New Roman" w:hAnsi="Times New Roman"/>
          <w:sz w:val="18"/>
          <w:szCs w:val="18"/>
          <w:color w:val="auto"/>
        </w:rPr>
        <w:t>Many countries implement health technology assessment (“HTA”), procedures that use formal economic metrics such as cost-effectiveness to determine prices, coverage and reimbursement of new therapies. These assessments are increasingly implemented in established and emerging markets. In the EU, Regulation (EU) 2021/2282 on Health Technology Assessment, which will become effective on January 12,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w:t>
      </w:r>
    </w:p>
    <w:p>
      <w:pPr>
        <w:spacing w:after="0" w:line="180" w:lineRule="exact"/>
        <w:rPr>
          <w:sz w:val="20"/>
          <w:szCs w:val="20"/>
          <w:color w:val="auto"/>
        </w:rPr>
      </w:pPr>
    </w:p>
    <w:p>
      <w:pPr>
        <w:ind w:left="560" w:right="100"/>
        <w:spacing w:after="0" w:line="289" w:lineRule="auto"/>
        <w:rPr>
          <w:sz w:val="20"/>
          <w:szCs w:val="20"/>
          <w:color w:val="auto"/>
        </w:rPr>
      </w:pPr>
      <w:r>
        <w:rPr>
          <w:rFonts w:ascii="Times New Roman" w:cs="Times New Roman" w:eastAsia="Times New Roman" w:hAnsi="Times New Roman"/>
          <w:sz w:val="17"/>
          <w:szCs w:val="17"/>
          <w:color w:val="auto"/>
        </w:rPr>
        <w:t>We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w:t>
      </w:r>
    </w:p>
    <w:p>
      <w:pPr>
        <w:spacing w:after="0" w:line="158" w:lineRule="exact"/>
        <w:rPr>
          <w:sz w:val="20"/>
          <w:szCs w:val="20"/>
          <w:color w:val="auto"/>
        </w:rPr>
      </w:pPr>
    </w:p>
    <w:p>
      <w:pPr>
        <w:ind w:left="560" w:right="160"/>
        <w:spacing w:after="0" w:line="266" w:lineRule="auto"/>
        <w:rPr>
          <w:sz w:val="20"/>
          <w:szCs w:val="20"/>
          <w:color w:val="auto"/>
        </w:rPr>
      </w:pPr>
      <w:r>
        <w:rPr>
          <w:rFonts w:ascii="Times New Roman" w:cs="Times New Roman" w:eastAsia="Times New Roman" w:hAnsi="Times New Roman"/>
          <w:sz w:val="18"/>
          <w:szCs w:val="18"/>
          <w:color w:val="auto"/>
        </w:rPr>
        <w:t>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72" w:lineRule="exact"/>
        <w:rPr>
          <w:sz w:val="20"/>
          <w:szCs w:val="20"/>
          <w:color w:val="auto"/>
        </w:rPr>
      </w:pPr>
    </w:p>
    <w:p>
      <w:pPr>
        <w:ind w:left="56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ind w:left="560" w:right="280"/>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w:t>
      </w:r>
    </w:p>
    <w:p>
      <w:pPr>
        <w:spacing w:after="0" w:line="179" w:lineRule="exact"/>
        <w:rPr>
          <w:sz w:val="20"/>
          <w:szCs w:val="20"/>
          <w:color w:val="auto"/>
        </w:rPr>
      </w:pPr>
    </w:p>
    <w:p>
      <w:pPr>
        <w:ind w:left="56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w:t>
      </w:r>
    </w:p>
    <w:p>
      <w:pPr>
        <w:spacing w:after="0" w:line="89" w:lineRule="exact"/>
        <w:rPr>
          <w:sz w:val="20"/>
          <w:szCs w:val="20"/>
          <w:color w:val="auto"/>
        </w:rPr>
      </w:pPr>
    </w:p>
    <w:p>
      <w:pPr>
        <w:ind w:left="1080" w:right="180" w:hanging="424"/>
        <w:spacing w:after="0" w:line="254"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 “FCA”) or federal civil monetary penalties;</w:t>
      </w:r>
    </w:p>
    <w:p>
      <w:pPr>
        <w:spacing w:after="0" w:line="93"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8"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88" w:lineRule="exact"/>
        <w:rPr>
          <w:rFonts w:ascii="Times New Roman" w:cs="Times New Roman" w:eastAsia="Times New Roman" w:hAnsi="Times New Roman"/>
          <w:sz w:val="18"/>
          <w:szCs w:val="18"/>
          <w:color w:val="auto"/>
        </w:rPr>
      </w:pPr>
    </w:p>
    <w:p>
      <w:pPr>
        <w:ind w:left="1080" w:right="40" w:hanging="424"/>
        <w:spacing w:after="0" w:line="253"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99"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spacing w:after="0" w:line="92" w:lineRule="exact"/>
        <w:rPr>
          <w:rFonts w:ascii="Times New Roman" w:cs="Times New Roman" w:eastAsia="Times New Roman" w:hAnsi="Times New Roman"/>
          <w:sz w:val="18"/>
          <w:szCs w:val="18"/>
          <w:color w:val="auto"/>
        </w:rPr>
      </w:pPr>
    </w:p>
    <w:p>
      <w:pPr>
        <w:ind w:left="1080" w:right="20" w:hanging="424"/>
        <w:spacing w:after="0" w:line="253"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federal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w:t>
      </w:r>
    </w:p>
    <w:p>
      <w:pPr>
        <w:spacing w:after="0" w:line="194" w:lineRule="exact"/>
        <w:rPr>
          <w:sz w:val="20"/>
          <w:szCs w:val="20"/>
          <w:color w:val="auto"/>
        </w:rPr>
      </w:pPr>
    </w:p>
    <w:p>
      <w:pPr>
        <w:ind w:left="560" w:right="80"/>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192" w:lineRule="exact"/>
        <w:rPr>
          <w:sz w:val="20"/>
          <w:szCs w:val="20"/>
          <w:color w:val="auto"/>
        </w:rPr>
      </w:pPr>
    </w:p>
    <w:p>
      <w:pPr>
        <w:ind w:left="560" w:right="120"/>
        <w:spacing w:after="0" w:line="261" w:lineRule="auto"/>
        <w:rPr>
          <w:sz w:val="20"/>
          <w:szCs w:val="20"/>
          <w:color w:val="auto"/>
        </w:rPr>
      </w:pPr>
      <w:r>
        <w:rPr>
          <w:rFonts w:ascii="Times New Roman" w:cs="Times New Roman" w:eastAsia="Times New Roman" w:hAnsi="Times New Roman"/>
          <w:sz w:val="18"/>
          <w:szCs w:val="18"/>
          <w:color w:val="auto"/>
        </w:rPr>
        <w:t>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in the future by political unrest in China, as well as the effects of disease outbreaks, epidemics and pandemics.</w:t>
      </w:r>
    </w:p>
    <w:p>
      <w:pPr>
        <w:spacing w:after="0" w:line="51"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Disease outbreaks, epidemics and pandemics in regions where we may have clinical trial sites or other business operations could adversely affect our business, including by causing significant disruptions in our operations and/or in the operations of third-party manufacturers and CROs upon whom we rely. Disease outbreaks, epidemics and pandemics have negative impacts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TX45, TX2100 and any potential future product candidates, if at all. Disease outbreaks, epidemics and pandemics also could adversely impact clinical trial results for TX45 or other future potential product candidates, such as by diminishing or eliminating their efficacy or by producing a safety concern, either through direct biological effects or through confounding of the data collection and analysis. This adverse impact could terminate further development of TX45, result in a lack of product approval by the FDA or other regulatory authorities, delay the timing (and/or increase the cost) of a product approval by the FDA or other regulatory authorities, lead to a restrictive product label that significantly limits prescribing of an approved product, delay or preclude reimbursement by payors, or significantly limit or preclude the commercialization of TX45.</w:t>
      </w:r>
    </w:p>
    <w:p>
      <w:pPr>
        <w:spacing w:after="0" w:line="192" w:lineRule="exact"/>
        <w:rPr>
          <w:sz w:val="20"/>
          <w:szCs w:val="20"/>
          <w:color w:val="auto"/>
        </w:rPr>
      </w:pPr>
    </w:p>
    <w:p>
      <w:pPr>
        <w:ind w:left="560" w:right="20"/>
        <w:spacing w:after="0" w:line="252" w:lineRule="auto"/>
        <w:rPr>
          <w:sz w:val="20"/>
          <w:szCs w:val="20"/>
          <w:color w:val="auto"/>
        </w:rPr>
      </w:pPr>
      <w:r>
        <w:rPr>
          <w:rFonts w:ascii="Times New Roman" w:cs="Times New Roman" w:eastAsia="Times New Roman" w:hAnsi="Times New Roman"/>
          <w:sz w:val="18"/>
          <w:szCs w:val="18"/>
          <w:color w:val="auto"/>
        </w:rPr>
        <w:t>In addition, because our key manufacturer and supplier for TX45 is located in China, we are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 may not continue to provide us with battery components in our required quantities, to our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recently proposed BIOSECURE Act passed in the U.S. House of Representatives, as well as a substantially similar bill in the U.S. Senate, target U.S. government contracts, grants, and loans for entities that use equipment and services from certain named Chinese biotechnology companies, and would authorize the U.S. government to name additional Chinese biotechnology companies of concern. If these bills become law, or similar laws are passed, they would have the potential to severely restrict the ability of companies to work with certain Chinese biotechnology companies of concern without losing the ability to contract with, or otherwise receive funding from, the U.S. government. Such disruption could have adverse effects on the development of our product candidates and our business operations.</w:t>
      </w:r>
    </w:p>
    <w:p>
      <w:pPr>
        <w:spacing w:after="0" w:line="188" w:lineRule="exact"/>
        <w:rPr>
          <w:sz w:val="20"/>
          <w:szCs w:val="20"/>
          <w:color w:val="auto"/>
        </w:rPr>
      </w:pPr>
    </w:p>
    <w:p>
      <w:pPr>
        <w:ind w:left="56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supply chain issues may be exacerbated during disease outbreaks, epidemics and pandemics and may also impact the ability of our clinical trial sites to obtain basic medical supplies used in our trials in a timely fashion, if at all.</w:t>
      </w:r>
    </w:p>
    <w:p>
      <w:pPr>
        <w:spacing w:after="0" w:line="51" w:lineRule="exact"/>
        <w:rPr>
          <w:sz w:val="20"/>
          <w:szCs w:val="20"/>
          <w:color w:val="auto"/>
        </w:rPr>
      </w:pPr>
    </w:p>
    <w:p>
      <w:pPr>
        <w:ind w:left="560" w:right="40"/>
        <w:spacing w:after="0" w:line="272" w:lineRule="auto"/>
        <w:rPr>
          <w:sz w:val="20"/>
          <w:szCs w:val="20"/>
          <w:color w:val="auto"/>
        </w:rPr>
      </w:pPr>
      <w:r>
        <w:rPr>
          <w:rFonts w:ascii="Times New Roman" w:cs="Times New Roman" w:eastAsia="Times New Roman" w:hAnsi="Times New Roman"/>
          <w:sz w:val="17"/>
          <w:szCs w:val="17"/>
          <w:color w:val="auto"/>
        </w:rPr>
        <w:t>If our contract manufacturing organizations (“CMOs”)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TX45 or TX2100 on our anticipated development timelines. Likewise, the operations of our third-party manufacturers may be requisitioned, diverted or allocated by U.S. or foreign government orders. If any of our CMOs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w:t>
      </w:r>
    </w:p>
    <w:p>
      <w:pPr>
        <w:spacing w:after="0" w:line="168" w:lineRule="exact"/>
        <w:rPr>
          <w:sz w:val="20"/>
          <w:szCs w:val="20"/>
          <w:color w:val="auto"/>
        </w:rPr>
      </w:pPr>
    </w:p>
    <w:p>
      <w:pPr>
        <w:ind w:left="56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left="560" w:right="80"/>
        <w:spacing w:after="0" w:line="281" w:lineRule="auto"/>
        <w:rPr>
          <w:sz w:val="20"/>
          <w:szCs w:val="20"/>
          <w:color w:val="auto"/>
        </w:rPr>
      </w:pPr>
      <w:r>
        <w:rPr>
          <w:rFonts w:ascii="Times New Roman" w:cs="Times New Roman" w:eastAsia="Times New Roman" w:hAnsi="Times New Roman"/>
          <w:sz w:val="17"/>
          <w:szCs w:val="17"/>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meets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64"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the ability to gain market share and whether we own the commercial rights for that territory. If the number of our addressable patients is not as significant as we estimate, the indication approved by regulatory authorities is narrower than our expects or the treatment population is narrowed by competition, physician choice or treatment guidelines, we may not generate significant revenue from sales of such products, even if approved.</w:t>
      </w:r>
    </w:p>
    <w:p>
      <w:pPr>
        <w:sectPr>
          <w:pgSz w:w="11900" w:h="16838" w:orient="portrait"/>
          <w:cols w:equalWidth="0" w:num="1">
            <w:col w:w="11100"/>
          </w:cols>
          <w:pgMar w:left="320" w:top="455" w:right="479" w:bottom="1440" w:gutter="0" w:footer="0" w:header="0"/>
        </w:sectPr>
      </w:pP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approval to market TX45 or other potential future product candidates, these products may become subject to unfavorable pricing regulations, reimbursement practices from third-party payors or healthcare reform initiatives in the United States and abroad, which could harm our business.</w:t>
      </w:r>
    </w:p>
    <w:p>
      <w:pPr>
        <w:spacing w:after="0" w:line="67" w:lineRule="exact"/>
        <w:rPr>
          <w:sz w:val="20"/>
          <w:szCs w:val="20"/>
          <w:color w:val="auto"/>
        </w:rPr>
      </w:pPr>
    </w:p>
    <w:p>
      <w:pPr>
        <w:ind w:left="560" w:right="40"/>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obtains marketing approval.</w:t>
      </w:r>
    </w:p>
    <w:p>
      <w:pPr>
        <w:spacing w:after="0" w:line="192"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the CMS an agency within the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w:t>
      </w:r>
    </w:p>
    <w:p>
      <w:pPr>
        <w:spacing w:after="0" w:line="197" w:lineRule="exact"/>
        <w:rPr>
          <w:sz w:val="20"/>
          <w:szCs w:val="20"/>
          <w:color w:val="auto"/>
        </w:rPr>
      </w:pPr>
    </w:p>
    <w:p>
      <w:pPr>
        <w:ind w:left="560" w:right="80"/>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Our inability to promptly obtain coverage and profitable reimbursement rates from both government-funded and private payors for any approved products that we develop could have a material adverse effect on our operating results, ability to raise capital needed to commercialize products and overall financial condition.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56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51"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and trade secret protection of our proprietary technologies and our product candidates, their respective components,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In addition, we cannot guarantee that patent applications or patents that we initially believe to be owned by the company will not be encumbered by third party ownership or other third party rights that may not have been evident to us at the time of preparation or filing. For instance, such rights could arise from the intellectual contributions of company employees who were previously employed by third parties, such as universities or other biopharmaceutical or pharmaceutical companies, including our competitors or potential competitors, or from the intellectual contributions of company consultants, advisors, or independent contractors with current or previous relationships with such third parties. Therefore, these patents and applications may not be prepared, filed, prosecuted or enforced in a manner consistent with the best interests of our business. Furthermore, licenses from such third parties may be required or desirable but may not be available on reasonable terms, or at all.</w:t>
      </w:r>
    </w:p>
    <w:p>
      <w:pPr>
        <w:spacing w:after="0" w:line="191" w:lineRule="exact"/>
        <w:rPr>
          <w:sz w:val="20"/>
          <w:szCs w:val="20"/>
          <w:color w:val="auto"/>
        </w:rPr>
      </w:pPr>
    </w:p>
    <w:p>
      <w:pPr>
        <w:ind w:left="560" w:right="180"/>
        <w:spacing w:after="0" w:line="253" w:lineRule="auto"/>
        <w:rPr>
          <w:sz w:val="20"/>
          <w:szCs w:val="20"/>
          <w:color w:val="auto"/>
        </w:rPr>
      </w:pPr>
      <w:r>
        <w:rPr>
          <w:rFonts w:ascii="Times New Roman" w:cs="Times New Roman" w:eastAsia="Times New Roman" w:hAnsi="Times New Roman"/>
          <w:sz w:val="18"/>
          <w:szCs w:val="18"/>
          <w:color w:val="auto"/>
        </w:rPr>
        <w:t>The strength of patents in the biotechnology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its claims. If the breadth or strength of protection provided by the patent applications, we hold with respect to our product candidates is threatened, we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w:t>
      </w:r>
    </w:p>
    <w:p>
      <w:pPr>
        <w:spacing w:after="0" w:line="194"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believe does not affect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92" w:lineRule="exact"/>
        <w:rPr>
          <w:sz w:val="20"/>
          <w:szCs w:val="20"/>
          <w:color w:val="auto"/>
        </w:rPr>
      </w:pPr>
    </w:p>
    <w:p>
      <w:pPr>
        <w:ind w:left="560" w:right="80"/>
        <w:spacing w:after="0" w:line="256" w:lineRule="auto"/>
        <w:rPr>
          <w:sz w:val="20"/>
          <w:szCs w:val="20"/>
          <w:color w:val="auto"/>
        </w:rPr>
      </w:pPr>
      <w:r>
        <w:rPr>
          <w:rFonts w:ascii="Times New Roman" w:cs="Times New Roman" w:eastAsia="Times New Roman" w:hAnsi="Times New Roman"/>
          <w:sz w:val="18"/>
          <w:szCs w:val="18"/>
          <w:color w:val="auto"/>
        </w:rPr>
        <w:t>Recent or future patent reform legislation could increase the uncertainties and costs surrounding the prosecution of our patent applications and the enforcement or defense of our issued patents. Under the enacted Leahy-Smith America Invents Act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our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9"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67" w:lineRule="exact"/>
        <w:rPr>
          <w:sz w:val="20"/>
          <w:szCs w:val="20"/>
          <w:color w:val="auto"/>
        </w:rPr>
      </w:pPr>
    </w:p>
    <w:p>
      <w:pPr>
        <w:ind w:left="1080" w:right="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or cells that are similar to the biological compositions of our product candidates but that are not covered by the claims of our patents;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us or our licensors’ patents, as the case may be, or parts of ours or their patents;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products or technology similar to our own;</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ours or our licensors’, as the case may be, proprietary rights to the same extent as the laws of the United States;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67" w:lineRule="exact"/>
        <w:rPr>
          <w:rFonts w:ascii="Times New Roman" w:cs="Times New Roman" w:eastAsia="Times New Roman" w:hAnsi="Times New Roman"/>
          <w:sz w:val="18"/>
          <w:szCs w:val="18"/>
          <w:color w:val="auto"/>
        </w:rPr>
      </w:pPr>
    </w:p>
    <w:p>
      <w:pPr>
        <w:jc w:val="both"/>
        <w:ind w:left="1080" w:right="4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we develop may be covered by third parties’ patents or other exclusive rights;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1" w:lineRule="exact"/>
        <w:rPr>
          <w:sz w:val="20"/>
          <w:szCs w:val="20"/>
          <w:color w:val="auto"/>
        </w:rPr>
      </w:pPr>
    </w:p>
    <w:p>
      <w:pPr>
        <w:ind w:left="56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51"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licensed from others including Harvard. Any termination of these licenses could result in the loss of significant rights and could harm our ability to commercialize our product candidates.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31" w:lineRule="exact"/>
        <w:rPr>
          <w:sz w:val="20"/>
          <w:szCs w:val="20"/>
          <w:color w:val="auto"/>
        </w:rPr>
      </w:pPr>
    </w:p>
    <w:p>
      <w:pPr>
        <w:ind w:left="1080" w:right="6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 whether and the extent to which our technology and processes infringe on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w:t>
      </w:r>
    </w:p>
    <w:p>
      <w:pPr>
        <w:spacing w:after="0" w:line="162"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is described below. If we or our licensors fail to adequately protect this intellectual property, our ability to commercialize products could suffer.</w:t>
      </w:r>
    </w:p>
    <w:p>
      <w:pPr>
        <w:spacing w:after="0" w:line="188" w:lineRule="exact"/>
        <w:rPr>
          <w:sz w:val="20"/>
          <w:szCs w:val="20"/>
          <w:color w:val="auto"/>
        </w:rPr>
      </w:pPr>
    </w:p>
    <w:p>
      <w:pPr>
        <w:ind w:left="5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patent license with a third party, we could lose license rights that are important to our business.</w:t>
      </w:r>
    </w:p>
    <w:p>
      <w:pPr>
        <w:spacing w:after="0" w:line="51" w:lineRule="exact"/>
        <w:rPr>
          <w:sz w:val="20"/>
          <w:szCs w:val="20"/>
          <w:color w:val="auto"/>
        </w:rPr>
      </w:pPr>
    </w:p>
    <w:p>
      <w:pPr>
        <w:ind w:left="560" w:right="60"/>
        <w:spacing w:after="0" w:line="256" w:lineRule="auto"/>
        <w:rPr>
          <w:sz w:val="20"/>
          <w:szCs w:val="20"/>
          <w:color w:val="auto"/>
        </w:rPr>
      </w:pPr>
      <w:r>
        <w:rPr>
          <w:rFonts w:ascii="Times New Roman" w:cs="Times New Roman" w:eastAsia="Times New Roman" w:hAnsi="Times New Roman"/>
          <w:sz w:val="18"/>
          <w:szCs w:val="18"/>
          <w:color w:val="auto"/>
        </w:rPr>
        <w:t>We are a party to a license agreement pursuant to which we in-license key patent and patent applications for our product candidates. These existing licenses impose various diligence, milestone payment, royalty, insurance and other obligations on us. If we fail to comply with these obligations, our licensors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w:t>
      </w:r>
    </w:p>
    <w:p>
      <w:pPr>
        <w:spacing w:after="0" w:line="187" w:lineRule="exact"/>
        <w:rPr>
          <w:sz w:val="20"/>
          <w:szCs w:val="20"/>
          <w:color w:val="auto"/>
        </w:rPr>
      </w:pPr>
    </w:p>
    <w:p>
      <w:pPr>
        <w:jc w:val="both"/>
        <w:ind w:left="560" w:right="360"/>
        <w:spacing w:after="0" w:line="261" w:lineRule="auto"/>
        <w:rPr>
          <w:sz w:val="20"/>
          <w:szCs w:val="20"/>
          <w:color w:val="auto"/>
        </w:rPr>
      </w:pPr>
      <w:r>
        <w:rPr>
          <w:rFonts w:ascii="Times New Roman" w:cs="Times New Roman" w:eastAsia="Times New Roman" w:hAnsi="Times New Roman"/>
          <w:sz w:val="18"/>
          <w:szCs w:val="18"/>
          <w:color w:val="auto"/>
        </w:rPr>
        <w:t>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our business and competitive position would be harmed.</w:t>
      </w:r>
    </w:p>
    <w:p>
      <w:pPr>
        <w:spacing w:after="0" w:line="121" w:lineRule="exact"/>
        <w:rPr>
          <w:sz w:val="20"/>
          <w:szCs w:val="20"/>
          <w:color w:val="auto"/>
        </w:rPr>
      </w:pPr>
    </w:p>
    <w:p>
      <w:pPr>
        <w:ind w:left="560" w:right="40"/>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rely upon know-how,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by an employee or third party with authorized access, provide adequate protection for our proprietary information. Our security measures may not prevent an employee or consultant from misappropriating our proprietary information and providing them to a competitor, and recourse we take against such misconduct may not provide an adequate remedy to protect our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us. If any of our confidential or proprietary information were to be disclosed or misappropriated, or if any such information was independently developed by a competitor, our competitive position could be harmed.</w:t>
      </w:r>
    </w:p>
    <w:p>
      <w:pPr>
        <w:spacing w:after="0" w:line="192"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proprietary information. If we choose to go to court to stop a third party from using any of our proprietary information, we may incur substantial costs. These lawsuits may consume our time and other resources even if we are successful. Although we take steps to protect our proprietary information and proprietary information, including through contractual means with our employees and consultants, third parties may independently develop substantially equivalent proprietary information and techniques or otherwise gain access to, or disclose, our technology.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40"/>
        <w:spacing w:after="0" w:line="253" w:lineRule="auto"/>
        <w:rPr>
          <w:sz w:val="20"/>
          <w:szCs w:val="20"/>
          <w:color w:val="auto"/>
        </w:rPr>
      </w:pPr>
      <w:r>
        <w:rPr>
          <w:rFonts w:ascii="Times New Roman" w:cs="Times New Roman" w:eastAsia="Times New Roman" w:hAnsi="Times New Roman"/>
          <w:sz w:val="18"/>
          <w:szCs w:val="18"/>
          <w:color w:val="auto"/>
        </w:rPr>
        <w:t>Thus, we may not be able to meaningfully protect our proprietary information.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information by third parties. We have also adopted policies and conduct training that provides guidance on our expectations, and our advice for best practices, in protecting our proprietary information.</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product discovery and development efforts.</w:t>
      </w:r>
    </w:p>
    <w:p>
      <w:pPr>
        <w:spacing w:after="0" w:line="121" w:lineRule="exact"/>
        <w:rPr>
          <w:sz w:val="20"/>
          <w:szCs w:val="20"/>
          <w:color w:val="auto"/>
        </w:rPr>
      </w:pPr>
    </w:p>
    <w:p>
      <w:pPr>
        <w:ind w:left="560" w:right="40"/>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a third-party claims that we infringe its intellectual property rights, we may face a number of issues, including, but not limited to:</w:t>
      </w:r>
    </w:p>
    <w:p>
      <w:pPr>
        <w:spacing w:after="0" w:line="131" w:lineRule="exact"/>
        <w:rPr>
          <w:sz w:val="20"/>
          <w:szCs w:val="20"/>
          <w:color w:val="auto"/>
        </w:rPr>
      </w:pPr>
    </w:p>
    <w:p>
      <w:pPr>
        <w:ind w:left="1080" w:right="1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 party licenses its product rights to us, which it is not required to do;</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its products;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 candidates or processes so they do not infringe, which may not be possible or may require substantial monetary expenditures and time.</w:t>
      </w:r>
    </w:p>
    <w:p>
      <w:pPr>
        <w:spacing w:after="0" w:line="162"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0" w:lineRule="exact"/>
        <w:rPr>
          <w:sz w:val="20"/>
          <w:szCs w:val="20"/>
          <w:color w:val="auto"/>
        </w:rPr>
      </w:pPr>
    </w:p>
    <w:p>
      <w:pPr>
        <w:ind w:left="560" w:right="180"/>
        <w:spacing w:after="0" w:line="258"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Generally, conducting clinical trials and other development activities in the United States is protected under the Safe Harbor exemption as set forth in 35 U.S.C. § 271. If and when TX45 or another one of our product candidates is approved by the FDA, that certain third party may then seek to enforce its patent by filing a patent infringement lawsuit against us. While we do not believe that any claims of such patent that could otherwise materially adversely affect commercialization of its product candidates, if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20"/>
        <w:spacing w:after="0" w:line="252" w:lineRule="auto"/>
        <w:rPr>
          <w:sz w:val="20"/>
          <w:szCs w:val="20"/>
          <w:color w:val="auto"/>
        </w:rPr>
      </w:pPr>
      <w:r>
        <w:rPr>
          <w:rFonts w:ascii="Times New Roman" w:cs="Times New Roman" w:eastAsia="Times New Roman" w:hAnsi="Times New Roman"/>
          <w:sz w:val="18"/>
          <w:szCs w:val="18"/>
          <w:color w:val="auto"/>
        </w:rPr>
        <w:t>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2"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94"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Lastly, we may need to indemnify our customers and distributors against claims relating to the infringement of intellectual property rights of third parties related to our product candidates, including TX45.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w:t>
      </w:r>
    </w:p>
    <w:p>
      <w:pPr>
        <w:spacing w:after="0" w:line="183" w:lineRule="exact"/>
        <w:rPr>
          <w:sz w:val="20"/>
          <w:szCs w:val="20"/>
          <w:color w:val="auto"/>
        </w:rPr>
      </w:pPr>
    </w:p>
    <w:p>
      <w:pPr>
        <w:ind w:left="56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proprietary information.</w:t>
      </w:r>
    </w:p>
    <w:p>
      <w:pPr>
        <w:spacing w:after="0" w:line="51"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universities or other biopharmaceutical or pharmaceutical companies, including our competitors or potential competitors. In addition, we have used and continue to use consultants, advisors, and/or independent contractors with relationships with third parties, including institutions and/or other companies. We try to ensure that our employees, consultants, advisors, and/or independent contractors have the right to assign to us intellectual property generated during their engagement with us, and that they do not use the proprietary information or know-how of others in their work for us. Although no claims against us are currently pending, there is no guarantee that in the future we may not be subject to claims that we or our employees, consultants, advisors, or independent contractors have inadvertently or otherwise used or disclosed intellectual property, including trade secrets or other proprietary information, of a former employer or other third parties, or improperly assign intellectual property rights to us.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40"/>
        <w:spacing w:after="0" w:line="261" w:lineRule="auto"/>
        <w:rPr>
          <w:sz w:val="20"/>
          <w:szCs w:val="20"/>
          <w:color w:val="auto"/>
        </w:rPr>
      </w:pPr>
      <w:r>
        <w:rPr>
          <w:rFonts w:ascii="Times New Roman" w:cs="Times New Roman" w:eastAsia="Times New Roman" w:hAnsi="Times New Roman"/>
          <w:sz w:val="18"/>
          <w:szCs w:val="18"/>
          <w:color w:val="auto"/>
        </w:rPr>
        <w:t>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180" w:lineRule="exact"/>
        <w:rPr>
          <w:sz w:val="20"/>
          <w:szCs w:val="20"/>
          <w:color w:val="auto"/>
        </w:rPr>
      </w:pPr>
    </w:p>
    <w:p>
      <w:pPr>
        <w:ind w:left="560" w:right="200"/>
        <w:spacing w:after="0" w:line="282" w:lineRule="auto"/>
        <w:rPr>
          <w:sz w:val="20"/>
          <w:szCs w:val="20"/>
          <w:color w:val="auto"/>
        </w:rPr>
      </w:pPr>
      <w:r>
        <w:rPr>
          <w:rFonts w:ascii="Times New Roman" w:cs="Times New Roman" w:eastAsia="Times New Roman" w:hAnsi="Times New Roman"/>
          <w:sz w:val="18"/>
          <w:szCs w:val="18"/>
          <w:color w:val="auto"/>
        </w:rPr>
        <w:t>Uncertainties resulting from the initiation and continuation of patent litigation or other intellectual property related proceedings could adversely affect our ability to compete in the marketplace.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develop any future product candidates on acceptable terms.</w:t>
      </w:r>
    </w:p>
    <w:p>
      <w:pPr>
        <w:spacing w:after="0" w:line="121"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162"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Our product candidates may also require specific formulations to work effectively and efficiently and these rights may be held by others. We may develop products containing its compounds and pre-existing 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88" w:lineRule="exact"/>
        <w:rPr>
          <w:sz w:val="20"/>
          <w:szCs w:val="20"/>
          <w:color w:val="auto"/>
        </w:rPr>
      </w:pPr>
    </w:p>
    <w:p>
      <w:pPr>
        <w:ind w:left="560" w:right="20"/>
        <w:spacing w:after="0" w:line="255"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89"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83" w:lineRule="exact"/>
        <w:rPr>
          <w:sz w:val="20"/>
          <w:szCs w:val="20"/>
          <w:color w:val="auto"/>
        </w:rPr>
      </w:pPr>
    </w:p>
    <w:p>
      <w:pPr>
        <w:ind w:left="56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w:t>
      </w:r>
    </w:p>
    <w:p>
      <w:pPr>
        <w:spacing w:after="0" w:line="51"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its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9" w:lineRule="exact"/>
        <w:rPr>
          <w:sz w:val="20"/>
          <w:szCs w:val="20"/>
          <w:color w:val="auto"/>
        </w:rPr>
      </w:pPr>
    </w:p>
    <w:p>
      <w:pPr>
        <w:ind w:left="560" w:right="80"/>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w:t>
      </w:r>
      <w:r>
        <w:rPr>
          <w:rFonts w:ascii="Times New Roman" w:cs="Times New Roman" w:eastAsia="Times New Roman" w:hAnsi="Times New Roman"/>
          <w:sz w:val="18"/>
          <w:szCs w:val="18"/>
          <w:i w:val="1"/>
          <w:iCs w:val="1"/>
          <w:color w:val="auto"/>
        </w:rPr>
        <w:t xml:space="preserve">ex-parte </w:t>
      </w:r>
      <w:r>
        <w:rPr>
          <w:rFonts w:ascii="Times New Roman" w:cs="Times New Roman" w:eastAsia="Times New Roman" w:hAnsi="Times New Roman"/>
          <w:sz w:val="18"/>
          <w:szCs w:val="18"/>
          <w:color w:val="auto"/>
        </w:rPr>
        <w:t>re-exam,</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or post-grant review proceedings. These proceedings are expensive and may consume our time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92"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proprietary or confidential information, particularly in countries where the laws may not protect those rights as fully as in the United States.</w:t>
      </w:r>
    </w:p>
    <w:p>
      <w:pPr>
        <w:spacing w:after="0" w:line="189"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6" w:lineRule="exact"/>
        <w:rPr>
          <w:sz w:val="20"/>
          <w:szCs w:val="20"/>
          <w:color w:val="auto"/>
        </w:rPr>
      </w:pPr>
    </w:p>
    <w:p>
      <w:pPr>
        <w:ind w:left="56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121"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Moreover, the patents included in our patent portfolio may expire before, or soon after, our first product achieves marketing approval in the United States or foreign jurisdictions.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or have exclusively in-licensed pending patent applications that relate to our proprietary technologies or our product candidates that if issued as patents are expected to expire from 2041 through 2044, without taking into account any possible patent term adjustments or extensions. However, we cannot be assured that the USPTO or relevant foreign patent offices will grant any of these patent applications.</w:t>
      </w:r>
    </w:p>
    <w:p>
      <w:pPr>
        <w:spacing w:after="0" w:line="185" w:lineRule="exact"/>
        <w:rPr>
          <w:sz w:val="20"/>
          <w:szCs w:val="20"/>
          <w:color w:val="auto"/>
        </w:rPr>
      </w:pPr>
    </w:p>
    <w:p>
      <w:pPr>
        <w:ind w:left="56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U.S. and in ex-U.S. jurisdictions could diminish the value of patents in general, thereby impairing our ability to protect our products.</w:t>
      </w:r>
    </w:p>
    <w:p>
      <w:pPr>
        <w:spacing w:after="0" w:line="51" w:lineRule="exact"/>
        <w:rPr>
          <w:sz w:val="20"/>
          <w:szCs w:val="20"/>
          <w:color w:val="auto"/>
        </w:rPr>
      </w:pPr>
    </w:p>
    <w:p>
      <w:pPr>
        <w:ind w:left="560" w:right="20"/>
        <w:spacing w:after="0" w:line="252" w:lineRule="auto"/>
        <w:rPr>
          <w:sz w:val="20"/>
          <w:szCs w:val="20"/>
          <w:color w:val="auto"/>
        </w:rPr>
      </w:pPr>
      <w:r>
        <w:rPr>
          <w:rFonts w:ascii="Times New Roman" w:cs="Times New Roman" w:eastAsia="Times New Roman" w:hAnsi="Times New Roman"/>
          <w:sz w:val="18"/>
          <w:szCs w:val="18"/>
          <w:color w:val="auto"/>
        </w:rPr>
        <w:t xml:space="preserve">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Times New Roman" w:cs="Times New Roman" w:eastAsia="Times New Roman" w:hAnsi="Times New Roman"/>
          <w:sz w:val="18"/>
          <w:szCs w:val="18"/>
          <w:i w:val="1"/>
          <w:iCs w:val="1"/>
          <w:color w:val="auto"/>
        </w:rPr>
        <w:t>Amgen Inc. v. Sanofi,</w:t>
      </w:r>
      <w:r>
        <w:rPr>
          <w:rFonts w:ascii="Times New Roman" w:cs="Times New Roman" w:eastAsia="Times New Roman" w:hAnsi="Times New Roman"/>
          <w:sz w:val="18"/>
          <w:szCs w:val="18"/>
          <w:color w:val="auto"/>
        </w:rPr>
        <w:t xml:space="preserve"> the Federal Circuit held that a well-characterized antigen is insufficient to satisfy the written description requirement of certain claims directed to a genus of antibodies that are solely defined by function; and in the case of </w:t>
      </w:r>
      <w:r>
        <w:rPr>
          <w:rFonts w:ascii="Times New Roman" w:cs="Times New Roman" w:eastAsia="Times New Roman" w:hAnsi="Times New Roman"/>
          <w:sz w:val="18"/>
          <w:szCs w:val="18"/>
          <w:i w:val="1"/>
          <w:iCs w:val="1"/>
          <w:color w:val="auto"/>
        </w:rPr>
        <w:t>Assoc. for Molecular Pathology v. Myriad Genetics, Inc.,</w:t>
      </w:r>
      <w:r>
        <w:rPr>
          <w:rFonts w:ascii="Times New Roman" w:cs="Times New Roman" w:eastAsia="Times New Roman" w:hAnsi="Times New Roman"/>
          <w:sz w:val="18"/>
          <w:szCs w:val="18"/>
          <w:color w:val="auto"/>
        </w:rPr>
        <w:t xml:space="preserve"> the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jc w:val="both"/>
        <w:ind w:left="560" w:right="160"/>
        <w:spacing w:after="0" w:line="257"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w:t>
      </w:r>
    </w:p>
    <w:p>
      <w:pPr>
        <w:spacing w:after="0" w:line="1" w:lineRule="exact"/>
        <w:rPr>
          <w:sz w:val="20"/>
          <w:szCs w:val="20"/>
          <w:color w:val="auto"/>
        </w:rPr>
      </w:pPr>
    </w:p>
    <w:p>
      <w:pPr>
        <w:ind w:left="560"/>
        <w:spacing w:after="0" w:line="251" w:lineRule="auto"/>
        <w:rPr>
          <w:sz w:val="20"/>
          <w:szCs w:val="20"/>
          <w:color w:val="auto"/>
        </w:rPr>
      </w:pPr>
      <w:r>
        <w:rPr>
          <w:rFonts w:ascii="Times New Roman" w:cs="Times New Roman" w:eastAsia="Times New Roman" w:hAnsi="Times New Roman"/>
          <w:sz w:val="18"/>
          <w:szCs w:val="18"/>
          <w:color w:val="auto"/>
        </w:rPr>
        <w:t>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its business, our competitive position may be impaired, and our business, financial condition, results of operations and prospects may be adversely affected. Also, competitors may use our technologies in jurisdictions where we have not obtained patent protection to develop our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93"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660"/>
        <w:spacing w:after="0" w:line="282" w:lineRule="auto"/>
        <w:rPr>
          <w:sz w:val="20"/>
          <w:szCs w:val="20"/>
          <w:color w:val="auto"/>
        </w:rPr>
      </w:pPr>
      <w:r>
        <w:rPr>
          <w:rFonts w:ascii="Times New Roman" w:cs="Times New Roman" w:eastAsia="Times New Roman" w:hAnsi="Times New Roman"/>
          <w:sz w:val="18"/>
          <w:szCs w:val="18"/>
          <w:color w:val="auto"/>
        </w:rPr>
        <w:t>Accordingly, our efforts to enforce our intellectual property rights around the world may be inadequate to obtain a significant commercial advantage from the intellectual property that we develop or license.</w:t>
      </w:r>
    </w:p>
    <w:p>
      <w:pPr>
        <w:spacing w:after="0" w:line="158" w:lineRule="exact"/>
        <w:rPr>
          <w:sz w:val="20"/>
          <w:szCs w:val="20"/>
          <w:color w:val="auto"/>
        </w:rPr>
      </w:pPr>
    </w:p>
    <w:p>
      <w:pPr>
        <w:ind w:left="56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patents, and we may be unable to protect our rights to our products and technology.</w:t>
      </w:r>
    </w:p>
    <w:p>
      <w:pPr>
        <w:spacing w:after="0" w:line="51"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83"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There is also the risk that, even if the validity of these patents is upheld, the court will refuse to stop the third party on the ground that such third party’s activities do not infringe our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187" w:lineRule="exact"/>
        <w:rPr>
          <w:sz w:val="20"/>
          <w:szCs w:val="20"/>
          <w:color w:val="auto"/>
        </w:rPr>
      </w:pPr>
    </w:p>
    <w:p>
      <w:pPr>
        <w:ind w:left="560" w:right="20"/>
        <w:spacing w:after="0" w:line="274" w:lineRule="auto"/>
        <w:rPr>
          <w:sz w:val="20"/>
          <w:szCs w:val="20"/>
          <w:color w:val="auto"/>
        </w:rPr>
      </w:pPr>
      <w:r>
        <w:rPr>
          <w:rFonts w:ascii="Times New Roman" w:cs="Times New Roman" w:eastAsia="Times New Roman" w:hAnsi="Times New Roman"/>
          <w:sz w:val="17"/>
          <w:szCs w:val="17"/>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spacing w:after="0" w:line="173" w:lineRule="exact"/>
        <w:rPr>
          <w:sz w:val="20"/>
          <w:szCs w:val="20"/>
          <w:color w:val="auto"/>
        </w:rPr>
      </w:pPr>
    </w:p>
    <w:p>
      <w:pPr>
        <w:ind w:left="560" w:right="180"/>
        <w:spacing w:after="0" w:line="258" w:lineRule="auto"/>
        <w:rPr>
          <w:sz w:val="20"/>
          <w:szCs w:val="20"/>
          <w:color w:val="auto"/>
        </w:rPr>
      </w:pPr>
      <w:r>
        <w:rPr>
          <w:rFonts w:ascii="Times New Roman" w:cs="Times New Roman" w:eastAsia="Times New Roman" w:hAnsi="Times New Roman"/>
          <w:sz w:val="18"/>
          <w:szCs w:val="18"/>
          <w:color w:val="auto"/>
        </w:rPr>
        <w:t xml:space="preserve">If another party questions the patentability of any of our claims in our owned or in-licensed U.S. patents, the third-party can request that the USPTO review the patent claims such as in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w:t>
      </w:r>
    </w:p>
    <w:p>
      <w:pPr>
        <w:spacing w:after="0" w:line="183" w:lineRule="exact"/>
        <w:rPr>
          <w:sz w:val="20"/>
          <w:szCs w:val="20"/>
          <w:color w:val="auto"/>
        </w:rPr>
      </w:pPr>
    </w:p>
    <w:p>
      <w:pPr>
        <w:ind w:left="560" w:right="60"/>
        <w:spacing w:after="0" w:line="255" w:lineRule="auto"/>
        <w:rPr>
          <w:sz w:val="20"/>
          <w:szCs w:val="20"/>
          <w:color w:val="auto"/>
        </w:rPr>
      </w:pPr>
      <w:r>
        <w:rPr>
          <w:rFonts w:ascii="Times New Roman" w:cs="Times New Roman" w:eastAsia="Times New Roman" w:hAnsi="Times New Roman"/>
          <w:sz w:val="18"/>
          <w:szCs w:val="18"/>
          <w:color w:val="auto"/>
        </w:rPr>
        <w:t>In the future, we may be involved in similar proceedings challenging the patent rights of others, and the outcome of such proceedings is highly uncertain.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product candidates we may develop, our business may be materially harmed.</w:t>
      </w:r>
    </w:p>
    <w:p>
      <w:pPr>
        <w:spacing w:after="0" w:line="51"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93" w:lineRule="exact"/>
        <w:rPr>
          <w:sz w:val="20"/>
          <w:szCs w:val="20"/>
          <w:color w:val="auto"/>
        </w:rPr>
      </w:pPr>
    </w:p>
    <w:p>
      <w:pPr>
        <w:ind w:left="56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Reliance on Third Parties</w:t>
      </w:r>
    </w:p>
    <w:p>
      <w:pPr>
        <w:spacing w:after="0" w:line="117" w:lineRule="exact"/>
        <w:rPr>
          <w:sz w:val="20"/>
          <w:szCs w:val="20"/>
          <w:color w:val="auto"/>
        </w:rPr>
      </w:pPr>
    </w:p>
    <w:p>
      <w:pPr>
        <w:ind w:left="56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manufacturing suites in third-party facilities or on third parties to manufacture TX45, TX2100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spacing w:after="0" w:line="72" w:lineRule="exact"/>
        <w:rPr>
          <w:sz w:val="20"/>
          <w:szCs w:val="20"/>
          <w:color w:val="auto"/>
        </w:rPr>
      </w:pPr>
    </w:p>
    <w:p>
      <w:pPr>
        <w:ind w:left="560" w:right="40"/>
        <w:spacing w:after="0" w:line="252" w:lineRule="auto"/>
        <w:rPr>
          <w:sz w:val="20"/>
          <w:szCs w:val="20"/>
          <w:color w:val="auto"/>
        </w:rPr>
      </w:pPr>
      <w:r>
        <w:rPr>
          <w:rFonts w:ascii="Times New Roman" w:cs="Times New Roman" w:eastAsia="Times New Roman" w:hAnsi="Times New Roman"/>
          <w:sz w:val="18"/>
          <w:szCs w:val="18"/>
          <w:color w:val="auto"/>
        </w:rPr>
        <w:t>We do not currently lease or own any facility that may be used as our clinical-scale manufacturing and processing facility and currently rely on a contract manufacturing organization (“CMO”), WuXi Biologics (Hong Kong) Limited (“WuXi Biologics”), to manufacture TX45 our product candidate used in our Phase 1a, Phase 1b and the recently initiated Phase 2 clinical trials. We currently have a sole source relationship with WuXi Biologics for our supply of TX45. If there should be any disruption in such supply arrangement, including any adverse events affecting our sole supplier, Wuxi Biologics, it could have a negative effect on the clinical development of our product candidates and other operations while we work to identify and qualify an alternate supply source. We may not control the manufacturing process of, and may be completely dependent on, our contract manufacturing partner for compliance with cGMP requirements and any other regulatory requirements of the FDA or comparable foreign regulatory authorities for the manufacture of a product candidate. We perform periodic audits of each CMO facility that supports our supply of TX45 and reviews and approves all TX45 cGMP-related documentation. We also have a quality agreement with WuXi Biologics that documents our mutual agreement on compliance with cGMPs and expectations on quality-required communications to us. Beyond this, we have no control over the ability of our CMO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CMO,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our business and results of operations. In addition, we have not yet caused any product candidates to be manufactured on a commercial scale and may not be able to do so for any of our product candidates, if approved.</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1" w:lineRule="auto"/>
        <w:rPr>
          <w:sz w:val="20"/>
          <w:szCs w:val="20"/>
          <w:color w:val="auto"/>
        </w:rPr>
      </w:pPr>
      <w:r>
        <w:rPr>
          <w:rFonts w:ascii="Times New Roman" w:cs="Times New Roman" w:eastAsia="Times New Roman" w:hAnsi="Times New Roman"/>
          <w:sz w:val="18"/>
          <w:szCs w:val="18"/>
          <w:color w:val="auto"/>
        </w:rPr>
        <w:t>Moreover, our CMO may experience manufacturing difficulties due to resource constraints, governmental restrictions or as a result of labor disputes or unstable political environments. Supply chain issues, including those resulting from the COVID-19 pandemic and the ongoing military conflict between Russia and Ukraine, may affect our third-party vendors and cause delays. Furthermore, since we have engaged WuXi Biologics, a manufacturer located in China, we are exposed to the possibility of product supply disruption and increased costs in the event of changes in the policies of the United States or Chinese governments or political unrest or unstable economic conditions in China. For example, the recently proposed BIOSECURE Act passed in the U.S. House of Representatives, as well as a substantially similar bill in the U.S. Senate, target U.S. government contracts, loans, and grants to entities that use equipment or services from certain Chinese biotechnology companies, including Wuxi Biologics, and would authorize the U.S. government to name other Chinese biotechnology companies of concern. The current version of the BIOSECURE Act includes a grandfathering provision allowing biotechnology equipment and services provided or produced by WuXi Biologics and other named biotechnology companies of concern under a contract or agreement entered into before the effective date until January 1, 2032. Depending on whether the BIOSECURE Act becomes law, what the final language of the BIOSECURE Act includes, and how the law is interpreted by U.S. federal agencies, we could be potentially restricted from pursuing U.S. federal government business or funding if we continue to use WuXi Biologics or other suppliers or partners identified as “biotechnology companies of concern” beyond the grandfathering period. In addition to the BIOSECURE Act, any additional U.S. executive action, legislative action, or potential sanctions with China could materially impact our work with WuXi Biologics. U.S. executive agencies have the ability to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TX45,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TX45, in a timely manner or within budget. If any CMO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CMO and/or distribution partners are responsible for transporting temperature-controlled materials that can be inadvertently degraded during transport due to several factors, rendering certain batches unsuitable for trial use for failure to meet, among others, our integrity and purity specifications. We and our CMO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w:t>
      </w:r>
    </w:p>
    <w:p>
      <w:pPr>
        <w:spacing w:after="0" w:line="197" w:lineRule="exact"/>
        <w:rPr>
          <w:sz w:val="20"/>
          <w:szCs w:val="20"/>
          <w:color w:val="auto"/>
        </w:rPr>
      </w:pPr>
    </w:p>
    <w:p>
      <w:pPr>
        <w:ind w:left="56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72" w:lineRule="exact"/>
        <w:rPr>
          <w:sz w:val="20"/>
          <w:szCs w:val="20"/>
          <w:color w:val="auto"/>
        </w:rPr>
      </w:pPr>
    </w:p>
    <w:p>
      <w:pPr>
        <w:ind w:left="560" w:right="20"/>
        <w:spacing w:after="0" w:line="269" w:lineRule="auto"/>
        <w:rPr>
          <w:sz w:val="20"/>
          <w:szCs w:val="20"/>
          <w:color w:val="auto"/>
        </w:rPr>
      </w:pPr>
      <w:r>
        <w:rPr>
          <w:rFonts w:ascii="Times New Roman" w:cs="Times New Roman" w:eastAsia="Times New Roman" w:hAnsi="Times New Roman"/>
          <w:sz w:val="17"/>
          <w:szCs w:val="17"/>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to validate our assays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20"/>
        <w:spacing w:after="0" w:line="256" w:lineRule="auto"/>
        <w:rPr>
          <w:sz w:val="20"/>
          <w:szCs w:val="20"/>
          <w:color w:val="auto"/>
        </w:rPr>
      </w:pPr>
      <w:r>
        <w:rPr>
          <w:rFonts w:ascii="Times New Roman" w:cs="Times New Roman" w:eastAsia="Times New Roman" w:hAnsi="Times New Roman"/>
          <w:sz w:val="18"/>
          <w:szCs w:val="18"/>
          <w:color w:val="auto"/>
        </w:rPr>
        <w:t>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187"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83" w:lineRule="exact"/>
        <w:rPr>
          <w:sz w:val="20"/>
          <w:szCs w:val="20"/>
          <w:color w:val="auto"/>
        </w:rPr>
      </w:pPr>
    </w:p>
    <w:p>
      <w:pPr>
        <w:ind w:left="560" w:right="60"/>
        <w:spacing w:after="0" w:line="266"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In addition, some of our CROs have an ability to terminate their respective agreements with us if we can be reasonably demonstrated that the safety of the subjects participating in our clinical trials warrants such termination, if we make a general assignment for the benefit of our creditors or if we are liquidated.</w:t>
      </w:r>
    </w:p>
    <w:p>
      <w:pPr>
        <w:spacing w:after="0" w:line="176" w:lineRule="exact"/>
        <w:rPr>
          <w:sz w:val="20"/>
          <w:szCs w:val="20"/>
          <w:color w:val="auto"/>
        </w:rPr>
      </w:pPr>
    </w:p>
    <w:p>
      <w:pPr>
        <w:ind w:left="560" w:right="40"/>
        <w:spacing w:after="0" w:line="254" w:lineRule="auto"/>
        <w:rPr>
          <w:sz w:val="20"/>
          <w:szCs w:val="20"/>
          <w:color w:val="auto"/>
        </w:rPr>
      </w:pPr>
      <w:r>
        <w:rPr>
          <w:rFonts w:ascii="Times New Roman" w:cs="Times New Roman" w:eastAsia="Times New Roman" w:hAnsi="Times New Roman"/>
          <w:sz w:val="18"/>
          <w:szCs w:val="18"/>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92" w:lineRule="exact"/>
        <w:rPr>
          <w:sz w:val="20"/>
          <w:szCs w:val="20"/>
          <w:color w:val="auto"/>
        </w:rPr>
      </w:pPr>
    </w:p>
    <w:p>
      <w:pPr>
        <w:ind w:left="560" w:right="400"/>
        <w:spacing w:after="0" w:line="258" w:lineRule="auto"/>
        <w:rPr>
          <w:sz w:val="20"/>
          <w:szCs w:val="20"/>
          <w:color w:val="auto"/>
        </w:rPr>
      </w:pPr>
      <w:r>
        <w:rPr>
          <w:rFonts w:ascii="Times New Roman" w:cs="Times New Roman" w:eastAsia="Times New Roman" w:hAnsi="Times New Roman"/>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3" w:lineRule="exact"/>
        <w:rPr>
          <w:sz w:val="20"/>
          <w:szCs w:val="20"/>
          <w:color w:val="auto"/>
        </w:rPr>
      </w:pPr>
    </w:p>
    <w:p>
      <w:pPr>
        <w:ind w:left="560" w:right="60"/>
        <w:spacing w:after="0" w:line="256" w:lineRule="auto"/>
        <w:rPr>
          <w:sz w:val="20"/>
          <w:szCs w:val="20"/>
          <w:color w:val="auto"/>
        </w:rPr>
      </w:pPr>
      <w:r>
        <w:rPr>
          <w:rFonts w:ascii="Times New Roman" w:cs="Times New Roman" w:eastAsia="Times New Roman" w:hAnsi="Times New Roman"/>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w:t>
      </w:r>
    </w:p>
    <w:p>
      <w:pPr>
        <w:spacing w:after="0" w:line="183" w:lineRule="exact"/>
        <w:rPr>
          <w:sz w:val="20"/>
          <w:szCs w:val="20"/>
          <w:color w:val="auto"/>
        </w:rPr>
      </w:pPr>
    </w:p>
    <w:p>
      <w:pPr>
        <w:ind w:left="56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collaborations will be important to our business. If we are unable to enter into new collaborations, or if these collaborations are not successful, our business could be adversely affected.</w:t>
      </w:r>
    </w:p>
    <w:p>
      <w:pPr>
        <w:spacing w:after="0" w:line="51"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future collaborations we enter into may pose a number of risks, including, but not limited to, the following:</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ours may be viewed by our collaborators as competitive with their own product candidates or products, which may cause collaborators to cease to devote resources to the commercialization of our product candidates;</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85"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ind w:left="560" w:right="80"/>
        <w:spacing w:after="0" w:line="261" w:lineRule="auto"/>
        <w:rPr>
          <w:sz w:val="20"/>
          <w:szCs w:val="20"/>
          <w:color w:val="auto"/>
        </w:rPr>
      </w:pPr>
      <w:r>
        <w:rPr>
          <w:rFonts w:ascii="Times New Roman" w:cs="Times New Roman" w:eastAsia="Times New Roman" w:hAnsi="Times New Roman"/>
          <w:sz w:val="18"/>
          <w:szCs w:val="18"/>
          <w:color w:val="auto"/>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Quarterly Report also apply to the activities of our therapeutic collaborators.</w:t>
      </w:r>
    </w:p>
    <w:p>
      <w:pPr>
        <w:spacing w:after="0" w:line="180" w:lineRule="exact"/>
        <w:rPr>
          <w:sz w:val="20"/>
          <w:szCs w:val="20"/>
          <w:color w:val="auto"/>
        </w:rPr>
      </w:pPr>
    </w:p>
    <w:p>
      <w:pPr>
        <w:ind w:left="560" w:right="560"/>
        <w:spacing w:after="0" w:line="282" w:lineRule="auto"/>
        <w:rPr>
          <w:sz w:val="20"/>
          <w:szCs w:val="20"/>
          <w:color w:val="auto"/>
        </w:rPr>
      </w:pPr>
      <w:r>
        <w:rPr>
          <w:rFonts w:ascii="Times New Roman" w:cs="Times New Roman" w:eastAsia="Times New Roman" w:hAnsi="Times New Roman"/>
          <w:sz w:val="18"/>
          <w:szCs w:val="18"/>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162"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185" w:lineRule="exact"/>
        <w:rPr>
          <w:sz w:val="20"/>
          <w:szCs w:val="20"/>
          <w:color w:val="auto"/>
        </w:rPr>
      </w:pPr>
    </w:p>
    <w:p>
      <w:pPr>
        <w:ind w:left="56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Nonclinical research requires the use of Non-Human Primates (“NHP”), the supply of which could delay or prevent development of product candidates.</w:t>
      </w:r>
    </w:p>
    <w:p>
      <w:pPr>
        <w:spacing w:after="0" w:line="51"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them, our ability to advance our pre-clinical programs and successfully develop our pre-clinical candidates may be materially adversely affected or significantly delayed.</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We are highly dependent on our management team, including Alise Reicin, M.D., our President and Chief Executive Officer, Daniel Lochner, our Chief Financial Officer, Peter McNamara, Ph.D., our Chief Scientific Officer and Marcella K. Ruddy, M.D.,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w:t>
      </w:r>
    </w:p>
    <w:p>
      <w:pPr>
        <w:spacing w:after="0" w:line="183"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186" w:lineRule="exact"/>
        <w:rPr>
          <w:sz w:val="20"/>
          <w:szCs w:val="20"/>
          <w:color w:val="auto"/>
        </w:rPr>
      </w:pPr>
    </w:p>
    <w:p>
      <w:pPr>
        <w:ind w:left="5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left="560" w:right="180"/>
        <w:spacing w:after="0" w:line="281" w:lineRule="auto"/>
        <w:rPr>
          <w:sz w:val="20"/>
          <w:szCs w:val="20"/>
          <w:color w:val="auto"/>
        </w:rPr>
      </w:pPr>
      <w:r>
        <w:rPr>
          <w:rFonts w:ascii="Times New Roman" w:cs="Times New Roman" w:eastAsia="Times New Roman" w:hAnsi="Times New Roman"/>
          <w:sz w:val="17"/>
          <w:szCs w:val="17"/>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79" w:lineRule="exact"/>
        <w:rPr>
          <w:sz w:val="20"/>
          <w:szCs w:val="20"/>
          <w:color w:val="auto"/>
        </w:rPr>
      </w:pPr>
    </w:p>
    <w:p>
      <w:pPr>
        <w:ind w:left="56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a product candidate in the clinical or at the commercial stage, and our product liability insurance may not cover all damages from such claims.</w:t>
      </w:r>
    </w:p>
    <w:p>
      <w:pPr>
        <w:spacing w:after="0" w:line="51"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0" w:lineRule="exact"/>
        <w:rPr>
          <w:sz w:val="20"/>
          <w:szCs w:val="20"/>
          <w:color w:val="auto"/>
        </w:rPr>
      </w:pPr>
    </w:p>
    <w:p>
      <w:pPr>
        <w:ind w:left="56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significant disruption of our product development programs and our ability to operate our business effectively.</w:t>
      </w:r>
    </w:p>
    <w:p>
      <w:pPr>
        <w:spacing w:after="0" w:line="51" w:lineRule="exact"/>
        <w:rPr>
          <w:sz w:val="20"/>
          <w:szCs w:val="20"/>
          <w:color w:val="auto"/>
        </w:rPr>
      </w:pPr>
    </w:p>
    <w:p>
      <w:pPr>
        <w:ind w:left="560" w:right="60"/>
        <w:spacing w:after="0" w:line="256"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187" w:lineRule="exact"/>
        <w:rPr>
          <w:sz w:val="20"/>
          <w:szCs w:val="20"/>
          <w:color w:val="auto"/>
        </w:rPr>
      </w:pPr>
    </w:p>
    <w:p>
      <w:pPr>
        <w:ind w:left="560" w:right="80"/>
        <w:spacing w:after="0" w:line="253" w:lineRule="auto"/>
        <w:rPr>
          <w:sz w:val="20"/>
          <w:szCs w:val="20"/>
          <w:color w:val="auto"/>
        </w:rPr>
      </w:pPr>
      <w:r>
        <w:rPr>
          <w:rFonts w:ascii="Times New Roman" w:cs="Times New Roman" w:eastAsia="Times New Roman" w:hAnsi="Times New Roman"/>
          <w:sz w:val="18"/>
          <w:szCs w:val="18"/>
          <w:color w:val="auto"/>
        </w:rPr>
        <w:t>While we have not experienced any significant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by us or our CROs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federal and/or state breach notification laws and foreign law equivalents and otherwise subject us to liability under laws and regulations that protect the privacy and security of personal information. Security breaches and other inappropriate access can be difficult to detect, and any delay in identifying them may lead to increased harm of the type described above. While we have implemented security measures to protect our information technology systems and infrastructure, such measures may not prevent service interruptions or security breaches that could adversely affect our business and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Our operations, and those of our CROs, CMOs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including civil or criminal penalties, private litigation, and adverse publicity and could negatively affect our operating results and business.</w:t>
      </w:r>
    </w:p>
    <w:p>
      <w:pPr>
        <w:spacing w:after="0" w:line="51"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We and any current and future collaborators may be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w:t>
      </w:r>
    </w:p>
    <w:p>
      <w:pPr>
        <w:spacing w:after="0" w:line="192"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88" w:lineRule="exact"/>
        <w:rPr>
          <w:sz w:val="20"/>
          <w:szCs w:val="20"/>
          <w:color w:val="auto"/>
        </w:rPr>
      </w:pPr>
    </w:p>
    <w:p>
      <w:pPr>
        <w:ind w:left="56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189" w:lineRule="exact"/>
        <w:rPr>
          <w:sz w:val="20"/>
          <w:szCs w:val="20"/>
          <w:color w:val="auto"/>
        </w:rPr>
      </w:pPr>
    </w:p>
    <w:p>
      <w:pPr>
        <w:ind w:left="560"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the information technology systems of our CROs, our CMOs, service providers, our current and potential future partners or other third parties upon which we rely were compromised, we could experience adverse consequences, including but not limited to material disruptions to our business operations, regulatory investigations or actions, litigation, fines and penalties, reputational harm, loss of revenue or profits, or other adverse consequences.</w:t>
      </w:r>
    </w:p>
    <w:p>
      <w:pPr>
        <w:spacing w:after="0" w:line="72"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We collect, store, receive, process, generate, use, transfer, disclose, make accessible, protect, secure, dispose of, share, and transmit (collectively, process) proprietary, confidential and sensitive information, including personal information (such as health-related data of clinical trial participants and employee information), in the course of our business. Similarly, third-parties upon which we rely process certain of that information on our behalf.</w:t>
      </w:r>
    </w:p>
    <w:p>
      <w:pPr>
        <w:spacing w:after="0" w:line="2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40"/>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92"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Security incidents may result from the actions of a wide variety of actors with a wide range of motives and expertise, including traditional hackers, our personnel or the personnel of the third parties upon which we rely, organized criminal threat actors, hacktivists, sophisticated nation-states and nation-state-supported actors.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produce, sell and distribute our goods and services.</w:t>
      </w:r>
    </w:p>
    <w:p>
      <w:pPr>
        <w:spacing w:after="0" w:line="183" w:lineRule="exact"/>
        <w:rPr>
          <w:sz w:val="20"/>
          <w:szCs w:val="20"/>
          <w:color w:val="auto"/>
        </w:rPr>
      </w:pPr>
    </w:p>
    <w:p>
      <w:pPr>
        <w:jc w:val="both"/>
        <w:ind w:left="560" w:right="160"/>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0"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w:t>
      </w:r>
    </w:p>
    <w:p>
      <w:pPr>
        <w:spacing w:after="0" w:line="194" w:lineRule="exact"/>
        <w:rPr>
          <w:sz w:val="20"/>
          <w:szCs w:val="20"/>
          <w:color w:val="auto"/>
        </w:rPr>
      </w:pPr>
    </w:p>
    <w:p>
      <w:pPr>
        <w:ind w:left="560" w:right="360"/>
        <w:spacing w:after="0" w:line="282" w:lineRule="auto"/>
        <w:rPr>
          <w:sz w:val="20"/>
          <w:szCs w:val="20"/>
          <w:color w:val="auto"/>
        </w:rPr>
      </w:pPr>
      <w:r>
        <w:rPr>
          <w:rFonts w:ascii="Times New Roman" w:cs="Times New Roman" w:eastAsia="Times New Roman" w:hAnsi="Times New Roman"/>
          <w:sz w:val="18"/>
          <w:szCs w:val="18"/>
          <w:color w:val="auto"/>
        </w:rPr>
        <w:t>Certain functional areas of our workforce work remotely on a full- or part-time basis or otherwise utilize network connections, computers and devices outside of our premises or network, which imposes additional risks to our business.</w:t>
      </w:r>
    </w:p>
    <w:p>
      <w:pPr>
        <w:spacing w:after="0" w:line="162"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We may be required to, or we may choose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may require us to implement and maintain specific security measures or industry-standard or reasonable security measures to protect our information technology systems and sensitive information.</w:t>
      </w:r>
    </w:p>
    <w:p>
      <w:pPr>
        <w:spacing w:after="0" w:line="188" w:lineRule="exact"/>
        <w:rPr>
          <w:sz w:val="20"/>
          <w:szCs w:val="20"/>
          <w:color w:val="auto"/>
        </w:rPr>
      </w:pPr>
    </w:p>
    <w:p>
      <w:pPr>
        <w:ind w:left="560" w:right="80"/>
        <w:spacing w:after="0" w:line="255"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which we rely. If our information systems or data, or that of the third parties on which we rely, are compromised, it could interrupt our operations, disrupt our development programs and have a material adverse effect on our business, financial condition and results of operations. For example, the loss or corruption of clinical trial data from completed or future clinical trials could result in delays in our regulatory approval efforts and significantly increase our costs to recover or reproduce the data. Likewise, we rely on third parties for the manufacture of TX45, to analyze clinical trial samples and to conduct clinical trials,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and security incidents experienced by these third parties could have a material adverse effect on our business. Security incidents affecting us or the third parties we rely on or partners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our operations (including availability of data), financial loss and other liabilities and harms. Additionally, such incidents may trigger data privacy and security obligations requiring us to notify relevant stockholders, including affected individuals, customers, regulators, and investors. Such disclosures may be costly, and related requirements or the failure to comply with them could lead to adverse consequences. Even a perceived security incident or failure in compliance by us or a third-party partner may result in negative publicity, harm to our reputation, or other adverse effects.</w:t>
      </w:r>
    </w:p>
    <w:p>
      <w:pPr>
        <w:spacing w:after="0" w:line="188" w:lineRule="exact"/>
        <w:rPr>
          <w:sz w:val="20"/>
          <w:szCs w:val="20"/>
          <w:color w:val="auto"/>
        </w:rPr>
      </w:pPr>
    </w:p>
    <w:p>
      <w:pPr>
        <w:ind w:left="560" w:right="220"/>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w:t>
      </w:r>
    </w:p>
    <w:p>
      <w:pPr>
        <w:spacing w:after="0" w:line="180"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w:t>
      </w:r>
    </w:p>
    <w:p>
      <w:pPr>
        <w:spacing w:after="0" w:line="176" w:lineRule="exact"/>
        <w:rPr>
          <w:sz w:val="20"/>
          <w:szCs w:val="20"/>
          <w:color w:val="auto"/>
        </w:rPr>
      </w:pPr>
    </w:p>
    <w:p>
      <w:pPr>
        <w:ind w:left="5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w:t>
      </w:r>
    </w:p>
    <w:p>
      <w:pPr>
        <w:spacing w:after="0" w:line="75"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We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our business.</w:t>
      </w:r>
    </w:p>
    <w:p>
      <w:pPr>
        <w:spacing w:after="0" w:line="180" w:lineRule="exact"/>
        <w:rPr>
          <w:sz w:val="20"/>
          <w:szCs w:val="20"/>
          <w:color w:val="auto"/>
        </w:rPr>
      </w:pPr>
    </w:p>
    <w:p>
      <w:pPr>
        <w:ind w:left="560"/>
        <w:spacing w:after="0" w:line="267" w:lineRule="auto"/>
        <w:rPr>
          <w:sz w:val="20"/>
          <w:szCs w:val="20"/>
          <w:color w:val="auto"/>
        </w:rPr>
      </w:pPr>
      <w:r>
        <w:rPr>
          <w:rFonts w:ascii="Times New Roman" w:cs="Times New Roman" w:eastAsia="Times New Roman" w:hAnsi="Times New Roman"/>
          <w:sz w:val="17"/>
          <w:szCs w:val="17"/>
          <w:color w:val="auto"/>
        </w:rPr>
        <w:t>Outside the United States, an increasing number of laws, regulations, and industry standards may govern data privacy and security. For example, the European Union’s General Data Protection Regulation, (“EU GDPR”) and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and may apply to our processing of personal information from clinical trial participants and other individuals located in the EEA, the United Kingdom (the “UK”), or Switzerland and, if TX45 or any potential future product candidates are approved, our possible commercialization of those products in the EEA, the UK, or Switzerland (as applicable). 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we can satisfy or rely on these measures to lawfully transfer personal data to the United States. If we are unable to implement a valid compliance solution for cross-border transfers of personal information, or if the requirements for a legally-compliant transfer are too onerous, we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Our inability to import personal information from the EEA, UK or Switzerland or</w:t>
      </w:r>
    </w:p>
    <w:p>
      <w:pPr>
        <w:spacing w:after="0" w:line="3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We may also become subject to new laws in the EEA and other jurisdictions that regulate cybersecurity and non-personal data, such as data collected through the internet of things. Depending on how these laws are interpreted, we may have to make changes to our business practices and products to comply with such obligations.</w:t>
      </w:r>
    </w:p>
    <w:p>
      <w:pPr>
        <w:spacing w:after="0" w:line="187"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Additionally, other countries have enacted or are considering enacting similar cross-border data transfer restrictions and laws requiring local data residency, which could increase the cost and complexity of delivering our services and operating our business.</w:t>
      </w:r>
    </w:p>
    <w:p>
      <w:pPr>
        <w:spacing w:after="0" w:line="162"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contains an exemption for certain personal information processed in connection with clinical trials, we may process other personal information that is subject to the CCPA. Other states, such as Virginia, Colorado, Connecticut, and Utah, have also passed comprehensive privacy laws that become effective in 2023, and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w:t>
      </w:r>
    </w:p>
    <w:p>
      <w:pPr>
        <w:spacing w:after="0" w:line="187"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color w:val="auto"/>
        </w:rPr>
        <w:t>We are bound by contractual obligations and our efforts to comply with such obligations may not be successful.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0" w:lineRule="exact"/>
        <w:rPr>
          <w:sz w:val="20"/>
          <w:szCs w:val="20"/>
          <w:color w:val="auto"/>
        </w:rPr>
      </w:pPr>
    </w:p>
    <w:p>
      <w:pPr>
        <w:ind w:left="560" w:right="160"/>
        <w:spacing w:after="0" w:line="254" w:lineRule="auto"/>
        <w:rPr>
          <w:sz w:val="20"/>
          <w:szCs w:val="20"/>
          <w:color w:val="auto"/>
        </w:rPr>
      </w:pPr>
      <w:r>
        <w:rPr>
          <w:rFonts w:ascii="Times New Roman" w:cs="Times New Roman" w:eastAsia="Times New Roman" w:hAnsi="Times New Roman"/>
          <w:sz w:val="18"/>
          <w:szCs w:val="18"/>
          <w:color w:val="auto"/>
        </w:rPr>
        <w:t>Our obligations related to data privacy and security (and consumers’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w:t>
      </w:r>
    </w:p>
    <w:p>
      <w:pPr>
        <w:spacing w:after="0" w:line="192"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If we (or third parties on which we rely)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51"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If earthquakes, fires, other natural disasters, terrorism and similar unforeseen events beyond our control prevent us from using all or a significant portion of our headquarters or other facilities,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w:t>
      </w:r>
    </w:p>
    <w:p>
      <w:pPr>
        <w:spacing w:after="0" w:line="184" w:lineRule="exact"/>
        <w:rPr>
          <w:sz w:val="20"/>
          <w:szCs w:val="20"/>
          <w:color w:val="auto"/>
        </w:rPr>
      </w:pPr>
    </w:p>
    <w:p>
      <w:pPr>
        <w:ind w:left="56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certain research and development operations through our Australian wholly-owned subsidiary. If we lose our ability to operate in Australia, or if our subsidiary is unable to receive the research and development incentive payment allowed by Australian regulations, our business and results of operations could suffer.</w:t>
      </w:r>
    </w:p>
    <w:p>
      <w:pPr>
        <w:spacing w:after="0" w:line="67"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In September 2023, we formed a wholly-owned Australian subsidiary, Tectonic Therapeutic Pty Ltd., to conduct various preclinical studies and clinical trials for our product candidates in Australia. Due to the geographical distance and lack of employees currently in Australia, as well as our lack of experience operating in Australia, we may not be able to efficiently or successfully monitor our clinical activities in Australia, including conducting preclinical studies and clinical trials. Furthermore, we have no assurance that the results of any clinical trials that we conduct for our product candidate in Australia will be accepted by the FDA or comparable foreign regulatory authorities for development and commercialization approvals.</w:t>
      </w:r>
    </w:p>
    <w:p>
      <w:pPr>
        <w:spacing w:after="0" w:line="187" w:lineRule="exact"/>
        <w:rPr>
          <w:sz w:val="20"/>
          <w:szCs w:val="20"/>
          <w:color w:val="auto"/>
        </w:rPr>
      </w:pPr>
    </w:p>
    <w:p>
      <w:pPr>
        <w:ind w:left="560" w:right="160"/>
        <w:spacing w:after="0" w:line="256" w:lineRule="auto"/>
        <w:rPr>
          <w:sz w:val="20"/>
          <w:szCs w:val="20"/>
          <w:color w:val="auto"/>
        </w:rPr>
      </w:pPr>
      <w:r>
        <w:rPr>
          <w:rFonts w:ascii="Times New Roman" w:cs="Times New Roman" w:eastAsia="Times New Roman" w:hAnsi="Times New Roman"/>
          <w:sz w:val="18"/>
          <w:szCs w:val="18"/>
          <w:color w:val="auto"/>
        </w:rPr>
        <w:t>In addition, current Australian tax regulations provide for a refundable research and development incentive payment equal to 43.5% of qualified expenditures to companies with an annual turnover of less than AU$20 million. To date, Tectonic Therapeutic Pty Ltd. has not received tax inventive payments for research expenditures in Australia, and it is unlikely that it will receive incentive payments during 2025 for research expenditures made during 2024. If our subsidiary loses our ability to operate in Australia, or if we are ineligible or unable to receive the research and development incentive payment, or the Australian government significantly reduces or eliminates the incentive program, our business and results of operation may be adversely affected.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Legislation or other changes in U.S. tax law could adversely affect our business and financial condition.</w:t>
      </w:r>
    </w:p>
    <w:p>
      <w:pPr>
        <w:spacing w:after="0" w:line="121" w:lineRule="exact"/>
        <w:rPr>
          <w:sz w:val="20"/>
          <w:szCs w:val="20"/>
          <w:color w:val="auto"/>
        </w:rPr>
      </w:pPr>
    </w:p>
    <w:p>
      <w:pPr>
        <w:ind w:left="560" w:right="20"/>
        <w:spacing w:after="0" w:line="289" w:lineRule="auto"/>
        <w:rPr>
          <w:sz w:val="20"/>
          <w:szCs w:val="20"/>
          <w:color w:val="auto"/>
        </w:rPr>
      </w:pPr>
      <w:r>
        <w:rPr>
          <w:rFonts w:ascii="Times New Roman" w:cs="Times New Roman" w:eastAsia="Times New Roman" w:hAnsi="Times New Roman"/>
          <w:sz w:val="17"/>
          <w:szCs w:val="17"/>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In recent years, many changes have been made to applicable tax laws and changes are likely to continue to occur in the future.</w:t>
      </w:r>
    </w:p>
    <w:p>
      <w:pPr>
        <w:spacing w:after="0" w:line="158" w:lineRule="exact"/>
        <w:rPr>
          <w:sz w:val="20"/>
          <w:szCs w:val="20"/>
          <w:color w:val="auto"/>
        </w:rPr>
      </w:pPr>
    </w:p>
    <w:p>
      <w:pPr>
        <w:ind w:left="560" w:right="100"/>
        <w:spacing w:after="0" w:line="266" w:lineRule="auto"/>
        <w:rPr>
          <w:sz w:val="20"/>
          <w:szCs w:val="20"/>
          <w:color w:val="auto"/>
        </w:rPr>
      </w:pPr>
      <w:r>
        <w:rPr>
          <w:rFonts w:ascii="Times New Roman" w:cs="Times New Roman" w:eastAsia="Times New Roman" w:hAnsi="Times New Roman"/>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tax liability or require changes in the manner in which we operate in order to minimize or mitigate any adverse effects of changes in tax law or in the interpretation thereof.</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U.S. net operating loss carryforwards and certain other U.S. tax attributes may be limited.</w:t>
      </w:r>
    </w:p>
    <w:p>
      <w:pPr>
        <w:spacing w:after="0" w:line="121" w:lineRule="exact"/>
        <w:rPr>
          <w:sz w:val="20"/>
          <w:szCs w:val="20"/>
          <w:color w:val="auto"/>
        </w:rPr>
      </w:pPr>
    </w:p>
    <w:p>
      <w:pPr>
        <w:ind w:left="560" w:right="100"/>
        <w:spacing w:after="0" w:line="255" w:lineRule="auto"/>
        <w:rPr>
          <w:sz w:val="20"/>
          <w:szCs w:val="20"/>
          <w:color w:val="auto"/>
        </w:rPr>
      </w:pPr>
      <w:r>
        <w:rPr>
          <w:rFonts w:ascii="Times New Roman" w:cs="Times New Roman" w:eastAsia="Times New Roman" w:hAnsi="Times New Roman"/>
          <w:sz w:val="18"/>
          <w:szCs w:val="18"/>
          <w:color w:val="auto"/>
        </w:rPr>
        <w:t>As of December 31, 2023, we had U.S. federal net operating loss carryforwards of $43.6 million. The amount of net operating loss carryforwards that we are permitted to deduct is limited to 80% of taxable income in each such taxable year to which the net operating loss carryforwards are applied. In addition, our U.S. federal net operating losses and tax credits may be subject to limitations under Sections 382 and 383 of the Code, if we have undergone or undergo an “ownership change,” generally defined as a greater than 50 percentage point change (by value) in our equity ownership by certain stockholders over a rolling three-year period. We may have experienced such ownership changes in the past and may experience ownership changes in the future as a result of shifts in our stock ownership, some of which are outside our control. Our net operating losses and tax credits may also be impaired or restricted under state law.</w:t>
      </w:r>
    </w:p>
    <w:p>
      <w:pPr>
        <w:spacing w:after="0" w:line="189" w:lineRule="exact"/>
        <w:rPr>
          <w:sz w:val="20"/>
          <w:szCs w:val="20"/>
          <w:color w:val="auto"/>
        </w:rPr>
      </w:pPr>
    </w:p>
    <w:p>
      <w:pPr>
        <w:ind w:left="560" w:right="280"/>
        <w:spacing w:after="0" w:line="282" w:lineRule="auto"/>
        <w:rPr>
          <w:sz w:val="20"/>
          <w:szCs w:val="20"/>
          <w:color w:val="auto"/>
        </w:rPr>
      </w:pPr>
      <w:r>
        <w:rPr>
          <w:rFonts w:ascii="Times New Roman" w:cs="Times New Roman" w:eastAsia="Times New Roman" w:hAnsi="Times New Roman"/>
          <w:sz w:val="18"/>
          <w:szCs w:val="18"/>
          <w:color w:val="auto"/>
        </w:rPr>
        <w:t>Our ability to utilize our net operating loss carryforwards could be limited by an “ownership change” as described above, which could result in increased tax liability to 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21"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As a result of the COVID-19 pandemic and actions taken to slow its spread,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any necessary debt or equity financing that we undertake may be more difficult, more costly and more dilutive than it would be otherwise. Failure to secure any necessary financing in a timely manner and on favorable terms could have a material adverse effect on our growth strategy and financial performance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94" w:lineRule="exact"/>
        <w:rPr>
          <w:sz w:val="20"/>
          <w:szCs w:val="20"/>
          <w:color w:val="auto"/>
        </w:rPr>
      </w:pPr>
    </w:p>
    <w:p>
      <w:pPr>
        <w:ind w:left="560" w:right="180"/>
        <w:spacing w:after="0" w:line="289" w:lineRule="auto"/>
        <w:rPr>
          <w:sz w:val="20"/>
          <w:szCs w:val="20"/>
          <w:color w:val="auto"/>
        </w:rPr>
      </w:pPr>
      <w:r>
        <w:rPr>
          <w:rFonts w:ascii="Times New Roman" w:cs="Times New Roman" w:eastAsia="Times New Roman" w:hAnsi="Times New Roman"/>
          <w:sz w:val="17"/>
          <w:szCs w:val="17"/>
          <w:color w:val="auto"/>
        </w:rPr>
        <w:t>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regulatory uncertainty and to rules that may adversely affect our business.</w:t>
      </w:r>
    </w:p>
    <w:p>
      <w:pPr>
        <w:spacing w:after="0" w:line="154" w:lineRule="exact"/>
        <w:rPr>
          <w:sz w:val="20"/>
          <w:szCs w:val="20"/>
          <w:color w:val="auto"/>
        </w:rPr>
      </w:pPr>
    </w:p>
    <w:p>
      <w:pPr>
        <w:ind w:left="56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51" w:lineRule="exact"/>
        <w:rPr>
          <w:sz w:val="20"/>
          <w:szCs w:val="20"/>
          <w:color w:val="auto"/>
        </w:rPr>
      </w:pPr>
    </w:p>
    <w:p>
      <w:pPr>
        <w:ind w:left="560" w:right="40"/>
        <w:spacing w:after="0" w:line="273" w:lineRule="auto"/>
        <w:rPr>
          <w:sz w:val="20"/>
          <w:szCs w:val="20"/>
          <w:color w:val="auto"/>
        </w:rPr>
      </w:pPr>
      <w:r>
        <w:rPr>
          <w:rFonts w:ascii="Times New Roman" w:cs="Times New Roman" w:eastAsia="Times New Roman" w:hAnsi="Times New Roman"/>
          <w:sz w:val="17"/>
          <w:szCs w:val="17"/>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167" w:lineRule="exact"/>
        <w:rPr>
          <w:sz w:val="20"/>
          <w:szCs w:val="20"/>
          <w:color w:val="auto"/>
        </w:rPr>
      </w:pPr>
    </w:p>
    <w:p>
      <w:pPr>
        <w:ind w:left="5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CMOs and suppliers we engage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We and any CMOs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could also incur significant costs associated with civil or criminal fines and penalties.</w:t>
      </w:r>
    </w:p>
    <w:p>
      <w:pPr>
        <w:spacing w:after="0" w:line="188"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380"/>
        <w:spacing w:after="0" w:line="282" w:lineRule="auto"/>
        <w:rPr>
          <w:sz w:val="20"/>
          <w:szCs w:val="20"/>
          <w:color w:val="auto"/>
        </w:rPr>
      </w:pPr>
      <w:r>
        <w:rPr>
          <w:rFonts w:ascii="Times New Roman" w:cs="Times New Roman" w:eastAsia="Times New Roman" w:hAnsi="Times New Roman"/>
          <w:sz w:val="18"/>
          <w:szCs w:val="18"/>
          <w:color w:val="auto"/>
        </w:rPr>
        <w:t>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162" w:lineRule="exact"/>
        <w:rPr>
          <w:sz w:val="20"/>
          <w:szCs w:val="20"/>
          <w:color w:val="auto"/>
        </w:rPr>
      </w:pPr>
    </w:p>
    <w:p>
      <w:pPr>
        <w:ind w:left="560" w:right="220"/>
        <w:spacing w:after="0" w:line="266" w:lineRule="auto"/>
        <w:rPr>
          <w:sz w:val="20"/>
          <w:szCs w:val="20"/>
          <w:color w:val="auto"/>
        </w:rPr>
      </w:pPr>
      <w:r>
        <w:rPr>
          <w:rFonts w:ascii="Times New Roman" w:cs="Times New Roman" w:eastAsia="Times New Roman" w:hAnsi="Times New Roman"/>
          <w:sz w:val="18"/>
          <w:szCs w:val="18"/>
          <w:color w:val="auto"/>
        </w:rPr>
        <w:t>Any third-party CMOs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172" w:lineRule="exact"/>
        <w:rPr>
          <w:sz w:val="20"/>
          <w:szCs w:val="20"/>
          <w:color w:val="auto"/>
        </w:rPr>
      </w:pPr>
    </w:p>
    <w:p>
      <w:pPr>
        <w:ind w:left="5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significantly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Legacy Tectonic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costlier. For example, we expect these rules and regulations to make it more difficult and more expensive for us to obtain director and officer liability insurance and we may be required to incur substantial costs to maintain our current levels of such coverage.</w:t>
      </w:r>
    </w:p>
    <w:p>
      <w:pPr>
        <w:spacing w:after="0" w:line="188" w:lineRule="exact"/>
        <w:rPr>
          <w:sz w:val="20"/>
          <w:szCs w:val="20"/>
          <w:color w:val="auto"/>
        </w:rPr>
      </w:pPr>
    </w:p>
    <w:p>
      <w:pPr>
        <w:jc w:val="both"/>
        <w:ind w:left="56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p>
    <w:p>
      <w:pPr>
        <w:spacing w:after="0" w:line="67"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currently qualify as a “smaller reporting company,” as such term is defined in Rule 12b-2 under the Exchange Act, which allows the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and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186" w:lineRule="exact"/>
        <w:rPr>
          <w:sz w:val="20"/>
          <w:szCs w:val="20"/>
          <w:color w:val="auto"/>
        </w:rPr>
      </w:pPr>
    </w:p>
    <w:p>
      <w:pPr>
        <w:ind w:left="56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51"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The Sarbanes-Oxley Act requires us to, among other things, establish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the Merger is completed, we must perform system and process evaluation and testing of our internal controls over financial reporting to allow management to report on the effectiveness of our internal controls over financial reporting in our Annual Report on Form 10-K filing for that year, as required by Section 404 of the Sarbanes-Oxley Act. Prior to the closing of the Merger, we were never required to test our internal controls within a specified period and, as a result, we may experience difficulty in meeting these reporting requirements in a timely manner. If we are not able to comply with the requirements of Section 404 of the Sarbanes-Oxley</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0"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Stockholders previously filed lawsuits, which were subsequently dismissed, relating to the Merger; however, additional lawsuits could be filed.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the Merger, three actions were filed by purported stockholders of AVROBIO in connection with the Merger. One action has been filed in</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United States District Court for the Southern District of New York captioned </w:t>
      </w:r>
      <w:r>
        <w:rPr>
          <w:rFonts w:ascii="Times New Roman" w:cs="Times New Roman" w:eastAsia="Times New Roman" w:hAnsi="Times New Roman"/>
          <w:sz w:val="18"/>
          <w:szCs w:val="18"/>
          <w:i w:val="1"/>
          <w:iCs w:val="1"/>
          <w:color w:val="auto"/>
        </w:rPr>
        <w:t>Garofalo v. Avrobio, Inc. et al.</w:t>
      </w:r>
      <w:r>
        <w:rPr>
          <w:rFonts w:ascii="Times New Roman" w:cs="Times New Roman" w:eastAsia="Times New Roman" w:hAnsi="Times New Roman"/>
          <w:sz w:val="18"/>
          <w:szCs w:val="18"/>
          <w:color w:val="auto"/>
        </w:rPr>
        <w:t>, 24-cv-1493 (filed February 27,</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2024). Two actions have been filed in the Supreme Court of New York, captioned </w:t>
      </w:r>
      <w:r>
        <w:rPr>
          <w:rFonts w:ascii="Times New Roman" w:cs="Times New Roman" w:eastAsia="Times New Roman" w:hAnsi="Times New Roman"/>
          <w:sz w:val="18"/>
          <w:szCs w:val="18"/>
          <w:i w:val="1"/>
          <w:iCs w:val="1"/>
          <w:color w:val="auto"/>
        </w:rPr>
        <w:t>Price v. Avrobio, Inc., et al.</w:t>
      </w:r>
      <w:r>
        <w:rPr>
          <w:rFonts w:ascii="Times New Roman" w:cs="Times New Roman" w:eastAsia="Times New Roman" w:hAnsi="Times New Roman"/>
          <w:sz w:val="18"/>
          <w:szCs w:val="18"/>
          <w:color w:val="auto"/>
        </w:rPr>
        <w:t>, No. 652555/2024 (filed May 17,</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2024) and </w:t>
      </w:r>
      <w:r>
        <w:rPr>
          <w:rFonts w:ascii="Times New Roman" w:cs="Times New Roman" w:eastAsia="Times New Roman" w:hAnsi="Times New Roman"/>
          <w:sz w:val="18"/>
          <w:szCs w:val="18"/>
          <w:i w:val="1"/>
          <w:iCs w:val="1"/>
          <w:color w:val="auto"/>
        </w:rPr>
        <w:t>Keller v. Avrobio, Inc., et al.</w:t>
      </w:r>
      <w:r>
        <w:rPr>
          <w:rFonts w:ascii="Times New Roman" w:cs="Times New Roman" w:eastAsia="Times New Roman" w:hAnsi="Times New Roman"/>
          <w:sz w:val="18"/>
          <w:szCs w:val="18"/>
          <w:color w:val="auto"/>
        </w:rPr>
        <w:t>, No. 652597/2024 (filed May 21, 2024). The foregoing actions are referred to as the “Merger Actions.”</w:t>
      </w:r>
    </w:p>
    <w:p>
      <w:pPr>
        <w:spacing w:after="0" w:line="207" w:lineRule="exact"/>
        <w:rPr>
          <w:sz w:val="20"/>
          <w:szCs w:val="20"/>
          <w:color w:val="auto"/>
        </w:rPr>
      </w:pPr>
    </w:p>
    <w:p>
      <w:pPr>
        <w:jc w:val="both"/>
        <w:ind w:left="560" w:right="480"/>
        <w:spacing w:after="0" w:line="258" w:lineRule="auto"/>
        <w:rPr>
          <w:sz w:val="20"/>
          <w:szCs w:val="20"/>
          <w:color w:val="auto"/>
        </w:rPr>
      </w:pPr>
      <w:r>
        <w:rPr>
          <w:rFonts w:ascii="Times New Roman" w:cs="Times New Roman" w:eastAsia="Times New Roman" w:hAnsi="Times New Roman"/>
          <w:sz w:val="18"/>
          <w:szCs w:val="18"/>
          <w:color w:val="auto"/>
        </w:rPr>
        <w:t xml:space="preserve">The Merger Actions generally allege that the Registration Statement misrepresents and/or omits certain purportedly material information in connection with the Merger, potential conflicts of interest of AVROBIO’s officers and directors, and the events that led to the signing of the Merger Agreement. The </w:t>
      </w: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Keller</w:t>
      </w:r>
      <w:r>
        <w:rPr>
          <w:rFonts w:ascii="Times New Roman" w:cs="Times New Roman" w:eastAsia="Times New Roman" w:hAnsi="Times New Roman"/>
          <w:sz w:val="18"/>
          <w:szCs w:val="18"/>
          <w:color w:val="auto"/>
        </w:rPr>
        <w:t xml:space="preserve"> actions assert claims for breach of fiduciary duty against all defendants. The Merger Actions seek, among other things, an injunction enjoining the consummation of the Merger, rescission of the Merger if consummated, costs of the action, including plaintiff’s attorneys’ fees and experts’ fees and other relief the court may deem just and proper.</w:t>
      </w:r>
    </w:p>
    <w:p>
      <w:pPr>
        <w:spacing w:after="0" w:line="183"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AVROBIO also received demand letters from eleven purported AVROBIO stockholders (the “Demands”). The Demands generally assert that the Registration Statement misrepresents and/or omits certain purportedly material information relating to the Merger.</w:t>
      </w:r>
    </w:p>
    <w:p>
      <w:pPr>
        <w:spacing w:after="0" w:line="162" w:lineRule="exact"/>
        <w:rPr>
          <w:sz w:val="20"/>
          <w:szCs w:val="20"/>
          <w:color w:val="auto"/>
        </w:rPr>
      </w:pPr>
    </w:p>
    <w:p>
      <w:pPr>
        <w:ind w:left="560" w:right="120"/>
        <w:spacing w:after="0" w:line="255" w:lineRule="auto"/>
        <w:rPr>
          <w:sz w:val="20"/>
          <w:szCs w:val="20"/>
          <w:color w:val="auto"/>
        </w:rPr>
      </w:pPr>
      <w:r>
        <w:rPr>
          <w:rFonts w:ascii="Times New Roman" w:cs="Times New Roman" w:eastAsia="Times New Roman" w:hAnsi="Times New Roman"/>
          <w:sz w:val="18"/>
          <w:szCs w:val="18"/>
          <w:color w:val="auto"/>
        </w:rPr>
        <w:t>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Securities and Exchange Commission. Following the issuance of the Supplemental Disclosures, each of the Merger Actions was voluntarily dismissed and each of the Demands were withdrawn.</w:t>
      </w:r>
    </w:p>
    <w:p>
      <w:pPr>
        <w:spacing w:after="0" w:line="189"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 material and adverse impact on us because of defense and settlement costs, diversion of management resources and other factors.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is likely to continue to be volatile and fluctuate substantially.</w:t>
      </w:r>
    </w:p>
    <w:p>
      <w:pPr>
        <w:spacing w:after="0" w:line="121" w:lineRule="exact"/>
        <w:rPr>
          <w:sz w:val="20"/>
          <w:szCs w:val="20"/>
          <w:color w:val="auto"/>
        </w:rPr>
      </w:pPr>
    </w:p>
    <w:p>
      <w:pPr>
        <w:ind w:left="560" w:right="8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stockholders may not be able to sell their shares at or above the price they paid for their shares. The market price of our common stock may be influenced by many factors, including:</w:t>
      </w:r>
    </w:p>
    <w:p>
      <w:pPr>
        <w:spacing w:after="0" w:line="85"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existing or future collaborators;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the perceived benefits of the Merger as rapidly or to the extent anticipated by financial or industry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the selling stockholders or other securityholders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or continued development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56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of our common stock or the perception of such sales, by us or selling stockholders, in the public market or otherwise, could cause the market price for our securities to decline, even though selling stockholders would still realize a profit on sales at lower prices. Resales of the securities offered may cause the market price of such securities to drop significantly, even if our business is doing well.</w:t>
      </w:r>
    </w:p>
    <w:p>
      <w:pPr>
        <w:spacing w:after="0" w:line="67" w:lineRule="exact"/>
        <w:rPr>
          <w:sz w:val="20"/>
          <w:szCs w:val="20"/>
          <w:color w:val="auto"/>
        </w:rPr>
      </w:pPr>
    </w:p>
    <w:p>
      <w:pPr>
        <w:ind w:left="560" w:right="180"/>
        <w:spacing w:after="0" w:line="261" w:lineRule="auto"/>
        <w:rPr>
          <w:sz w:val="20"/>
          <w:szCs w:val="20"/>
          <w:color w:val="auto"/>
        </w:rPr>
      </w:pPr>
      <w:r>
        <w:rPr>
          <w:rFonts w:ascii="Times New Roman" w:cs="Times New Roman" w:eastAsia="Times New Roman" w:hAnsi="Times New Roman"/>
          <w:sz w:val="18"/>
          <w:szCs w:val="18"/>
          <w:color w:val="auto"/>
        </w:rPr>
        <w:t>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w:t>
      </w:r>
    </w:p>
    <w:p>
      <w:pPr>
        <w:spacing w:after="0" w:line="180" w:lineRule="exact"/>
        <w:rPr>
          <w:sz w:val="20"/>
          <w:szCs w:val="20"/>
          <w:color w:val="auto"/>
        </w:rPr>
      </w:pPr>
    </w:p>
    <w:p>
      <w:pPr>
        <w:ind w:left="560" w:right="80"/>
        <w:spacing w:after="0" w:line="261" w:lineRule="auto"/>
        <w:rPr>
          <w:sz w:val="20"/>
          <w:szCs w:val="20"/>
          <w:color w:val="auto"/>
        </w:rPr>
      </w:pPr>
      <w:r>
        <w:rPr>
          <w:rFonts w:ascii="Times New Roman" w:cs="Times New Roman" w:eastAsia="Times New Roman" w:hAnsi="Times New Roman"/>
          <w:sz w:val="18"/>
          <w:szCs w:val="18"/>
          <w:color w:val="auto"/>
        </w:rPr>
        <w:t>Certain selling stockholders acquired securities at prices that are significantly less than the current trading price of our common stock. Accordingly, certain selling stockholders could still realize a profit on sales at lower prices. Even if the trading price of our common stock falls to or significantly below the current trading price, selling stockholders may still have an incentive to sell and profit due to the nominal purchase prices paid by such selling stockholders, which are significantly lower than the purchase prices paid by the public stockholders.</w:t>
      </w:r>
    </w:p>
    <w:p>
      <w:pPr>
        <w:spacing w:after="0" w:line="180"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Pursuant to the Subscription Agreement, we filed a resale shelf registration statement covering the resale of up to an aggregate of 2,969,583 shares of our common stock, which was declared effective on July 30, 2024. Given the substantial number of shares available for resale, the sale of shares by such stockholders, or the perception in the market that the stockholders of a large number of shares intend to sell shares, could increase the volatility of the market price of our common stock or result in a significant decline in the public trading price of our common stock.</w:t>
      </w:r>
    </w:p>
    <w:p>
      <w:pPr>
        <w:spacing w:after="0" w:line="180"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In addition, certain of our shares are subject to lock-up agreements between AVROBIO and Legacy Tectonic. Following the expiration of these lock-up agreements, the relevant stockholders will not be restricted from selling shares our common stock held by them, other than by applicable securities laws. Stockholders not subject to these lock-up agreements will not be restricted from selling shares of our common stock held by them, other than by applicable securities laws. In addition, shares of common stock that are subject to outstanding options or will become eligible for sale in the public market to the extent permitted by the provisions of various vesting agreements and Rules 144 and 701 under the Securities Act. If our stockholders sell, or indicate an intention to sell, substantial amounts of our common stock in the public market after any legal or contractual restrictions on resale lapse, the trading price of our common stock could decline.</w:t>
      </w:r>
    </w:p>
    <w:p>
      <w:pPr>
        <w:spacing w:after="0" w:line="185" w:lineRule="exact"/>
        <w:rPr>
          <w:sz w:val="20"/>
          <w:szCs w:val="20"/>
          <w:color w:val="auto"/>
        </w:rPr>
      </w:pPr>
    </w:p>
    <w:p>
      <w:pPr>
        <w:ind w:left="56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ind w:left="560" w:right="80"/>
        <w:spacing w:after="0" w:line="256" w:lineRule="auto"/>
        <w:rPr>
          <w:sz w:val="20"/>
          <w:szCs w:val="20"/>
          <w:color w:val="auto"/>
        </w:rPr>
      </w:pPr>
      <w:r>
        <w:rPr>
          <w:rFonts w:ascii="Times New Roman" w:cs="Times New Roman" w:eastAsia="Times New Roman" w:hAnsi="Times New Roman"/>
          <w:sz w:val="18"/>
          <w:szCs w:val="18"/>
          <w:color w:val="auto"/>
        </w:rPr>
        <w:t>Based on the number of shares outstanding as of September 30, 2024, our executive officers, directors and principal stockholders, in the aggregate, beneficially own approximately 47.4%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83" w:lineRule="exact"/>
        <w:rPr>
          <w:sz w:val="20"/>
          <w:szCs w:val="20"/>
          <w:color w:val="auto"/>
        </w:rPr>
      </w:pPr>
    </w:p>
    <w:p>
      <w:pPr>
        <w:ind w:left="56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left="560" w:right="2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85" w:lineRule="exact"/>
        <w:rPr>
          <w:sz w:val="20"/>
          <w:szCs w:val="20"/>
          <w:color w:val="auto"/>
        </w:rPr>
      </w:pPr>
    </w:p>
    <w:p>
      <w:pPr>
        <w:ind w:left="56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and may invest or spend the proceeds in ways with which you do not agree and in ways that may not increase the value of your investment.</w:t>
      </w:r>
    </w:p>
    <w:p>
      <w:pPr>
        <w:spacing w:after="0" w:line="51"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our cash resources.</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share capital in the foreseeable future, capital appreciation, if any, will be your sole source of gain.</w:t>
      </w:r>
    </w:p>
    <w:p>
      <w:pPr>
        <w:spacing w:after="0" w:line="51" w:lineRule="exact"/>
        <w:rPr>
          <w:sz w:val="20"/>
          <w:szCs w:val="20"/>
          <w:color w:val="auto"/>
        </w:rPr>
      </w:pPr>
    </w:p>
    <w:p>
      <w:pPr>
        <w:ind w:left="560" w:right="300"/>
        <w:spacing w:after="0" w:line="281" w:lineRule="auto"/>
        <w:rPr>
          <w:sz w:val="20"/>
          <w:szCs w:val="20"/>
          <w:color w:val="auto"/>
        </w:rPr>
      </w:pPr>
      <w:r>
        <w:rPr>
          <w:rFonts w:ascii="Times New Roman" w:cs="Times New Roman" w:eastAsia="Times New Roman" w:hAnsi="Times New Roman"/>
          <w:sz w:val="17"/>
          <w:szCs w:val="17"/>
          <w:color w:val="auto"/>
        </w:rPr>
        <w:t>You should not rely on an investment in our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shares.</w:t>
      </w:r>
    </w:p>
    <w:p>
      <w:pPr>
        <w:spacing w:after="0" w:line="160" w:lineRule="exact"/>
        <w:rPr>
          <w:sz w:val="20"/>
          <w:szCs w:val="20"/>
          <w:color w:val="auto"/>
        </w:rPr>
      </w:pPr>
    </w:p>
    <w:p>
      <w:pPr>
        <w:ind w:left="56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and bylaws, as well as provisions of Delaware law, could make it more difficult for a third party to acquire us or increase the cost of acquiring us, even if doing so would benefit our stockholders or remove our current management.</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charter and bylaws and Delaware law contain provisions that may have the effect of delaying or preventing a change in control of the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Company or changes in our management. Our charter and bylaws, include provisions that:</w:t>
      </w:r>
    </w:p>
    <w:p>
      <w:pPr>
        <w:spacing w:after="0" w:line="112" w:lineRule="exact"/>
        <w:rPr>
          <w:sz w:val="20"/>
          <w:szCs w:val="20"/>
          <w:color w:val="auto"/>
        </w:rPr>
      </w:pPr>
    </w:p>
    <w:p>
      <w:pPr>
        <w:ind w:left="1080" w:right="5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the Board without stockholder approval and may contain voting, liquidation, dividend and other rights superior to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the Board, the chairperson of the Board, our Chief Executive Officer or our President;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the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may be filled only by a majority of directors then in office, even though less than a quorum;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the Board to modify, alter or repeal our amended and restated by-laws;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charter and bylaws.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DGCL, which limits the ability of stockholders owning in excess of 15% of our outstanding voting stock to merge or combine with us.</w:t>
      </w:r>
    </w:p>
    <w:p>
      <w:pPr>
        <w:spacing w:after="0" w:line="162" w:lineRule="exact"/>
        <w:rPr>
          <w:sz w:val="20"/>
          <w:szCs w:val="20"/>
          <w:color w:val="auto"/>
        </w:rPr>
      </w:pPr>
    </w:p>
    <w:p>
      <w:pPr>
        <w:jc w:val="both"/>
        <w:ind w:left="560" w:right="160"/>
        <w:spacing w:after="0" w:line="266" w:lineRule="auto"/>
        <w:rPr>
          <w:sz w:val="20"/>
          <w:szCs w:val="20"/>
          <w:color w:val="auto"/>
        </w:rPr>
      </w:pPr>
      <w:r>
        <w:rPr>
          <w:rFonts w:ascii="Times New Roman" w:cs="Times New Roman" w:eastAsia="Times New Roman" w:hAnsi="Times New Roman"/>
          <w:sz w:val="18"/>
          <w:szCs w:val="18"/>
          <w:color w:val="auto"/>
        </w:rPr>
        <w:t>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jc w:val="both"/>
        <w:ind w:left="56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51" w:lineRule="exact"/>
        <w:rPr>
          <w:sz w:val="20"/>
          <w:szCs w:val="20"/>
          <w:color w:val="auto"/>
        </w:rPr>
      </w:pPr>
    </w:p>
    <w:p>
      <w:pPr>
        <w:ind w:left="560" w:right="4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DGCL, our amended and restated certificate of incorporation or our amended and restated bylaws; or</w:t>
      </w:r>
    </w:p>
    <w:p>
      <w:pPr>
        <w:spacing w:after="0" w:line="3" w:lineRule="exact"/>
        <w:rPr>
          <w:sz w:val="20"/>
          <w:szCs w:val="20"/>
          <w:color w:val="auto"/>
        </w:rPr>
      </w:pPr>
    </w:p>
    <w:p>
      <w:pPr>
        <w:ind w:left="560" w:right="180" w:hanging="4"/>
        <w:spacing w:after="0" w:line="260" w:lineRule="auto"/>
        <w:tabs>
          <w:tab w:leader="none" w:pos="8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 or the Delaware Forum Provision. The Delaware Forum Provision will not apply to any causes of action arising under the Securities Act or the Exchange Act. Our amended and restated bylaws further provide</w:t>
      </w:r>
    </w:p>
    <w:p>
      <w:pPr>
        <w:spacing w:after="0" w:line="3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Watertown,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187"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60"/>
          </w:cols>
          <w:pgMar w:left="320" w:top="455" w:right="5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81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20" w:type="dxa"/>
            <w:vAlign w:val="bottom"/>
          </w:tcPr>
          <w:p>
            <w:pPr>
              <w:spacing w:after="0"/>
              <w:rPr>
                <w:sz w:val="24"/>
                <w:szCs w:val="24"/>
                <w:color w:val="auto"/>
              </w:rPr>
            </w:pPr>
          </w:p>
        </w:tc>
        <w:tc>
          <w:tcPr>
            <w:tcW w:w="79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0" w:type="dxa"/>
            <w:vAlign w:val="bottom"/>
          </w:tcPr>
          <w:p>
            <w:pPr>
              <w:spacing w:after="0"/>
              <w:rPr>
                <w:sz w:val="1"/>
                <w:szCs w:val="1"/>
                <w:color w:val="auto"/>
              </w:rPr>
            </w:pPr>
          </w:p>
        </w:tc>
      </w:tr>
      <w:tr>
        <w:trPr>
          <w:trHeight w:val="104"/>
        </w:trPr>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0" w:type="dxa"/>
            <w:vAlign w:val="bottom"/>
            <w:vMerge w:val="restart"/>
          </w:tcPr>
          <w:p>
            <w:pPr>
              <w:ind w:left="2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gridSpan w:val="2"/>
            <w:vMerge w:val="restart"/>
          </w:tcPr>
          <w:p>
            <w:pPr>
              <w:spacing w:after="0"/>
              <w:rPr>
                <w:sz w:val="9"/>
                <w:szCs w:val="9"/>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40" w:type="dxa"/>
            <w:vAlign w:val="bottom"/>
            <w:vMerge w:val="restart"/>
          </w:tcPr>
          <w:p>
            <w:pPr>
              <w:spacing w:after="0"/>
              <w:rPr>
                <w:sz w:val="9"/>
                <w:szCs w:val="9"/>
                <w:color w:val="auto"/>
              </w:rPr>
            </w:pPr>
          </w:p>
        </w:tc>
        <w:tc>
          <w:tcPr>
            <w:tcW w:w="10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0" w:type="dxa"/>
            <w:vAlign w:val="bottom"/>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72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Fourth Amended and Restated Certificate of Incorporation, as amended through June 20,</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001-38537</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8/14/2024</w:t>
            </w:r>
          </w:p>
        </w:tc>
        <w:tc>
          <w:tcPr>
            <w:tcW w:w="0" w:type="dxa"/>
            <w:vAlign w:val="bottom"/>
          </w:tcPr>
          <w:p>
            <w:pPr>
              <w:spacing w:after="0"/>
              <w:rPr>
                <w:sz w:val="1"/>
                <w:szCs w:val="1"/>
                <w:color w:val="auto"/>
              </w:rPr>
            </w:pPr>
          </w:p>
        </w:tc>
      </w:tr>
      <w:tr>
        <w:trPr>
          <w:trHeight w:val="324"/>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72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Amended and Restated Bylaws, as currently in effect.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001-38537</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6/25/2018</w:t>
            </w:r>
          </w:p>
        </w:tc>
        <w:tc>
          <w:tcPr>
            <w:tcW w:w="0" w:type="dxa"/>
            <w:vAlign w:val="bottom"/>
          </w:tcPr>
          <w:p>
            <w:pPr>
              <w:spacing w:after="0"/>
              <w:rPr>
                <w:sz w:val="1"/>
                <w:szCs w:val="1"/>
                <w:color w:val="auto"/>
              </w:rPr>
            </w:pPr>
          </w:p>
        </w:tc>
      </w:tr>
      <w:tr>
        <w:trPr>
          <w:trHeight w:val="324"/>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72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Non-Employee Director Compensation Policy of Tectonic Therapeutic, Inc.</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72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Separation Agreement, dated July 5, 2024, between Tectonic Therapeutic, Inc. and Christian</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Cortis</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001-38537</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7/5/2024</w:t>
            </w:r>
          </w:p>
        </w:tc>
        <w:tc>
          <w:tcPr>
            <w:tcW w:w="0" w:type="dxa"/>
            <w:vAlign w:val="bottom"/>
          </w:tcPr>
          <w:p>
            <w:pPr>
              <w:spacing w:after="0"/>
              <w:rPr>
                <w:sz w:val="1"/>
                <w:szCs w:val="1"/>
                <w:color w:val="auto"/>
              </w:rPr>
            </w:pPr>
          </w:p>
        </w:tc>
      </w:tr>
      <w:tr>
        <w:trPr>
          <w:trHeight w:val="306"/>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72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the Securities Exchange Act of 1934, as Adopted Pursuant to Section 302 of the Sarbanes-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Oxley Act of 2002.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72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the Securities Exchange Act of 1934, as Adopted Pursuant to Section 302 of the Sarbanes-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Oxley Act of 2002.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72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18</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U.S.C. Section 1350, as Adopted Pursuant to Section 906 of the Sarbanes-Oxley Act of 2002.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2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Data File as its XBRL tags are embedded within the Inline XBRL document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7"/>
              </w:rPr>
              <w:t>101.SCH*</w:t>
            </w:r>
          </w:p>
        </w:tc>
        <w:tc>
          <w:tcPr>
            <w:tcW w:w="72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XBRL Taxonomy Extension Schema Document with Embedded Linkbase Documents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72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9" w:lineRule="exact"/>
        <w:rPr>
          <w:sz w:val="20"/>
          <w:szCs w:val="20"/>
          <w:color w:val="auto"/>
        </w:rPr>
      </w:pPr>
    </w:p>
    <w:p>
      <w:pPr>
        <w:ind w:left="540" w:right="140" w:hanging="424"/>
        <w:spacing w:after="0" w:line="253"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by the registrant under the Securities Act of 1933, as amended, or the Securities Exchange Act of 1934, as amended, whether made before or after the date hereof, regardless of any general incorporation language in such filing.</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80"/>
          </w:cols>
          <w:pgMar w:left="320" w:top="446"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9" w:lineRule="exact"/>
        <w:rPr>
          <w:sz w:val="20"/>
          <w:szCs w:val="20"/>
          <w:color w:val="auto"/>
        </w:rPr>
      </w:pPr>
    </w:p>
    <w:p>
      <w:pPr>
        <w:ind w:left="120"/>
        <w:spacing w:after="0"/>
        <w:tabs>
          <w:tab w:leader="none" w:pos="5720" w:val="left"/>
          <w:tab w:leader="none" w:pos="784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Alise Reicin,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Alise Reicin, M.D.</w:t>
      </w:r>
    </w:p>
    <w:p>
      <w:pPr>
        <w:spacing w:after="0" w:line="2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120"/>
        <w:spacing w:after="0"/>
        <w:tabs>
          <w:tab w:leader="none" w:pos="5720" w:val="left"/>
          <w:tab w:leader="none" w:pos="796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Daniel Lochner</w:t>
      </w:r>
    </w:p>
    <w:p>
      <w:pPr>
        <w:spacing w:after="0" w:line="2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 Accounting Officer)</w:t>
      </w:r>
    </w:p>
    <w:p>
      <w:pPr>
        <w:spacing w:after="0" w:line="1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40"/>
          </w:cols>
          <w:pgMar w:left="320" w:top="455" w:right="6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ECTONIC</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color w:val="auto"/>
        </w:rPr>
        <w:t>Each member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Tectonic Therapeutic,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who is a non-employee director of the Company (each such member, a “</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will receive the compensation described in this Non-Employee Director Compensation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for his or her Board service.</w:t>
      </w:r>
    </w:p>
    <w:p>
      <w:pPr>
        <w:spacing w:after="0" w:line="175"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Policy is effective as of the date of the consummation of the merger pursuant to that certain Agreement and Plan of Merger and Reorganization, dated as of January 30, 2024 by and among AVROBIO, Inc., Alpine Merger Subsidiary, Inc. and Tectonic Therapeutic, Inc.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The Policy may be amended at any time in the sole discretion of the Board or the Compensation Committee of the Board.</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 Non-Employee Director may decline all or any portion of his or her compensation by giving notice to the Company prior to the date cash is to be paid or equity awards are to be granted, as the case may be.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Cash Compensation</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 xml:space="preserve">Commencing at the beginning of the first calendar quarter following the Effective Date, each Non-Employee Director will receive a cash retainer for service on our Board and committees of our Board. The annual cash retainers will be payable in arrears in four equal quarterly installments within sixty days after the end of each calendar quarter in which the service occurred,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such payment will be prorated for any portion of such quarter that the Non-Employee Director is not serving on our Board.</w:t>
      </w:r>
    </w:p>
    <w:p>
      <w:pPr>
        <w:spacing w:after="0" w:line="72" w:lineRule="exact"/>
        <w:rPr>
          <w:sz w:val="20"/>
          <w:szCs w:val="20"/>
          <w:color w:val="auto"/>
        </w:rPr>
      </w:pPr>
    </w:p>
    <w:p>
      <w:pPr>
        <w:ind w:left="740" w:hanging="184"/>
        <w:spacing w:after="0"/>
        <w:tabs>
          <w:tab w:leader="none" w:pos="7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Board Service Retainer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720" w:hanging="172"/>
        <w:spacing w:after="0"/>
        <w:tabs>
          <w:tab w:leader="none" w:pos="17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Eligible Directors: $40,000</w:t>
      </w:r>
    </w:p>
    <w:p>
      <w:pPr>
        <w:spacing w:after="0" w:line="117" w:lineRule="exact"/>
        <w:rPr>
          <w:rFonts w:ascii="Times New Roman" w:cs="Times New Roman" w:eastAsia="Times New Roman" w:hAnsi="Times New Roman"/>
          <w:sz w:val="18"/>
          <w:szCs w:val="18"/>
          <w:color w:val="auto"/>
        </w:rPr>
      </w:pPr>
    </w:p>
    <w:p>
      <w:pPr>
        <w:ind w:left="1720" w:hanging="172"/>
        <w:spacing w:after="0"/>
        <w:tabs>
          <w:tab w:leader="none" w:pos="17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Retainer for non-executive chairperson of the Board: $70,000 (in lieu of amount listed above)</w:t>
      </w:r>
    </w:p>
    <w:p>
      <w:pPr>
        <w:spacing w:after="0" w:line="117"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Committee Member Service Retainer (in addition to Annual Board Service Retainer)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720" w:hanging="172"/>
        <w:spacing w:after="0"/>
        <w:tabs>
          <w:tab w:leader="none" w:pos="17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$7,500</w:t>
      </w:r>
    </w:p>
    <w:p>
      <w:pPr>
        <w:spacing w:after="0" w:line="117" w:lineRule="exact"/>
        <w:rPr>
          <w:rFonts w:ascii="Times New Roman" w:cs="Times New Roman" w:eastAsia="Times New Roman" w:hAnsi="Times New Roman"/>
          <w:sz w:val="18"/>
          <w:szCs w:val="18"/>
          <w:color w:val="auto"/>
        </w:rPr>
      </w:pPr>
    </w:p>
    <w:p>
      <w:pPr>
        <w:ind w:left="1720" w:hanging="172"/>
        <w:spacing w:after="0"/>
        <w:tabs>
          <w:tab w:leader="none" w:pos="17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$5,000</w:t>
      </w:r>
    </w:p>
    <w:p>
      <w:pPr>
        <w:spacing w:after="0" w:line="117" w:lineRule="exact"/>
        <w:rPr>
          <w:rFonts w:ascii="Times New Roman" w:cs="Times New Roman" w:eastAsia="Times New Roman" w:hAnsi="Times New Roman"/>
          <w:sz w:val="18"/>
          <w:szCs w:val="18"/>
          <w:color w:val="auto"/>
        </w:rPr>
      </w:pPr>
    </w:p>
    <w:p>
      <w:pPr>
        <w:ind w:left="1720" w:hanging="172"/>
        <w:spacing w:after="0"/>
        <w:tabs>
          <w:tab w:leader="none" w:pos="17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 $4,000</w:t>
      </w:r>
    </w:p>
    <w:p>
      <w:pPr>
        <w:spacing w:after="0" w:line="117"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Committee Chair Service Retainer (inclusive of the Annual Committee Member Service Retainer)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720" w:hanging="172"/>
        <w:spacing w:after="0"/>
        <w:tabs>
          <w:tab w:leader="none" w:pos="17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Audit Committee: $15,000</w:t>
      </w:r>
    </w:p>
    <w:p>
      <w:pPr>
        <w:spacing w:after="0" w:line="117" w:lineRule="exact"/>
        <w:rPr>
          <w:rFonts w:ascii="Times New Roman" w:cs="Times New Roman" w:eastAsia="Times New Roman" w:hAnsi="Times New Roman"/>
          <w:sz w:val="18"/>
          <w:szCs w:val="18"/>
          <w:color w:val="auto"/>
        </w:rPr>
      </w:pPr>
    </w:p>
    <w:p>
      <w:pPr>
        <w:ind w:left="1720" w:hanging="172"/>
        <w:spacing w:after="0"/>
        <w:tabs>
          <w:tab w:leader="none" w:pos="17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Compensation Committee: $10,000</w:t>
      </w:r>
    </w:p>
    <w:p>
      <w:pPr>
        <w:spacing w:after="0" w:line="117" w:lineRule="exact"/>
        <w:rPr>
          <w:rFonts w:ascii="Times New Roman" w:cs="Times New Roman" w:eastAsia="Times New Roman" w:hAnsi="Times New Roman"/>
          <w:sz w:val="18"/>
          <w:szCs w:val="18"/>
          <w:color w:val="auto"/>
        </w:rPr>
      </w:pPr>
    </w:p>
    <w:p>
      <w:pPr>
        <w:ind w:left="1720" w:hanging="172"/>
        <w:spacing w:after="0"/>
        <w:tabs>
          <w:tab w:leader="none" w:pos="17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Nominating and Corporate Governance Committee: $8,000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17"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color w:val="auto"/>
        </w:rPr>
        <w:t>Equity awards will be granted under the Company’s 2024 Equity Incentive Plan or any successor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All stock options granted under the Policy will be nonstatutory stock options, with a term of ten years from the date of grant, subject to earlier termination upon a termination of the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Continuous Service (as defined in the Plan) of the Non-Employee Director and an exercise price per share equal to 100% of the Fair Market Value (as defined in the Plan) of the underlying shares of common stock of the Company on the date of grant. Vesting schedules for equity awards will be subject to the Non-Employee Director’s Continuous Service on each applicable vesting date.</w:t>
      </w:r>
    </w:p>
    <w:p>
      <w:pPr>
        <w:spacing w:after="0" w:line="176"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Upon the termination of the membership of the Non-Employee Director on the Board for any reason, his or her options granted under this Policy shall remain exercisable for three months following his or her date of termination (or such longer period as the Board may determine in its discretion on or after the date of grant of such options).</w:t>
      </w:r>
    </w:p>
    <w:p>
      <w:pPr>
        <w:spacing w:after="0" w:line="172" w:lineRule="exact"/>
        <w:rPr>
          <w:sz w:val="20"/>
          <w:szCs w:val="20"/>
          <w:color w:val="auto"/>
        </w:rPr>
      </w:pPr>
    </w:p>
    <w:p>
      <w:pPr>
        <w:ind w:left="820" w:hanging="264"/>
        <w:spacing w:after="0"/>
        <w:tabs>
          <w:tab w:leader="none" w:pos="8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Equity Grants.</w:t>
      </w:r>
    </w:p>
    <w:p>
      <w:pPr>
        <w:spacing w:after="0" w:line="225" w:lineRule="exact"/>
        <w:rPr>
          <w:rFonts w:ascii="Times New Roman" w:cs="Times New Roman" w:eastAsia="Times New Roman" w:hAnsi="Times New Roman"/>
          <w:sz w:val="18"/>
          <w:szCs w:val="18"/>
          <w:b w:val="1"/>
          <w:bCs w:val="1"/>
          <w:color w:val="auto"/>
        </w:rPr>
      </w:pPr>
    </w:p>
    <w:p>
      <w:pPr>
        <w:ind w:left="120" w:right="140" w:firstLine="987"/>
        <w:spacing w:after="0" w:line="259" w:lineRule="auto"/>
        <w:tabs>
          <w:tab w:leader="none" w:pos="132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Initial Grant for Directors Appointed to the Combined Company Board as of the Effective Date</w:t>
      </w:r>
      <w:r>
        <w:rPr>
          <w:rFonts w:ascii="Times New Roman" w:cs="Times New Roman" w:eastAsia="Times New Roman" w:hAnsi="Times New Roman"/>
          <w:sz w:val="18"/>
          <w:szCs w:val="18"/>
          <w:color w:val="auto"/>
        </w:rPr>
        <w:t>. Each Non-Employee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to the Board of the combined company on the Effective Date was granted an one-time equity award of options to purchase 11,760 shares of common stock (the “</w:t>
      </w:r>
      <w:r>
        <w:rPr>
          <w:rFonts w:ascii="Times New Roman" w:cs="Times New Roman" w:eastAsia="Times New Roman" w:hAnsi="Times New Roman"/>
          <w:sz w:val="18"/>
          <w:szCs w:val="18"/>
          <w:b w:val="1"/>
          <w:bCs w:val="1"/>
          <w:i w:val="1"/>
          <w:iCs w:val="1"/>
          <w:color w:val="auto"/>
        </w:rPr>
        <w:t>Effective Date Grant</w:t>
      </w:r>
      <w:r>
        <w:rPr>
          <w:rFonts w:ascii="Times New Roman" w:cs="Times New Roman" w:eastAsia="Times New Roman" w:hAnsi="Times New Roman"/>
          <w:sz w:val="18"/>
          <w:szCs w:val="18"/>
          <w:color w:val="auto"/>
        </w:rPr>
        <w:t>”). One-third of the Effective Date Grant will vest on the first anniversary of the date of grant, with the remainder vesting in equal monthly installments thereafter until the third anniversary of the date of grant, subject to the Non-Employee Director’s Continuous Service through each applicable vesting date.</w:t>
      </w:r>
    </w:p>
    <w:p>
      <w:pPr>
        <w:spacing w:after="0" w:line="179" w:lineRule="exact"/>
        <w:rPr>
          <w:rFonts w:ascii="Times New Roman" w:cs="Times New Roman" w:eastAsia="Times New Roman" w:hAnsi="Times New Roman"/>
          <w:sz w:val="18"/>
          <w:szCs w:val="18"/>
          <w:color w:val="auto"/>
        </w:rPr>
      </w:pPr>
    </w:p>
    <w:p>
      <w:pPr>
        <w:ind w:left="120" w:firstLine="987"/>
        <w:spacing w:after="0" w:line="257" w:lineRule="auto"/>
        <w:tabs>
          <w:tab w:leader="none" w:pos="137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Initial Grant for New Directors Post-Merger</w:t>
      </w:r>
      <w:r>
        <w:rPr>
          <w:rFonts w:ascii="Times New Roman" w:cs="Times New Roman" w:eastAsia="Times New Roman" w:hAnsi="Times New Roman"/>
          <w:sz w:val="18"/>
          <w:szCs w:val="18"/>
          <w:color w:val="auto"/>
        </w:rPr>
        <w:t>. Without any further action of the Board, each person who, after the Effective Date,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or appointed for the first time to be a Non-Employee Director will automatically, upon the date of his or her initial election or appointment to be a Non-Employee Director, be granted an initial, one-time equity award of options to purchase 14,800 shares of common stock with a cash value not to exceed $800,000 (the “</w:t>
      </w:r>
      <w:r>
        <w:rPr>
          <w:rFonts w:ascii="Times New Roman" w:cs="Times New Roman" w:eastAsia="Times New Roman" w:hAnsi="Times New Roman"/>
          <w:sz w:val="18"/>
          <w:szCs w:val="18"/>
          <w:b w:val="1"/>
          <w:bCs w:val="1"/>
          <w:i w:val="1"/>
          <w:iCs w:val="1"/>
          <w:color w:val="auto"/>
        </w:rPr>
        <w:t>Initial Grant</w:t>
      </w:r>
      <w:r>
        <w:rPr>
          <w:rFonts w:ascii="Times New Roman" w:cs="Times New Roman" w:eastAsia="Times New Roman" w:hAnsi="Times New Roman"/>
          <w:sz w:val="18"/>
          <w:szCs w:val="18"/>
          <w:color w:val="auto"/>
        </w:rPr>
        <w:t>”). One-third of the Initial Grant will vest on the first anniversary of the date of grant, with the remainder vesting in equal monthly installments thereafter until the third anniversary of the date of grant, subject to the Non-Employee Director’s Continuous Service through each applicable vesting date.</w:t>
      </w:r>
    </w:p>
    <w:p>
      <w:pPr>
        <w:spacing w:after="0" w:line="182" w:lineRule="exact"/>
        <w:rPr>
          <w:rFonts w:ascii="Times New Roman" w:cs="Times New Roman" w:eastAsia="Times New Roman" w:hAnsi="Times New Roman"/>
          <w:sz w:val="18"/>
          <w:szCs w:val="18"/>
          <w:color w:val="auto"/>
        </w:rPr>
      </w:pPr>
    </w:p>
    <w:p>
      <w:pPr>
        <w:ind w:left="120" w:right="80" w:firstLine="987"/>
        <w:spacing w:after="0" w:line="257" w:lineRule="auto"/>
        <w:tabs>
          <w:tab w:leader="none" w:pos="142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Grant</w:t>
      </w:r>
      <w:r>
        <w:rPr>
          <w:rFonts w:ascii="Times New Roman" w:cs="Times New Roman" w:eastAsia="Times New Roman" w:hAnsi="Times New Roman"/>
          <w:sz w:val="18"/>
          <w:szCs w:val="18"/>
          <w:color w:val="auto"/>
        </w:rPr>
        <w:t>. Without any further action of the Board, on the business day following each annual meeting of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commencing with the 2025 annual meeting of the stockholders, each person who is then a Non-Employee Director will automatically be granted an option to purchase 7,400 shares of common stock with a cash value not to exceed $400,000 (the “</w:t>
      </w:r>
      <w:r>
        <w:rPr>
          <w:rFonts w:ascii="Times New Roman" w:cs="Times New Roman" w:eastAsia="Times New Roman" w:hAnsi="Times New Roman"/>
          <w:sz w:val="18"/>
          <w:szCs w:val="18"/>
          <w:b w:val="1"/>
          <w:bCs w:val="1"/>
          <w:i w:val="1"/>
          <w:iCs w:val="1"/>
          <w:color w:val="auto"/>
        </w:rPr>
        <w:t>Annual Grant</w:t>
      </w:r>
      <w:r>
        <w:rPr>
          <w:rFonts w:ascii="Times New Roman" w:cs="Times New Roman" w:eastAsia="Times New Roman" w:hAnsi="Times New Roman"/>
          <w:sz w:val="18"/>
          <w:szCs w:val="18"/>
          <w:color w:val="auto"/>
        </w:rPr>
        <w:t>”). Each Annual Grant shall cliff vest upon the earlier of (x) the first anniversary of the date of grant and (y) the Annual Meeting that immediately follows the date of grant, (i) subject to the Non-Employee Director’s Continuous Service through the applicable vesting date and (ii) that no Annual Grant will be granted to a Non-Employee Director in the same calendar year that such person received his or her Initial Grant.</w:t>
      </w:r>
    </w:p>
    <w:p>
      <w:pPr>
        <w:spacing w:after="0" w:line="182" w:lineRule="exact"/>
        <w:rPr>
          <w:rFonts w:ascii="Times New Roman" w:cs="Times New Roman" w:eastAsia="Times New Roman" w:hAnsi="Times New Roman"/>
          <w:sz w:val="18"/>
          <w:szCs w:val="18"/>
          <w:color w:val="auto"/>
        </w:rPr>
      </w:pPr>
    </w:p>
    <w:p>
      <w:pPr>
        <w:ind w:left="120" w:right="40" w:firstLine="436"/>
        <w:spacing w:after="0" w:line="291" w:lineRule="auto"/>
        <w:tabs>
          <w:tab w:leader="none" w:pos="825"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Notwithstanding the foregoing vesting schedules, for each Non-Employee Director who remains in Continuous Service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the Company until immediately prior to the closing of a “Change in Control” (as defined in the Plan), the shares subject to his or her then-outstanding equity grants that were granted pursuant to the Policy will become fully vested immediately prior to the closing of such Change in Control.</w:t>
      </w:r>
    </w:p>
    <w:p>
      <w:pPr>
        <w:spacing w:after="0" w:line="152" w:lineRule="exact"/>
        <w:rPr>
          <w:rFonts w:ascii="Times New Roman" w:cs="Times New Roman" w:eastAsia="Times New Roman" w:hAnsi="Times New Roman"/>
          <w:sz w:val="17"/>
          <w:szCs w:val="17"/>
          <w:b w:val="1"/>
          <w:bCs w:val="1"/>
          <w:color w:val="auto"/>
        </w:rPr>
      </w:pPr>
    </w:p>
    <w:p>
      <w:pPr>
        <w:ind w:left="120" w:right="60" w:firstLine="436"/>
        <w:spacing w:after="0" w:line="262" w:lineRule="auto"/>
        <w:tabs>
          <w:tab w:leader="none" w:pos="80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Remaining Terms</w:t>
      </w:r>
      <w:r>
        <w:rPr>
          <w:rFonts w:ascii="Times New Roman" w:cs="Times New Roman" w:eastAsia="Times New Roman" w:hAnsi="Times New Roman"/>
          <w:sz w:val="18"/>
          <w:szCs w:val="18"/>
          <w:color w:val="auto"/>
        </w:rPr>
        <w:t>. The remaining terms and conditions of each stock option, including transferability, will be as set forth in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 Option Agreement, in the form adopted from time to time by the Board. The remaining terms and conditions of each restricted stock unit award, including transferability, will be as set forth in the Company’s standard Restricted Stock Unit Award Agreement, in the form adopted from time to time by the Board.</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40"/>
          </w:cols>
          <w:pgMar w:left="320" w:top="455" w:right="5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 Limit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aggregate value of all compensation granted or paid, as applicable, to any individual for service as a Non-Employee Director shall in no event exceed the limits set forth in Section 3(d) of the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 xml:space="preserve">The Company will reimburse each Non-Employee Director for reasonable out-of-pocket travel expenses to cover in-person attendance at and participation in Board and committee meetings;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Non-Employee Director timely submit to the Company appropriate documentation substantiating such expenses in accordance with the Company’s travel and expense policy, as in effect from time to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Approved: August 21, 2024</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June 20, 2024</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320" w:top="455" w:right="5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Alise Reicin, certify that:</w:t>
      </w:r>
    </w:p>
    <w:p>
      <w:pPr>
        <w:spacing w:after="0" w:line="131"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Tectonic Therapeutic, Inc.;</w:t>
      </w:r>
    </w:p>
    <w:p>
      <w:pPr>
        <w:spacing w:after="0" w:line="130" w:lineRule="exact"/>
        <w:rPr>
          <w:rFonts w:ascii="Times New Roman" w:cs="Times New Roman" w:eastAsia="Times New Roman" w:hAnsi="Times New Roman"/>
          <w:sz w:val="18"/>
          <w:szCs w:val="18"/>
          <w:color w:val="auto"/>
        </w:rPr>
      </w:pPr>
    </w:p>
    <w:p>
      <w:pPr>
        <w:jc w:val="both"/>
        <w:ind w:left="540" w:right="120" w:hanging="424"/>
        <w:spacing w:after="0" w:line="266"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540" w:right="120" w:hanging="424"/>
        <w:spacing w:after="0" w:line="261"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080" w:right="320" w:hanging="532"/>
        <w:spacing w:after="0" w:line="282" w:lineRule="auto"/>
        <w:tabs>
          <w:tab w:leader="none" w:pos="10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Alise Reicin,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Alise Reicin, M.D.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Daniel Lochner, certify that:</w:t>
      </w:r>
    </w:p>
    <w:p>
      <w:pPr>
        <w:spacing w:after="0" w:line="131"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Tectonic Therapeutic, Inc.;</w:t>
      </w:r>
    </w:p>
    <w:p>
      <w:pPr>
        <w:spacing w:after="0" w:line="130" w:lineRule="exact"/>
        <w:rPr>
          <w:rFonts w:ascii="Times New Roman" w:cs="Times New Roman" w:eastAsia="Times New Roman" w:hAnsi="Times New Roman"/>
          <w:sz w:val="18"/>
          <w:szCs w:val="18"/>
          <w:color w:val="auto"/>
        </w:rPr>
      </w:pPr>
    </w:p>
    <w:p>
      <w:pPr>
        <w:jc w:val="both"/>
        <w:ind w:left="540" w:right="120" w:hanging="424"/>
        <w:spacing w:after="0" w:line="266"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540" w:right="120" w:hanging="424"/>
        <w:spacing w:after="0" w:line="261"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080" w:right="320" w:hanging="532"/>
        <w:spacing w:after="0" w:line="282"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Daniel Lochner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Alise Reicin, President and Chief Executive Officer of Tectonic Therapeutic, Inc. (the “Company”), and Daniel Lochner, Chief Financial Officer of the Company, each hereby certifies that, to the best of his or her knowledge:</w:t>
      </w:r>
    </w:p>
    <w:p>
      <w:pPr>
        <w:spacing w:after="0" w:line="81" w:lineRule="exact"/>
        <w:rPr>
          <w:sz w:val="20"/>
          <w:szCs w:val="20"/>
          <w:color w:val="auto"/>
        </w:rPr>
      </w:pPr>
    </w:p>
    <w:p>
      <w:pPr>
        <w:ind w:left="540" w:right="200" w:hanging="424"/>
        <w:spacing w:after="0" w:line="282"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2024, to which this Certification is attached as Exhibit 32.1 (the “Periodic Report”), fully complies with the requirements of Section 13(a) or Section 15(d) of the Exchange Act; and</w:t>
      </w:r>
    </w:p>
    <w:p>
      <w:pPr>
        <w:spacing w:after="0" w:line="67" w:lineRule="exact"/>
        <w:rPr>
          <w:rFonts w:ascii="Times New Roman" w:cs="Times New Roman" w:eastAsia="Times New Roman" w:hAnsi="Times New Roman"/>
          <w:sz w:val="18"/>
          <w:szCs w:val="18"/>
          <w:color w:val="auto"/>
        </w:rPr>
      </w:pPr>
    </w:p>
    <w:p>
      <w:pPr>
        <w:ind w:left="540" w:right="280" w:hanging="424"/>
        <w:spacing w:after="0" w:line="282"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November 12, 2024</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12th day of November, 2024.</w:t>
      </w: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Alise Reicin, M.D.</w:t>
            </w:r>
          </w:p>
        </w:tc>
        <w:tc>
          <w:tcPr>
            <w:tcW w:w="164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Lochner</w:t>
            </w:r>
          </w:p>
        </w:tc>
      </w:tr>
      <w:tr>
        <w:trPr>
          <w:trHeight w:val="205"/>
        </w:trPr>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Alise Reicin, M.D.</w:t>
            </w:r>
          </w:p>
        </w:tc>
        <w:tc>
          <w:tcPr>
            <w:tcW w:w="164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 xml:space="preserve">                   </w:t>
            </w: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 Lochner</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Tectonic Therapeutic,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7"/>
    </w:lvl>
  </w:abstractNum>
  <w:abstractNum w:abstractNumId="5">
    <w:nsid w:val="2CA88611"/>
    <w:multiLevelType w:val="hybridMultilevel"/>
    <w:lvl w:ilvl="0">
      <w:lvlJc w:val="left"/>
      <w:lvlText w:val="%1."/>
      <w:numFmt w:val="decimal"/>
      <w:start w:val="8"/>
    </w:lvl>
  </w:abstractNum>
  <w:abstractNum w:abstractNumId="6">
    <w:nsid w:val="836C40E"/>
    <w:multiLevelType w:val="hybridMultilevel"/>
    <w:lvl w:ilvl="0">
      <w:lvlJc w:val="left"/>
      <w:lvlText w:val="%1."/>
      <w:numFmt w:val="decimal"/>
      <w:start w:val="9"/>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1)"/>
      <w:numFmt w:val="lowerRoman"/>
      <w:start w:val="2"/>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decimal"/>
      <w:start w:val="4"/>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abstractNum>
  <w:abstractNum w:abstractNumId="46">
    <w:nsid w:val="32FFF902"/>
    <w:multiLevelType w:val="hybridMultilevel"/>
    <w:lvl w:ilvl="0">
      <w:lvlJc w:val="left"/>
      <w:lvlText w:val="(%1)"/>
      <w:numFmt w:val="lowerLetter"/>
      <w:start w:val="1"/>
    </w:lvl>
    <w:lvl w:ilvl="1">
      <w:lvlJc w:val="left"/>
      <w:lvlText w:val="(%2)"/>
      <w:numFmt w:val="lowerRoman"/>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2025-02-12T16:00:16Z</dcterms:created>
  <dcterms:modified xsi:type="dcterms:W3CDTF">2025-02-12T16:00:16Z</dcterms:modified>
</cp:coreProperties>
</file>