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Tectonic Therapeutic,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8789272108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Jean-Philippe Kouakou-Zebouah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Vida Ventures II, LLC, 40 Broad Street, Suite 201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02109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(857) 254-9500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Vida Ventures II,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Vida Ventures II-A,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8789272108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VV Manager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3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Tectonic Therapeutic,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490 Arsenal Way, Suite 210, Watertown, MASSACHUSETTS , 02472.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2 (this Amendment) amends and supplements the Schedule 13D originally</w:t>
      </w:r>
    </w:p>
    <w:p>
      <w:pPr>
        <w:spacing w:after="0" w:line="18" w:lineRule="exact"/>
        <w:rPr>
          <w:sz w:val="20"/>
          <w:szCs w:val="20"/>
          <w:color w:val="auto"/>
        </w:rPr>
      </w:pPr>
    </w:p>
    <w:p>
      <w:pPr>
        <w:jc w:val="both"/>
        <w:ind w:left="960" w:hanging="951"/>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filed by the Reporting Persons with the SEC on June 27, 2024, as amended by that Amendment No. 1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 on February 7, 2025 (collectively, the Original Schedule 13D). Only those items that are hereby reported are amended; all other items reports in the Original Schedule 13D remain unchanged. Information given in response to each item shall be deemed incorporated by reference in all other items, as applicable. Capitalized terms not defines in this Amendment have the meanings ascribed to them in the Original Schedule 13D.</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2(b)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2(c)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2(d)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2(e)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right="1280" w:firstLine="8"/>
        <w:spacing w:after="0" w:line="281" w:lineRule="auto"/>
        <w:tabs>
          <w:tab w:leader="none" w:pos="918"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2(f) of the Original Schedule 13D is incorporated herein by reference. Item 3. Source and Amount of Funds or Other Consideration</w:t>
      </w:r>
    </w:p>
    <w:p>
      <w:pPr>
        <w:spacing w:after="0" w:line="1" w:lineRule="exact"/>
        <w:rPr>
          <w:rFonts w:ascii="Times New Roman" w:cs="Times New Roman" w:eastAsia="Times New Roman" w:hAnsi="Times New Roman"/>
          <w:sz w:val="22"/>
          <w:szCs w:val="22"/>
          <w:color w:val="auto"/>
        </w:rPr>
      </w:pPr>
    </w:p>
    <w:p>
      <w:pPr>
        <w:ind w:right="1500" w:firstLine="918"/>
        <w:spacing w:after="0" w:line="28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3 of the Original Schedule 13D is incorporated herein by reference. Item 4. Purpose of Transaction</w:t>
      </w:r>
    </w:p>
    <w:p>
      <w:pPr>
        <w:spacing w:after="0" w:line="2" w:lineRule="exact"/>
        <w:rPr>
          <w:sz w:val="20"/>
          <w:szCs w:val="20"/>
          <w:color w:val="auto"/>
        </w:rPr>
      </w:pPr>
    </w:p>
    <w:p>
      <w:pPr>
        <w:ind w:right="1500" w:firstLine="918"/>
        <w:spacing w:after="0" w:line="274" w:lineRule="auto"/>
        <w:rPr>
          <w:sz w:val="20"/>
          <w:szCs w:val="20"/>
          <w:color w:val="auto"/>
        </w:rPr>
      </w:pPr>
      <w:r>
        <w:rPr>
          <w:rFonts w:ascii="Times New Roman" w:cs="Times New Roman" w:eastAsia="Times New Roman" w:hAnsi="Times New Roman"/>
          <w:sz w:val="22"/>
          <w:szCs w:val="22"/>
          <w:color w:val="auto"/>
        </w:rPr>
        <w:t>The information set forth in Item 4 of the Original Schedule 13D is incorporated herein by reference. Item 5. Interest in Securities of the Issuer</w:t>
      </w:r>
    </w:p>
    <w:p>
      <w:pPr>
        <w:spacing w:after="0" w:line="16" w:lineRule="exact"/>
        <w:rPr>
          <w:sz w:val="20"/>
          <w:szCs w:val="20"/>
          <w:color w:val="auto"/>
        </w:rPr>
      </w:pPr>
    </w:p>
    <w:p>
      <w:pPr>
        <w:ind w:left="920" w:right="7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2. The information reported on such cover pages is reported as of March 4, 2025.</w:t>
      </w:r>
    </w:p>
    <w:p>
      <w:pPr>
        <w:spacing w:after="0" w:line="17" w:lineRule="exact"/>
        <w:rPr>
          <w:rFonts w:ascii="Times New Roman" w:cs="Times New Roman" w:eastAsia="Times New Roman" w:hAnsi="Times New Roman"/>
          <w:sz w:val="39"/>
          <w:szCs w:val="39"/>
          <w:color w:val="auto"/>
          <w:vertAlign w:val="subscript"/>
        </w:rPr>
      </w:pPr>
    </w:p>
    <w:p>
      <w:pPr>
        <w:ind w:left="920" w:right="7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See Items 7-11 of the cover pages of this Amendment No. 2. The information reported on such cover pages is reported as of March 4, 2025.</w:t>
      </w:r>
    </w:p>
    <w:p>
      <w:pPr>
        <w:spacing w:after="0" w:line="17" w:lineRule="exact"/>
        <w:rPr>
          <w:rFonts w:ascii="Times New Roman" w:cs="Times New Roman" w:eastAsia="Times New Roman" w:hAnsi="Times New Roman"/>
          <w:sz w:val="39"/>
          <w:szCs w:val="39"/>
          <w:color w:val="auto"/>
          <w:vertAlign w:val="subscript"/>
        </w:rPr>
      </w:pPr>
    </w:p>
    <w:p>
      <w:pPr>
        <w:ind w:left="920" w:right="80" w:hanging="912"/>
        <w:spacing w:after="0" w:line="244" w:lineRule="auto"/>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14, 2025, Vida II effected a pro rata distribution of 934,949 shares of Common Stock to its members without additional consideration. On February 14, 2025, Vida II-A effected a pro rata distribution of 25,944 shares of Common Stock to its members without additional consideration. On February 18, 2025, Vida II sold 7,881 shares of Common Stock at a weighted average price per share of $33.2498 for aggregate proceeds of approximately $261,577.63.On February 18, 2025, Vida II-A sold 219 shares of Common Stock at a weighted average price per share of $33.2498 for aggregate proceeds of approximately $7,258.52. On February 28, 2025, Vida II sold 20,345 shares of Common Stock at a weighted average price per share of $25.6818 for aggregate proceeds of approximately $521,419.67. On February 28, 2025, Vida II-A sold 565 shares of Common Stock at a weighted average price per share of $25.6818 for aggregate proceeds of approximately $14,468.89. On March 3, 2025, Vida II sold 584 shares of Common Stock at a weighted average price per share of $24.9606 for aggregate proceeds of approximately $14,468.79. On March 3, 2025, Vida II-A sold 16 shares of Common Stock at a weighted average price per share of $24.9606 for aggregate proceeds of approximately $401.49. On March 4, 2025, Vida II sold 37,140 shares of Common Stock at a weighted average price per share of $23.0841 for aggregate proceeds of approximately</w:t>
      </w:r>
    </w:p>
    <w:p>
      <w:pPr>
        <w:sectPr>
          <w:pgSz w:w="11900" w:h="16838" w:orient="portrait"/>
          <w:cols w:equalWidth="0" w:num="1">
            <w:col w:w="11160"/>
          </w:cols>
          <w:pgMar w:left="360" w:top="112" w:right="379" w:bottom="0" w:gutter="0" w:footer="0" w:header="0"/>
        </w:sectPr>
      </w:pPr>
    </w:p>
    <w:bookmarkStart w:id="4" w:name="page5"/>
    <w:bookmarkEnd w:id="4"/>
    <w:p>
      <w:pPr>
        <w:ind w:left="912" w:right="60"/>
        <w:spacing w:after="0" w:line="256" w:lineRule="auto"/>
        <w:rPr>
          <w:sz w:val="20"/>
          <w:szCs w:val="20"/>
          <w:color w:val="auto"/>
        </w:rPr>
      </w:pPr>
      <w:r>
        <w:rPr>
          <w:rFonts w:ascii="Times New Roman" w:cs="Times New Roman" w:eastAsia="Times New Roman" w:hAnsi="Times New Roman"/>
          <w:sz w:val="22"/>
          <w:szCs w:val="22"/>
          <w:color w:val="auto"/>
        </w:rPr>
        <w:t>$855,438.36. On March 4, 2025, Vida II-A sold 1,031 shares of Common Stock at a weighted average price per share of $23.0841 for aggregate proceeds of approximately $23,737.58.</w:t>
      </w:r>
    </w:p>
    <w:p>
      <w:pPr>
        <w:spacing w:after="0" w:line="1" w:lineRule="exact"/>
        <w:rPr>
          <w:sz w:val="20"/>
          <w:szCs w:val="20"/>
          <w:color w:val="auto"/>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5(d) of the Original Schedule 13D is incorporated herein by reference.</w:t>
      </w:r>
    </w:p>
    <w:p>
      <w:pPr>
        <w:spacing w:after="0" w:line="44"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March 4, 2025</w:t>
      </w:r>
    </w:p>
    <w:p>
      <w:pPr>
        <w:spacing w:after="0" w:line="44" w:lineRule="exact"/>
        <w:rPr>
          <w:sz w:val="20"/>
          <w:szCs w:val="20"/>
          <w:color w:val="auto"/>
        </w:rPr>
      </w:pPr>
    </w:p>
    <w:p>
      <w:pPr>
        <w:ind w:left="912" w:right="1480" w:hanging="917"/>
        <w:spacing w:after="0" w:line="335" w:lineRule="auto"/>
        <w:tabs>
          <w:tab w:leader="none" w:pos="891"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 The information set forth in Item 6 of the Original Schedule 13D is incorporated herein by reference.</w:t>
      </w:r>
    </w:p>
    <w:p>
      <w:pPr>
        <w:spacing w:after="0" w:line="190"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12"/>
        <w:spacing w:after="0"/>
        <w:rPr>
          <w:sz w:val="20"/>
          <w:szCs w:val="20"/>
          <w:color w:val="auto"/>
        </w:rPr>
      </w:pPr>
      <w:r>
        <w:rPr>
          <w:rFonts w:ascii="Times New Roman" w:cs="Times New Roman" w:eastAsia="Times New Roman" w:hAnsi="Times New Roman"/>
          <w:sz w:val="22"/>
          <w:szCs w:val="22"/>
          <w:color w:val="auto"/>
        </w:rPr>
        <w:t>Vida Ventures II, LLC</w:t>
      </w:r>
    </w:p>
    <w:p>
      <w:pPr>
        <w:ind w:left="5652"/>
        <w:spacing w:after="0"/>
        <w:tabs>
          <w:tab w:leader="none" w:pos="6711"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VV Manager II, LLC, its Manager, /s/ Jean-</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Philippe Kouakou-Zebouah</w:t>
      </w:r>
    </w:p>
    <w:p>
      <w:pPr>
        <w:spacing w:after="0" w:line="20"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Vida Ventures II-A, LLC</w:t>
      </w:r>
    </w:p>
    <w:p>
      <w:pPr>
        <w:ind w:left="5652"/>
        <w:spacing w:after="0"/>
        <w:tabs>
          <w:tab w:leader="none" w:pos="6711"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VV Manager II, LLC, its Manager, /s/ Jean-</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Philippe Kouakou-Zebouah</w:t>
      </w:r>
    </w:p>
    <w:p>
      <w:pPr>
        <w:spacing w:after="0" w:line="20"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p>
      <w:pPr>
        <w:spacing w:after="0" w:line="152"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VV Manager II, LLC</w:t>
      </w:r>
    </w:p>
    <w:p>
      <w:pPr>
        <w:spacing w:after="0" w:line="152" w:lineRule="exact"/>
        <w:rPr>
          <w:sz w:val="20"/>
          <w:szCs w:val="20"/>
          <w:color w:val="auto"/>
        </w:rPr>
      </w:pPr>
    </w:p>
    <w:p>
      <w:pPr>
        <w:ind w:left="4392"/>
        <w:spacing w:after="0"/>
        <w:tabs>
          <w:tab w:leader="none" w:pos="54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Jean-Philippe Kouakou-Zebouah</w:t>
      </w:r>
    </w:p>
    <w:p>
      <w:pPr>
        <w:spacing w:after="0" w:line="44" w:lineRule="exact"/>
        <w:rPr>
          <w:sz w:val="20"/>
          <w:szCs w:val="20"/>
          <w:color w:val="auto"/>
        </w:rPr>
      </w:pPr>
    </w:p>
    <w:p>
      <w:pPr>
        <w:ind w:left="4392"/>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4392"/>
        <w:spacing w:after="0"/>
        <w:tabs>
          <w:tab w:leader="none" w:pos="54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2025-04-07T15:28:23Z</dcterms:created>
  <dcterms:modified xsi:type="dcterms:W3CDTF">2025-04-07T15:28:23Z</dcterms:modified>
</cp:coreProperties>
</file>