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Mason Christopher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AVROBIO,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AVRO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AVROBIO,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ONE KENDALL SQUARE, BLDG.</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 SUITE 201</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0000FF"/>
              </w:rPr>
              <w:t>284,365</w:t>
            </w:r>
          </w:p>
        </w:tc>
        <w:tc>
          <w:tcPr>
            <w:tcW w:w="960" w:type="dxa"/>
            <w:vAlign w:val="bottom"/>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04/12/2026</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70,587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0.41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10/24/2026</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27,658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6"/>
              </w:rPr>
              <w:t>1.2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06/12/2027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21,708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0.91</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03/15/2028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29,633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9"/>
              </w:rPr>
              <w:t>5</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02/24/2029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50,000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16.98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03/03/2030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76,000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21.44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02/03/2031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5"/>
              </w:rPr>
              <w:t>125,000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16.02</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-3305175</wp:posOffset>
            </wp:positionV>
            <wp:extent cx="6946900" cy="316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163570"/>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July 1, 2017, and the remaining 75% vested in equal quarterly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October 25, 2017, and the remaining 75% vested in equal quarterly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June 13, 2018, and the remaining 75% vest in equal quarterly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March 16, 2019, and the remaining 75% vest in equal quarterly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February 25, 2020, and the remaining 75% vest in equal quarterly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vested on February 3, 2021, and the remaining 75% vest in equal quarterly installments thereafter over a three-year period.</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shall vest on February 4, 2022, and the remaining 75% shall vest in equal quarterly installments thereafter over a three-year period.</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Christopher Gerry,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756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569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Attorney in Fact for</w:t>
      </w:r>
      <w:r>
        <w:rPr>
          <w:sz w:val="20"/>
          <w:szCs w:val="20"/>
          <w:color w:val="auto"/>
        </w:rPr>
        <w:tab/>
      </w:r>
      <w:r>
        <w:rPr>
          <w:rFonts w:ascii="Arial" w:cs="Arial" w:eastAsia="Arial" w:hAnsi="Arial"/>
          <w:sz w:val="17"/>
          <w:szCs w:val="17"/>
          <w:color w:val="0000FF"/>
        </w:rPr>
        <w:t>03/10/2021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Christopher Mason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531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952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p>
      <w:pPr>
        <w:spacing w:after="0" w:line="6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143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Steven Avruch, Christopher Gerry, Marcia Gookin, Arthur R. McGivern, and James Xu, signing singly, and with full power of substitution, as the undersigned's true and lawful attorney-in-fact to:</w:t>
      </w:r>
    </w:p>
    <w:p>
      <w:pPr>
        <w:spacing w:after="0" w:line="231" w:lineRule="exact"/>
        <w:rPr>
          <w:sz w:val="20"/>
          <w:szCs w:val="20"/>
          <w:color w:val="auto"/>
        </w:rPr>
      </w:pPr>
    </w:p>
    <w:p>
      <w:pPr>
        <w:ind w:right="959" w:firstLine="702"/>
        <w:spacing w:after="0" w:line="264" w:lineRule="auto"/>
        <w:tabs>
          <w:tab w:leader="none" w:pos="12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spacing w:after="0" w:line="4" w:lineRule="exact"/>
        <w:rPr>
          <w:rFonts w:ascii="Courier New" w:cs="Courier New" w:eastAsia="Courier New" w:hAnsi="Courier New"/>
          <w:sz w:val="18"/>
          <w:szCs w:val="18"/>
          <w:color w:val="auto"/>
        </w:rPr>
      </w:pPr>
    </w:p>
    <w:p>
      <w:pPr>
        <w:ind w:right="2019"/>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5" w:lineRule="exact"/>
        <w:rPr>
          <w:rFonts w:ascii="Courier New" w:cs="Courier New" w:eastAsia="Courier New" w:hAnsi="Courier New"/>
          <w:sz w:val="18"/>
          <w:szCs w:val="18"/>
          <w:color w:val="auto"/>
        </w:rPr>
      </w:pPr>
    </w:p>
    <w:p>
      <w:pPr>
        <w:ind w:right="131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13G and (vi) amendments of each thereof, in accordance with the Securities Exchange Act of 1934, as amended, and the rules thereunder, including any attached documents;</w:t>
      </w:r>
    </w:p>
    <w:p>
      <w:pPr>
        <w:spacing w:after="0" w:line="232" w:lineRule="exact"/>
        <w:rPr>
          <w:rFonts w:ascii="Courier New" w:cs="Courier New" w:eastAsia="Courier New" w:hAnsi="Courier New"/>
          <w:sz w:val="18"/>
          <w:szCs w:val="18"/>
          <w:color w:val="auto"/>
        </w:rPr>
      </w:pPr>
    </w:p>
    <w:p>
      <w:pPr>
        <w:ind w:right="739" w:firstLine="702"/>
        <w:spacing w:after="0" w:line="237" w:lineRule="auto"/>
        <w:tabs>
          <w:tab w:leader="none" w:pos="128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25" w:lineRule="exact"/>
        <w:rPr>
          <w:rFonts w:ascii="Courier New" w:cs="Courier New" w:eastAsia="Courier New" w:hAnsi="Courier New"/>
          <w:sz w:val="20"/>
          <w:szCs w:val="20"/>
          <w:color w:val="auto"/>
        </w:rPr>
      </w:pPr>
    </w:p>
    <w:p>
      <w:pPr>
        <w:ind w:left="1280" w:hanging="578"/>
        <w:spacing w:after="0"/>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3" w:lineRule="exact"/>
        <w:rPr>
          <w:sz w:val="20"/>
          <w:szCs w:val="20"/>
          <w:color w:val="auto"/>
        </w:rPr>
      </w:pPr>
    </w:p>
    <w:p>
      <w:pPr>
        <w:ind w:right="1079" w:firstLine="937"/>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32" w:lineRule="exact"/>
        <w:rPr>
          <w:sz w:val="20"/>
          <w:szCs w:val="20"/>
          <w:color w:val="auto"/>
        </w:rPr>
      </w:pPr>
    </w:p>
    <w:p>
      <w:pPr>
        <w:ind w:right="1079" w:firstLine="937"/>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39" w:lineRule="exact"/>
        <w:rPr>
          <w:sz w:val="20"/>
          <w:szCs w:val="20"/>
          <w:color w:val="auto"/>
        </w:rPr>
      </w:pPr>
    </w:p>
    <w:p>
      <w:pPr>
        <w:ind w:right="225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March 4,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_/s/ Christopher Mason _____</w:t>
      </w:r>
    </w:p>
    <w:p>
      <w:pPr>
        <w:spacing w:after="0"/>
        <w:tabs>
          <w:tab w:leader="none" w:pos="80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Christopher Mason</w:t>
      </w:r>
    </w:p>
    <w:p>
      <w:pPr>
        <w:sectPr>
          <w:pgSz w:w="11900" w:h="16838" w:orient="portrait"/>
          <w:cols w:equalWidth="0" w:num="1">
            <w:col w:w="9979"/>
          </w:cols>
          <w:pgMar w:left="48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36440" TargetMode="External"/><Relationship Id="rId11"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2021-03-10T16:09:53Z</dcterms:created>
  <dcterms:modified xsi:type="dcterms:W3CDTF">2021-03-10T16:09:53Z</dcterms:modified>
</cp:coreProperties>
</file>