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139065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3860" w:right="1580" w:hanging="3839"/>
        <w:spacing w:after="0" w:line="365" w:lineRule="auto"/>
        <w:tabs>
          <w:tab w:leader="none" w:pos="47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234" w:lineRule="exact"/>
        <w:rPr>
          <w:sz w:val="24"/>
          <w:szCs w:val="24"/>
          <w:color w:val="auto"/>
        </w:rPr>
      </w:pPr>
    </w:p>
    <w:p>
      <w:pPr>
        <w:ind w:left="3040" w:right="1600" w:hanging="3019"/>
        <w:spacing w:after="0" w:line="328" w:lineRule="auto"/>
        <w:tabs>
          <w:tab w:leader="none" w:pos="48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highlight w:val="black"/>
        </w:rPr>
      </w:pPr>
    </w:p>
    <w:p>
      <w:pPr>
        <w:ind w:left="41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001-38537</w:t>
      </w:r>
    </w:p>
    <w:p>
      <w:pPr>
        <w:spacing w:after="0" w:line="20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-306705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500" w:type="dxa"/>
            <w:vAlign w:val="bottom"/>
            <w:gridSpan w:val="3"/>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tcPr>
          <w:p>
            <w:pPr>
              <w:jc w:val="right"/>
              <w:ind w:right="2301"/>
              <w:spacing w:after="0"/>
              <w:rPr>
                <w:sz w:val="20"/>
                <w:szCs w:val="20"/>
                <w:color w:val="auto"/>
              </w:rPr>
            </w:pPr>
            <w:r>
              <w:rPr>
                <w:rFonts w:ascii="Times New Roman" w:cs="Times New Roman" w:eastAsia="Times New Roman" w:hAnsi="Times New Roman"/>
                <w:sz w:val="18"/>
                <w:szCs w:val="18"/>
                <w:b w:val="1"/>
                <w:bCs w:val="1"/>
                <w:color w:val="auto"/>
              </w:rPr>
              <w:t>81-0710585</w:t>
            </w:r>
          </w:p>
        </w:tc>
        <w:tc>
          <w:tcPr>
            <w:tcW w:w="0" w:type="dxa"/>
            <w:vAlign w:val="bottom"/>
          </w:tcPr>
          <w:p>
            <w:pPr>
              <w:spacing w:after="0"/>
              <w:rPr>
                <w:sz w:val="1"/>
                <w:szCs w:val="1"/>
                <w:color w:val="auto"/>
              </w:rPr>
            </w:pPr>
          </w:p>
        </w:tc>
      </w:tr>
      <w:tr>
        <w:trPr>
          <w:trHeight w:val="148"/>
        </w:trPr>
        <w:tc>
          <w:tcPr>
            <w:tcW w:w="4500" w:type="dxa"/>
            <w:vAlign w:val="bottom"/>
            <w:gridSpan w:val="3"/>
          </w:tcPr>
          <w:p>
            <w:pPr>
              <w:jc w:val="center"/>
              <w:ind w:left="105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0" w:type="dxa"/>
            <w:vAlign w:val="bottom"/>
          </w:tcPr>
          <w:p>
            <w:pPr>
              <w:jc w:val="center"/>
              <w:ind w:right="21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3"/>
          </w:tcPr>
          <w:p>
            <w:pPr>
              <w:jc w:val="center"/>
              <w:ind w:left="105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tcPr>
          <w:p>
            <w:pPr>
              <w:jc w:val="center"/>
              <w:ind w:right="21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71"/>
        </w:trPr>
        <w:tc>
          <w:tcPr>
            <w:tcW w:w="4500" w:type="dxa"/>
            <w:vAlign w:val="bottom"/>
            <w:gridSpan w:val="3"/>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rPr>
              <w:t>490 Arsenal Way, Suite 210</w:t>
            </w:r>
          </w:p>
        </w:tc>
        <w:tc>
          <w:tcPr>
            <w:tcW w:w="2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500" w:type="dxa"/>
            <w:vAlign w:val="bottom"/>
            <w:gridSpan w:val="3"/>
          </w:tcPr>
          <w:p>
            <w:pPr>
              <w:jc w:val="center"/>
              <w:ind w:left="1037"/>
              <w:spacing w:after="0"/>
              <w:rPr>
                <w:sz w:val="20"/>
                <w:szCs w:val="20"/>
                <w:color w:val="auto"/>
              </w:rPr>
            </w:pPr>
            <w:r>
              <w:rPr>
                <w:rFonts w:ascii="Times New Roman" w:cs="Times New Roman" w:eastAsia="Times New Roman" w:hAnsi="Times New Roman"/>
                <w:sz w:val="18"/>
                <w:szCs w:val="18"/>
                <w:b w:val="1"/>
                <w:bCs w:val="1"/>
                <w:color w:val="auto"/>
                <w:w w:val="99"/>
              </w:rPr>
              <w:t>Watertown, MA</w:t>
            </w:r>
          </w:p>
        </w:tc>
        <w:tc>
          <w:tcPr>
            <w:tcW w:w="2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tcPr>
          <w:p>
            <w:pPr>
              <w:jc w:val="right"/>
              <w:ind w:right="2501"/>
              <w:spacing w:after="0"/>
              <w:rPr>
                <w:sz w:val="20"/>
                <w:szCs w:val="20"/>
                <w:color w:val="auto"/>
              </w:rPr>
            </w:pPr>
            <w:r>
              <w:rPr>
                <w:rFonts w:ascii="Times New Roman" w:cs="Times New Roman" w:eastAsia="Times New Roman" w:hAnsi="Times New Roman"/>
                <w:sz w:val="18"/>
                <w:szCs w:val="18"/>
                <w:b w:val="1"/>
                <w:bCs w:val="1"/>
                <w:color w:val="auto"/>
              </w:rPr>
              <w:t>02472</w:t>
            </w:r>
          </w:p>
        </w:tc>
        <w:tc>
          <w:tcPr>
            <w:tcW w:w="0" w:type="dxa"/>
            <w:vAlign w:val="bottom"/>
          </w:tcPr>
          <w:p>
            <w:pPr>
              <w:spacing w:after="0"/>
              <w:rPr>
                <w:sz w:val="1"/>
                <w:szCs w:val="1"/>
                <w:color w:val="auto"/>
              </w:rPr>
            </w:pPr>
          </w:p>
        </w:tc>
      </w:tr>
      <w:tr>
        <w:trPr>
          <w:trHeight w:val="190"/>
        </w:trPr>
        <w:tc>
          <w:tcPr>
            <w:tcW w:w="4500" w:type="dxa"/>
            <w:vAlign w:val="bottom"/>
            <w:gridSpan w:val="3"/>
          </w:tcPr>
          <w:p>
            <w:pPr>
              <w:jc w:val="center"/>
              <w:ind w:left="103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tcPr>
          <w:p>
            <w:pPr>
              <w:jc w:val="center"/>
              <w:ind w:right="21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66"/>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(339) 666-3320</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7840" w:type="dxa"/>
            <w:vAlign w:val="bottom"/>
            <w:gridSpan w:val="7"/>
          </w:tcPr>
          <w:p>
            <w:pPr>
              <w:jc w:val="center"/>
              <w:ind w:left="3277"/>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5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40" w:type="dxa"/>
            <w:vAlign w:val="bottom"/>
            <w:gridSpan w:val="4"/>
          </w:tcPr>
          <w:p>
            <w:pPr>
              <w:ind w:left="12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4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4500" w:type="dxa"/>
            <w:vAlign w:val="bottom"/>
            <w:gridSpan w:val="3"/>
            <w:vMerge w:val="continue"/>
          </w:tcPr>
          <w:p>
            <w:pPr>
              <w:spacing w:after="0"/>
              <w:rPr>
                <w:sz w:val="15"/>
                <w:szCs w:val="15"/>
                <w:color w:val="auto"/>
              </w:rPr>
            </w:pPr>
          </w:p>
        </w:tc>
        <w:tc>
          <w:tcPr>
            <w:tcW w:w="3340" w:type="dxa"/>
            <w:vAlign w:val="bottom"/>
            <w:gridSpan w:val="4"/>
          </w:tcPr>
          <w:p>
            <w:pPr>
              <w:ind w:left="1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gridSpan w:val="2"/>
          </w:tcPr>
          <w:p>
            <w:pPr>
              <w:ind w:left="1180"/>
              <w:spacing w:after="0"/>
              <w:rPr>
                <w:sz w:val="20"/>
                <w:szCs w:val="20"/>
                <w:color w:val="auto"/>
              </w:rPr>
            </w:pPr>
            <w:r>
              <w:rPr>
                <w:rFonts w:ascii="Times New Roman" w:cs="Times New Roman" w:eastAsia="Times New Roman" w:hAnsi="Times New Roman"/>
                <w:sz w:val="18"/>
                <w:szCs w:val="18"/>
                <w:color w:val="auto"/>
              </w:rPr>
              <w:t>TECX</w:t>
            </w: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4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r>
        <w:rPr>
          <w:rFonts w:ascii="MS PGothic" w:cs="MS PGothic" w:eastAsia="MS PGothic" w:hAnsi="MS PGothic"/>
          <w:sz w:val="18"/>
          <w:szCs w:val="18"/>
          <w:color w:val="auto"/>
        </w:rPr>
        <w:t>☐</w:t>
      </w:r>
    </w:p>
    <w:p>
      <w:pPr>
        <w:spacing w:after="0" w:line="22"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r>
        <w:rPr>
          <w:rFonts w:ascii="MS PGothic" w:cs="MS PGothic" w:eastAsia="MS PGothic" w:hAnsi="MS PGothic"/>
          <w:sz w:val="18"/>
          <w:szCs w:val="18"/>
          <w:color w:val="auto"/>
        </w:rPr>
        <w:t>☐</w:t>
      </w:r>
    </w:p>
    <w:p>
      <w:pPr>
        <w:spacing w:after="0" w:line="36" w:lineRule="exact"/>
        <w:rPr>
          <w:sz w:val="24"/>
          <w:szCs w:val="24"/>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2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 w:lineRule="exact"/>
        <w:rPr>
          <w:sz w:val="24"/>
          <w:szCs w:val="24"/>
          <w:color w:val="auto"/>
        </w:rPr>
      </w:pPr>
    </w:p>
    <w:p>
      <w:pPr>
        <w:ind w:right="2140"/>
        <w:spacing w:after="0" w:line="276"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1, 2025, the registrant had 18,712,128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656590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4"/>
        </w:trPr>
        <w:tc>
          <w:tcPr>
            <w:tcW w:w="1020" w:type="dxa"/>
            <w:vAlign w:val="bottom"/>
            <w:vMerge w:val="continue"/>
          </w:tcPr>
          <w:p>
            <w:pPr>
              <w:spacing w:after="0"/>
              <w:rPr>
                <w:sz w:val="16"/>
                <w:szCs w:val="16"/>
                <w:color w:val="auto"/>
              </w:rPr>
            </w:pPr>
          </w:p>
        </w:tc>
        <w:tc>
          <w:tcPr>
            <w:tcW w:w="950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FF"/>
              </w:rPr>
              <w:t>FINANCIAL INFORMATION</w:t>
            </w:r>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left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9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2025 and December 31, 2024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9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and six months ended June 30, 2025 and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top w:val="single" w:sz="8" w:color="0000FF"/>
            </w:tcBorders>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0000FF"/>
                <w:w w:val="94"/>
              </w:rPr>
              <w:t>2024</w:t>
            </w:r>
          </w:p>
        </w:tc>
        <w:tc>
          <w:tcPr>
            <w:tcW w:w="1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1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5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Convertible Preferred Stock and Stockholders’ Equity (Deficit) for the three and six months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right w:val="single" w:sz="8" w:color="0000FF"/>
            </w:tcBorders>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ended June 30, 2025 and 2024</w:t>
            </w: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5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2025 and 2024</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right w:val="single" w:sz="8" w:color="0000FF"/>
            </w:tcBorders>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9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Unaudited Interim Condensed Consolidated Financial Statements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160" w:type="dxa"/>
            <w:vAlign w:val="bottom"/>
            <w:tcBorders>
              <w:left w:val="single" w:sz="8" w:color="0000FF"/>
            </w:tcBorders>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vMerge w:val="continue"/>
          </w:tcPr>
          <w:p>
            <w:pPr>
              <w:spacing w:after="0"/>
              <w:rPr>
                <w:sz w:val="18"/>
                <w:szCs w:val="18"/>
                <w:color w:val="auto"/>
              </w:rPr>
            </w:pPr>
          </w:p>
        </w:tc>
        <w:tc>
          <w:tcPr>
            <w:tcW w:w="9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718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740" w:type="dxa"/>
            <w:vAlign w:val="bottom"/>
            <w:gridSpan w:val="1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180" w:type="dxa"/>
            <w:vAlign w:val="bottom"/>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740" w:type="dxa"/>
            <w:vAlign w:val="bottom"/>
            <w:gridSpan w:val="1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9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229"/>
        </w:trPr>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within the meaning of Section 21E the Securities Exchange Act of 1934, as amended (the “Exchange Act”). All statements other than statements of historical facts contained in this Quarterly Report are statements that could be deemed forward-looking statements reflecting the current beliefs and expectations of management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These statements are often identified by the use of words such as “aim,” “anticipate,” “assume,” “believe,” “contemplate,” “continue,” “could,” “due,” “estimate,” “expect,” “goal,” “if,” “intend,” “may,” “objective,” “plan,” “predict,” “potential,” “positioned,” “seek,” “should,” “target,” “until,” “will,” “would,” and similar expressions or variations. Forward-looking statements in this Quarterly Report may include, for example, statements about:</w:t>
      </w:r>
    </w:p>
    <w:p>
      <w:pPr>
        <w:spacing w:after="0" w:line="300"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prospects, plans, expectations or objectives of management for our future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scope or timing of the development of our product candidates;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surrounding the potential safety, efficacy, and regulatory and clinical progress of TX45, TX2100 and any other product candidates, and our anticipated milestones and timing therefor;</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that may be derived from any of our future products, if approved, or the commercial or market opportunity with respect to any of our future products, if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operations, financial position, ability to raise capital to fund our operations, revenues, costs or expenses; and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regarding our future economic conditions or performance, statements of belief and any statement of assumptions underlying any of the foregoing.</w:t>
      </w:r>
    </w:p>
    <w:p>
      <w:pPr>
        <w:spacing w:after="0" w:line="16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Quarterly Report. These forward-looking statements are based on our management’s current expectations, estimates, forecasts and projections about our business and the industry in which we operate, and management’s beliefs and assumptions and are not guarantees of future performance or development. These forward-looking statements are subject to a number of risks, uncertainties and assumptions,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those described under the section titled “Risk Factors” under Part II, Item 1A below, and under similar captions in our</w:t>
      </w:r>
    </w:p>
    <w:p>
      <w:pPr>
        <w:spacing w:after="0" w:line="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periodic reports filed with the Securities and Exchange Commission (“SEC”) from time to time.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these risks, uncertainties and assumptions, the forward-looking events and circumstances discussed in this Quarterly Report may not occur and actual results could differ materially and adversely from those anticipated or implied in the forward-looking statements. Given these uncertainties, you should not place undue reliance on these forward-looking statements. Also, forward-looking statements represent our management’s beliefs and assumptions only as of the date of this Quarterly Report on Form 10-Q.</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While we believe that information provides a reasonable basis for these statements, that information may be limited or incomplete. Our statements should not be read to indicate that we have conducted an exhaustive inquiry into, or review of, all relevant information.</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287,381</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141,239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290,848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146,857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right-of-use assets, net</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8"/>
                <w:szCs w:val="18"/>
                <w:color w:val="auto"/>
              </w:rPr>
            </w:pPr>
          </w:p>
        </w:tc>
      </w:tr>
      <w:tr>
        <w:trPr>
          <w:trHeight w:val="249"/>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295,313</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152,905</w:t>
            </w:r>
          </w:p>
        </w:tc>
        <w:tc>
          <w:tcPr>
            <w:tcW w:w="100" w:type="dxa"/>
            <w:vAlign w:val="bottom"/>
            <w:shd w:val="clear" w:color="auto" w:fill="CFF0FC"/>
          </w:tcPr>
          <w:p>
            <w:pPr>
              <w:spacing w:after="0"/>
              <w:rPr>
                <w:sz w:val="21"/>
                <w:szCs w:val="21"/>
                <w:color w:val="auto"/>
              </w:rPr>
            </w:pP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 liability</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 liability, non-current</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8"/>
                <w:szCs w:val="18"/>
                <w:color w:val="auto"/>
              </w:rPr>
            </w:pPr>
          </w:p>
        </w:tc>
      </w:tr>
      <w:tr>
        <w:trPr>
          <w:trHeight w:val="209"/>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10,000,000 shares authorized as of June 30, 2025</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December 31, 2024; no shares issued and outstanding as of June 30, 2025</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December 31, 2024, respectively</w:t>
            </w:r>
          </w:p>
        </w:tc>
        <w:tc>
          <w:tcPr>
            <w:tcW w:w="3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150,000,000 shares authorized</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as of June 30, 2025 and December 31, 2024; 18,712,138 and 14,856,309 shares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issued and outstanding as of June 30, 2025 and December 31, 2024, respectively</w:t>
            </w: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289,351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(184,476)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(148,586)</w:t>
            </w: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283,766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295,313</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152,905</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-3248660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-3230880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-3248660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-3230880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-2399665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-1833880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17,185</w:t>
            </w:r>
          </w:p>
        </w:tc>
        <w:tc>
          <w:tcPr>
            <w:tcW w:w="16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1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30,221</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17,892</w:t>
            </w:r>
          </w:p>
        </w:tc>
        <w:tc>
          <w:tcPr>
            <w:tcW w:w="120" w:type="dxa"/>
            <w:vAlign w:val="bottom"/>
          </w:tcPr>
          <w:p>
            <w:pPr>
              <w:spacing w:after="0"/>
              <w:rPr>
                <w:sz w:val="18"/>
                <w:szCs w:val="18"/>
                <w:color w:val="auto"/>
              </w:rPr>
            </w:pPr>
          </w:p>
        </w:tc>
      </w:tr>
      <w:tr>
        <w:trPr>
          <w:trHeight w:val="216"/>
        </w:trPr>
        <w:tc>
          <w:tcPr>
            <w:tcW w:w="5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24,389</w:t>
            </w:r>
          </w:p>
        </w:tc>
        <w:tc>
          <w:tcPr>
            <w:tcW w:w="120" w:type="dxa"/>
            <w:vAlign w:val="bottom"/>
          </w:tcPr>
          <w:p>
            <w:pPr>
              <w:spacing w:after="0"/>
              <w:rPr>
                <w:sz w:val="18"/>
                <w:szCs w:val="18"/>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(22,332)</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(11,421)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(40,630)</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(24,389)</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(3,610)</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Pr>
          <w:p>
            <w:pPr>
              <w:spacing w:after="0"/>
              <w:rPr>
                <w:sz w:val="18"/>
                <w:szCs w:val="18"/>
                <w:color w:val="auto"/>
              </w:rPr>
            </w:pPr>
          </w:p>
        </w:tc>
      </w:tr>
      <w:tr>
        <w:trPr>
          <w:trHeight w:val="21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w:t>
            </w:r>
          </w:p>
        </w:tc>
      </w:tr>
      <w:tr>
        <w:trPr>
          <w:trHeight w:val="20"/>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2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(3,503)</w:t>
            </w:r>
          </w:p>
        </w:tc>
      </w:tr>
      <w:tr>
        <w:trPr>
          <w:trHeight w:val="20"/>
        </w:trPr>
        <w:tc>
          <w:tcPr>
            <w:tcW w:w="526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(34,914)</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(27,892)</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(976)</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6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(35,890)</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(27,892)</w:t>
            </w: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5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(20,035)</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(12,679)</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(35,948)</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(27,942)</w:t>
            </w: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5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3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(4.34)</w:t>
            </w:r>
          </w:p>
        </w:tc>
        <w:tc>
          <w:tcPr>
            <w:tcW w:w="3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(12.97)</w:t>
            </w:r>
          </w:p>
        </w:tc>
      </w:tr>
      <w:tr>
        <w:trPr>
          <w:trHeight w:val="20"/>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52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5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18,680,042</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2,919,872</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17,923,056</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2,150,160</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-2331085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-2331085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-2331085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-2331085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-1207770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-1207770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-1207770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-1207770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-925195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-925195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-925195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-925195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-351155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-334010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-351155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-334010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-351155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-334010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-351155</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-334010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TECTONIC THERAPEUTIC, INC.</w:t>
      </w:r>
    </w:p>
    <w:p>
      <w:pPr>
        <w:spacing w:after="0" w:line="1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CONVERTIBLE PREFERRED STOCK AND STOCKHOLDERS’ EQUITY (DEFICIT)</w:t>
      </w:r>
    </w:p>
    <w:p>
      <w:pPr>
        <w:spacing w:after="0" w:line="1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680" w:type="dxa"/>
            <w:vAlign w:val="bottom"/>
          </w:tcPr>
          <w:p>
            <w:pPr>
              <w:spacing w:after="0"/>
              <w:rPr>
                <w:sz w:val="13"/>
                <w:szCs w:val="13"/>
                <w:color w:val="auto"/>
              </w:rPr>
            </w:pPr>
          </w:p>
        </w:tc>
        <w:tc>
          <w:tcPr>
            <w:tcW w:w="202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restart"/>
          </w:tcPr>
          <w:p>
            <w:pPr>
              <w:jc w:val="center"/>
              <w:ind w:right="129"/>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restart"/>
          </w:tcPr>
          <w:p>
            <w:pPr>
              <w:jc w:val="center"/>
              <w:ind w:right="12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8"/>
        </w:trPr>
        <w:tc>
          <w:tcPr>
            <w:tcW w:w="2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189"/>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09"/>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129"/>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289"/>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1"/>
                <w:szCs w:val="11"/>
                <w:color w:val="auto"/>
              </w:rPr>
            </w:pPr>
          </w:p>
        </w:tc>
        <w:tc>
          <w:tcPr>
            <w:tcW w:w="1060" w:type="dxa"/>
            <w:vAlign w:val="bottom"/>
            <w:gridSpan w:val="2"/>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1"/>
                <w:szCs w:val="11"/>
                <w:color w:val="auto"/>
              </w:rPr>
            </w:pPr>
          </w:p>
        </w:tc>
        <w:tc>
          <w:tcPr>
            <w:tcW w:w="960" w:type="dxa"/>
            <w:vAlign w:val="bottom"/>
            <w:gridSpan w:val="2"/>
          </w:tcPr>
          <w:p>
            <w:pPr>
              <w:jc w:val="right"/>
              <w:ind w:right="128"/>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129"/>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55"/>
        </w:trPr>
        <w:tc>
          <w:tcPr>
            <w:tcW w:w="2680" w:type="dxa"/>
            <w:vAlign w:val="bottom"/>
          </w:tcPr>
          <w:p>
            <w:pPr>
              <w:spacing w:after="0"/>
              <w:rPr>
                <w:sz w:val="13"/>
                <w:szCs w:val="13"/>
                <w:color w:val="auto"/>
              </w:rPr>
            </w:pPr>
          </w:p>
        </w:tc>
        <w:tc>
          <w:tcPr>
            <w:tcW w:w="10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142"/>
        </w:trPr>
        <w:tc>
          <w:tcPr>
            <w:tcW w:w="2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January 1, 2024</w:t>
            </w:r>
          </w:p>
        </w:tc>
        <w:tc>
          <w:tcPr>
            <w:tcW w:w="104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6,825,483</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80,627</w:t>
            </w:r>
          </w:p>
        </w:tc>
        <w:tc>
          <w:tcPr>
            <w:tcW w:w="120" w:type="dxa"/>
            <w:vAlign w:val="bottom"/>
            <w:tcBorders>
              <w:right w:val="single" w:sz="8" w:color="auto"/>
            </w:tcBorders>
            <w:shd w:val="clear" w:color="auto" w:fill="CFF0FC"/>
          </w:tcPr>
          <w:p>
            <w:pPr>
              <w:spacing w:after="0"/>
              <w:rPr>
                <w:sz w:val="12"/>
                <w:szCs w:val="12"/>
                <w:color w:val="auto"/>
              </w:rPr>
            </w:pPr>
          </w:p>
        </w:tc>
        <w:tc>
          <w:tcPr>
            <w:tcW w:w="1020" w:type="dxa"/>
            <w:vAlign w:val="bottom"/>
            <w:gridSpan w:val="2"/>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2,634,246</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5,979</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280" w:type="dxa"/>
            <w:vAlign w:val="bottom"/>
            <w:gridSpan w:val="2"/>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(90,604)</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(84,636)</w:t>
            </w:r>
          </w:p>
        </w:tc>
        <w:tc>
          <w:tcPr>
            <w:tcW w:w="0" w:type="dxa"/>
            <w:vAlign w:val="bottom"/>
          </w:tcPr>
          <w:p>
            <w:pPr>
              <w:spacing w:after="0"/>
              <w:rPr>
                <w:sz w:val="1"/>
                <w:szCs w:val="1"/>
                <w:color w:val="auto"/>
              </w:rPr>
            </w:pPr>
          </w:p>
        </w:tc>
      </w:tr>
      <w:tr>
        <w:trPr>
          <w:trHeight w:val="126"/>
        </w:trPr>
        <w:tc>
          <w:tcPr>
            <w:tcW w:w="2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Retroactive application of reverse</w:t>
            </w:r>
          </w:p>
        </w:tc>
        <w:tc>
          <w:tcPr>
            <w:tcW w:w="10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(3,177,808)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(1,226,493)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6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recapitalization</w:t>
            </w:r>
          </w:p>
        </w:tc>
        <w:tc>
          <w:tcPr>
            <w:tcW w:w="10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Adjusted balance, beginning of period</w:t>
            </w:r>
          </w:p>
        </w:tc>
        <w:tc>
          <w:tcPr>
            <w:tcW w:w="104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3,647,675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80,627</w:t>
            </w:r>
          </w:p>
        </w:tc>
        <w:tc>
          <w:tcPr>
            <w:tcW w:w="120" w:type="dxa"/>
            <w:vAlign w:val="bottom"/>
            <w:tcBorders>
              <w:right w:val="single" w:sz="8" w:color="auto"/>
            </w:tcBorders>
            <w:shd w:val="clear" w:color="auto" w:fill="CFF0FC"/>
          </w:tcPr>
          <w:p>
            <w:pPr>
              <w:spacing w:after="0"/>
              <w:rPr>
                <w:sz w:val="12"/>
                <w:szCs w:val="12"/>
                <w:color w:val="auto"/>
              </w:rPr>
            </w:pPr>
          </w:p>
        </w:tc>
        <w:tc>
          <w:tcPr>
            <w:tcW w:w="1020" w:type="dxa"/>
            <w:vAlign w:val="bottom"/>
            <w:gridSpan w:val="2"/>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1,407,753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5,979</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(90,604)</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(84,636)</w:t>
            </w: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4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2"/>
                <w:szCs w:val="12"/>
                <w:color w:val="auto"/>
              </w:rPr>
            </w:pPr>
          </w:p>
        </w:tc>
        <w:tc>
          <w:tcPr>
            <w:tcW w:w="1020" w:type="dxa"/>
            <w:vAlign w:val="bottom"/>
            <w:gridSpan w:val="2"/>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1,535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4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8"/>
        </w:trPr>
        <w:tc>
          <w:tcPr>
            <w:tcW w:w="26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Borders>
              <w:bottom w:val="single" w:sz="8" w:color="auto"/>
            </w:tcBorders>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(15,221)</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(15,221)</w:t>
            </w:r>
          </w:p>
        </w:tc>
        <w:tc>
          <w:tcPr>
            <w:tcW w:w="0" w:type="dxa"/>
            <w:vAlign w:val="bottom"/>
          </w:tcPr>
          <w:p>
            <w:pPr>
              <w:spacing w:after="0"/>
              <w:rPr>
                <w:sz w:val="1"/>
                <w:szCs w:val="1"/>
                <w:color w:val="auto"/>
              </w:rPr>
            </w:pPr>
          </w:p>
        </w:tc>
      </w:tr>
      <w:tr>
        <w:trPr>
          <w:trHeight w:val="142"/>
        </w:trPr>
        <w:tc>
          <w:tcPr>
            <w:tcW w:w="26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1040" w:type="dxa"/>
            <w:vAlign w:val="bottom"/>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3,647,675</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80,627</w:t>
            </w:r>
          </w:p>
        </w:tc>
        <w:tc>
          <w:tcPr>
            <w:tcW w:w="1140" w:type="dxa"/>
            <w:vAlign w:val="bottom"/>
            <w:gridSpan w:val="3"/>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1,409,288</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6,304</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280" w:type="dxa"/>
            <w:vAlign w:val="bottom"/>
            <w:gridSpan w:val="2"/>
          </w:tcPr>
          <w:p>
            <w:pPr>
              <w:jc w:val="right"/>
              <w:ind w:right="37"/>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(105,825)</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(99,574)</w:t>
            </w:r>
          </w:p>
        </w:tc>
        <w:tc>
          <w:tcPr>
            <w:tcW w:w="0" w:type="dxa"/>
            <w:vAlign w:val="bottom"/>
          </w:tcPr>
          <w:p>
            <w:pPr>
              <w:spacing w:after="0"/>
              <w:rPr>
                <w:sz w:val="1"/>
                <w:szCs w:val="1"/>
                <w:color w:val="auto"/>
              </w:rPr>
            </w:pPr>
          </w:p>
        </w:tc>
      </w:tr>
      <w:tr>
        <w:trPr>
          <w:trHeight w:val="119"/>
        </w:trPr>
        <w:tc>
          <w:tcPr>
            <w:tcW w:w="26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Conversion of convertible preferred stock</w:t>
            </w:r>
          </w:p>
        </w:tc>
        <w:tc>
          <w:tcPr>
            <w:tcW w:w="10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9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into common stock in connection with the</w:t>
            </w:r>
          </w:p>
        </w:tc>
        <w:tc>
          <w:tcPr>
            <w:tcW w:w="1040" w:type="dxa"/>
            <w:vAlign w:val="bottom"/>
            <w:vMerge w:val="restart"/>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(3,647,675)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(80,627)</w:t>
            </w:r>
          </w:p>
        </w:tc>
        <w:tc>
          <w:tcPr>
            <w:tcW w:w="120" w:type="dxa"/>
            <w:vAlign w:val="bottom"/>
            <w:tcBorders>
              <w:right w:val="single" w:sz="8" w:color="auto"/>
            </w:tcBorders>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3,647,675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80,627</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80,627</w:t>
            </w:r>
          </w:p>
        </w:tc>
        <w:tc>
          <w:tcPr>
            <w:tcW w:w="0" w:type="dxa"/>
            <w:vAlign w:val="bottom"/>
          </w:tcPr>
          <w:p>
            <w:pPr>
              <w:spacing w:after="0"/>
              <w:rPr>
                <w:sz w:val="1"/>
                <w:szCs w:val="1"/>
                <w:color w:val="auto"/>
              </w:rPr>
            </w:pPr>
          </w:p>
        </w:tc>
      </w:tr>
      <w:tr>
        <w:trPr>
          <w:trHeight w:val="171"/>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Merger</w:t>
            </w:r>
          </w:p>
        </w:tc>
        <w:tc>
          <w:tcPr>
            <w:tcW w:w="10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4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2"/>
                <w:szCs w:val="12"/>
                <w:color w:val="auto"/>
              </w:rPr>
            </w:pPr>
          </w:p>
        </w:tc>
        <w:tc>
          <w:tcPr>
            <w:tcW w:w="1020" w:type="dxa"/>
            <w:vAlign w:val="bottom"/>
            <w:gridSpan w:val="2"/>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265,165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644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644</w:t>
            </w: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126"/>
        </w:trPr>
        <w:tc>
          <w:tcPr>
            <w:tcW w:w="2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to related party</w:t>
            </w:r>
          </w:p>
        </w:tc>
        <w:tc>
          <w:tcPr>
            <w:tcW w:w="104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0"/>
                <w:szCs w:val="10"/>
                <w:color w:val="auto"/>
              </w:rPr>
            </w:pPr>
          </w:p>
        </w:tc>
        <w:tc>
          <w:tcPr>
            <w:tcW w:w="102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1,470,839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34,125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34,125</w:t>
            </w:r>
          </w:p>
        </w:tc>
        <w:tc>
          <w:tcPr>
            <w:tcW w:w="0" w:type="dxa"/>
            <w:vAlign w:val="bottom"/>
          </w:tcPr>
          <w:p>
            <w:pPr>
              <w:spacing w:after="0"/>
              <w:rPr>
                <w:sz w:val="1"/>
                <w:szCs w:val="1"/>
                <w:color w:val="auto"/>
              </w:rPr>
            </w:pPr>
          </w:p>
        </w:tc>
      </w:tr>
      <w:tr>
        <w:trPr>
          <w:trHeight w:val="171"/>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investors upon redemption of the SAFEs</w:t>
            </w: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10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subscription agreement, net of offering</w:t>
            </w:r>
          </w:p>
        </w:tc>
        <w:tc>
          <w:tcPr>
            <w:tcW w:w="104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4,163,606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94,600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94,601</w:t>
            </w:r>
          </w:p>
        </w:tc>
        <w:tc>
          <w:tcPr>
            <w:tcW w:w="0" w:type="dxa"/>
            <w:vAlign w:val="bottom"/>
          </w:tcPr>
          <w:p>
            <w:pPr>
              <w:spacing w:after="0"/>
              <w:rPr>
                <w:sz w:val="1"/>
                <w:szCs w:val="1"/>
                <w:color w:val="auto"/>
              </w:rPr>
            </w:pPr>
          </w:p>
        </w:tc>
      </w:tr>
      <w:tr>
        <w:trPr>
          <w:trHeight w:val="171"/>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costs of $2,000</w:t>
            </w:r>
          </w:p>
        </w:tc>
        <w:tc>
          <w:tcPr>
            <w:tcW w:w="10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the</w:t>
            </w:r>
          </w:p>
        </w:tc>
        <w:tc>
          <w:tcPr>
            <w:tcW w:w="104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0"/>
                <w:szCs w:val="10"/>
                <w:color w:val="auto"/>
              </w:rPr>
            </w:pPr>
          </w:p>
        </w:tc>
        <w:tc>
          <w:tcPr>
            <w:tcW w:w="102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3,777,709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68,219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68,220</w:t>
            </w:r>
          </w:p>
        </w:tc>
        <w:tc>
          <w:tcPr>
            <w:tcW w:w="0" w:type="dxa"/>
            <w:vAlign w:val="bottom"/>
          </w:tcPr>
          <w:p>
            <w:pPr>
              <w:spacing w:after="0"/>
              <w:rPr>
                <w:sz w:val="1"/>
                <w:szCs w:val="1"/>
                <w:color w:val="auto"/>
              </w:rPr>
            </w:pPr>
          </w:p>
        </w:tc>
      </w:tr>
      <w:tr>
        <w:trPr>
          <w:trHeight w:val="171"/>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Merger, net of transaction costs of $9,937</w:t>
            </w: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4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Borders>
              <w:bottom w:val="single" w:sz="8" w:color="auto"/>
            </w:tcBorders>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(12,671)</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(12,671)</w:t>
            </w: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104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spacing w:after="0"/>
              <w:rPr>
                <w:sz w:val="14"/>
                <w:szCs w:val="14"/>
                <w:color w:val="auto"/>
              </w:rPr>
            </w:pPr>
          </w:p>
        </w:tc>
        <w:tc>
          <w:tcPr>
            <w:tcW w:w="90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14,734,282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284,922</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w:t>
            </w:r>
          </w:p>
        </w:tc>
        <w:tc>
          <w:tcPr>
            <w:tcW w:w="280" w:type="dxa"/>
            <w:vAlign w:val="bottom"/>
            <w:gridSpan w:val="2"/>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(118,496)</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166,367</w:t>
            </w: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 2025</w:t>
            </w:r>
          </w:p>
        </w:tc>
        <w:tc>
          <w:tcPr>
            <w:tcW w:w="10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14,856,309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289,351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gridSpan w:val="2"/>
          </w:tcPr>
          <w:p>
            <w:pPr>
              <w:jc w:val="right"/>
              <w:ind w:right="37"/>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(148,586)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140,776</w:t>
            </w: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4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020" w:type="dxa"/>
            <w:vAlign w:val="bottom"/>
            <w:gridSpan w:val="2"/>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125,455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972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972</w:t>
            </w: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2,103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2,103</w:t>
            </w:r>
          </w:p>
        </w:tc>
        <w:tc>
          <w:tcPr>
            <w:tcW w:w="0" w:type="dxa"/>
            <w:vAlign w:val="bottom"/>
          </w:tcPr>
          <w:p>
            <w:pPr>
              <w:spacing w:after="0"/>
              <w:rPr>
                <w:sz w:val="1"/>
                <w:szCs w:val="1"/>
                <w:color w:val="auto"/>
              </w:rPr>
            </w:pPr>
          </w:p>
        </w:tc>
      </w:tr>
      <w:tr>
        <w:trPr>
          <w:trHeight w:val="126"/>
        </w:trPr>
        <w:tc>
          <w:tcPr>
            <w:tcW w:w="26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w:t>
            </w:r>
          </w:p>
        </w:tc>
        <w:tc>
          <w:tcPr>
            <w:tcW w:w="10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with the private placement, net of offering</w:t>
            </w:r>
          </w:p>
        </w:tc>
        <w:tc>
          <w:tcPr>
            <w:tcW w:w="104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3,689,465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173,098</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173,098</w:t>
            </w:r>
          </w:p>
        </w:tc>
        <w:tc>
          <w:tcPr>
            <w:tcW w:w="0" w:type="dxa"/>
            <w:vAlign w:val="bottom"/>
          </w:tcPr>
          <w:p>
            <w:pPr>
              <w:spacing w:after="0"/>
              <w:rPr>
                <w:sz w:val="1"/>
                <w:szCs w:val="1"/>
                <w:color w:val="auto"/>
              </w:rPr>
            </w:pPr>
          </w:p>
        </w:tc>
      </w:tr>
      <w:tr>
        <w:trPr>
          <w:trHeight w:val="171"/>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costs of $11,928</w:t>
            </w:r>
          </w:p>
        </w:tc>
        <w:tc>
          <w:tcPr>
            <w:tcW w:w="10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4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8"/>
        </w:trPr>
        <w:tc>
          <w:tcPr>
            <w:tcW w:w="26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Borders>
              <w:bottom w:val="single" w:sz="8" w:color="auto"/>
            </w:tcBorders>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(15,906)</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(15,906)</w:t>
            </w:r>
          </w:p>
        </w:tc>
        <w:tc>
          <w:tcPr>
            <w:tcW w:w="0" w:type="dxa"/>
            <w:vAlign w:val="bottom"/>
          </w:tcPr>
          <w:p>
            <w:pPr>
              <w:spacing w:after="0"/>
              <w:rPr>
                <w:sz w:val="1"/>
                <w:szCs w:val="1"/>
                <w:color w:val="auto"/>
              </w:rPr>
            </w:pPr>
          </w:p>
        </w:tc>
      </w:tr>
      <w:tr>
        <w:trPr>
          <w:trHeight w:val="142"/>
        </w:trPr>
        <w:tc>
          <w:tcPr>
            <w:tcW w:w="26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1040" w:type="dxa"/>
            <w:vAlign w:val="bottom"/>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18,671,229</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465,524</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80" w:type="dxa"/>
            <w:vAlign w:val="bottom"/>
            <w:gridSpan w:val="2"/>
          </w:tcPr>
          <w:p>
            <w:pPr>
              <w:jc w:val="right"/>
              <w:ind w:right="37"/>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(164,492)</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301,036</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40" w:type="dxa"/>
            <w:vAlign w:val="bottom"/>
            <w:shd w:val="clear" w:color="auto" w:fill="CFF0FC"/>
          </w:tcPr>
          <w:p>
            <w:pPr>
              <w:jc w:val="right"/>
              <w:ind w:right="69"/>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1020" w:type="dxa"/>
            <w:vAlign w:val="bottom"/>
            <w:gridSpan w:val="2"/>
            <w:shd w:val="clear" w:color="auto" w:fill="CFF0FC"/>
          </w:tcPr>
          <w:p>
            <w:pPr>
              <w:jc w:val="right"/>
              <w:ind w:right="49"/>
              <w:spacing w:after="0" w:line="129" w:lineRule="exact"/>
              <w:rPr>
                <w:sz w:val="20"/>
                <w:szCs w:val="20"/>
                <w:color w:val="auto"/>
              </w:rPr>
            </w:pPr>
            <w:r>
              <w:rPr>
                <w:rFonts w:ascii="Times New Roman" w:cs="Times New Roman" w:eastAsia="Times New Roman" w:hAnsi="Times New Roman"/>
                <w:sz w:val="14"/>
                <w:szCs w:val="14"/>
                <w:color w:val="auto"/>
              </w:rPr>
              <w:t>38,838</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49"/>
              <w:spacing w:after="0" w:line="129" w:lineRule="exact"/>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49"/>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49"/>
              <w:spacing w:after="0" w:line="129" w:lineRule="exact"/>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26"/>
        </w:trPr>
        <w:tc>
          <w:tcPr>
            <w:tcW w:w="2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of</w:t>
            </w:r>
          </w:p>
        </w:tc>
        <w:tc>
          <w:tcPr>
            <w:tcW w:w="104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0"/>
                <w:szCs w:val="10"/>
                <w:color w:val="auto"/>
              </w:rPr>
            </w:pPr>
          </w:p>
        </w:tc>
        <w:tc>
          <w:tcPr>
            <w:tcW w:w="102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2,071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1"/>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2,588</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2,588</w:t>
            </w: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4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49"/>
        </w:trPr>
        <w:tc>
          <w:tcPr>
            <w:tcW w:w="26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Borders>
              <w:bottom w:val="single" w:sz="8" w:color="auto"/>
            </w:tcBorders>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(19,984)</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(19,984)</w:t>
            </w:r>
          </w:p>
        </w:tc>
        <w:tc>
          <w:tcPr>
            <w:tcW w:w="0" w:type="dxa"/>
            <w:vAlign w:val="bottom"/>
          </w:tcPr>
          <w:p>
            <w:pPr>
              <w:spacing w:after="0"/>
              <w:rPr>
                <w:sz w:val="1"/>
                <w:szCs w:val="1"/>
                <w:color w:val="auto"/>
              </w:rPr>
            </w:pPr>
          </w:p>
        </w:tc>
      </w:tr>
      <w:tr>
        <w:trPr>
          <w:trHeight w:val="142"/>
        </w:trPr>
        <w:tc>
          <w:tcPr>
            <w:tcW w:w="26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1040" w:type="dxa"/>
            <w:vAlign w:val="bottom"/>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18,712,138</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468,289</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280" w:type="dxa"/>
            <w:vAlign w:val="bottom"/>
            <w:gridSpan w:val="2"/>
          </w:tcPr>
          <w:p>
            <w:pPr>
              <w:jc w:val="right"/>
              <w:ind w:right="37"/>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(184,476)</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283,766</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-4349750</wp:posOffset>
            </wp:positionV>
            <wp:extent cx="34290" cy="3765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37655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-3903980</wp:posOffset>
            </wp:positionV>
            <wp:extent cx="34290" cy="2139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21399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-3230880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-3230880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-3230880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-3230880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-3230880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-3230880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-3338195</wp:posOffset>
            </wp:positionV>
            <wp:extent cx="90170" cy="2311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0170" cy="23114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-1696720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-1679575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-1906270</wp:posOffset>
            </wp:positionV>
            <wp:extent cx="90170" cy="2482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0170" cy="24828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-1696720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-1679575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-1696720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-1679575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-1696720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-1679575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-1696720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-1679575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-1696720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-1679575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-822325</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-822325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-822325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-822325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-822325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-822325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-929640</wp:posOffset>
            </wp:positionV>
            <wp:extent cx="90170" cy="2482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0170" cy="24828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-128270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-128270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-128270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-128270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-128270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-128270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-234950</wp:posOffset>
            </wp:positionV>
            <wp:extent cx="90170" cy="2482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0170" cy="24828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20" w:type="dxa"/>
            <w:vAlign w:val="bottom"/>
            <w:tcBorders>
              <w:bottom w:val="single" w:sz="8" w:color="auto"/>
            </w:tcBorders>
          </w:tcPr>
          <w:p>
            <w:pPr>
              <w:spacing w:after="0"/>
              <w:rPr>
                <w:sz w:val="15"/>
                <w:szCs w:val="15"/>
                <w:color w:val="auto"/>
              </w:rPr>
            </w:pPr>
          </w:p>
        </w:tc>
      </w:tr>
      <w:tr>
        <w:trPr>
          <w:trHeight w:val="142"/>
        </w:trPr>
        <w:tc>
          <w:tcPr>
            <w:tcW w:w="7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2"/>
                <w:szCs w:val="12"/>
                <w:color w:val="auto"/>
              </w:rPr>
            </w:pPr>
          </w:p>
        </w:tc>
        <w:tc>
          <w:tcPr>
            <w:tcW w:w="11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2"/>
                <w:szCs w:val="12"/>
                <w:color w:val="auto"/>
              </w:rPr>
            </w:pP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(35,890)</w:t>
            </w:r>
          </w:p>
        </w:tc>
        <w:tc>
          <w:tcPr>
            <w:tcW w:w="11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(27,892)</w:t>
            </w: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16"/>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4,691</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sale of property and equipment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Reduction in the carrying amount of the operating right-of-use assets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1,035</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595</w:t>
            </w:r>
          </w:p>
        </w:tc>
      </w:tr>
      <w:tr>
        <w:trPr>
          <w:trHeight w:val="216"/>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3,610</w:t>
            </w: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16"/>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10"/>
        </w:trPr>
        <w:tc>
          <w:tcPr>
            <w:tcW w:w="76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(27,802)</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(22,655)</w:t>
            </w: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the private placement, net of offering costs of $11,928</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173,098</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Subscription Agreement, net of offering costs of $2,000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94,600</w:t>
            </w: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acquired in connection with the Merger, net of transaction costs of $1,168</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84,062</w:t>
            </w: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1,166</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648</w:t>
            </w: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withholding taxes related to stock-based compensation</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Repayment of finance lease obligations</w:t>
            </w: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09"/>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173,953</w:t>
            </w: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179,070</w:t>
            </w: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146,142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156,355</w:t>
            </w:r>
          </w:p>
        </w:tc>
      </w:tr>
      <w:tr>
        <w:trPr>
          <w:trHeight w:val="216"/>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as of beginning of period</w:t>
            </w: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141,826</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29,356</w:t>
            </w:r>
          </w:p>
        </w:tc>
      </w:tr>
      <w:tr>
        <w:trPr>
          <w:trHeight w:val="21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as of end of period</w:t>
            </w:r>
          </w:p>
        </w:tc>
        <w:tc>
          <w:tcPr>
            <w:tcW w:w="10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287,968</w:t>
            </w:r>
          </w:p>
        </w:tc>
        <w:tc>
          <w:tcPr>
            <w:tcW w:w="11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185,711</w:t>
            </w:r>
          </w:p>
        </w:tc>
      </w:tr>
      <w:tr>
        <w:trPr>
          <w:trHeight w:val="20"/>
        </w:trPr>
        <w:tc>
          <w:tcPr>
            <w:tcW w:w="7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6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287,381</w:t>
            </w:r>
          </w:p>
        </w:tc>
        <w:tc>
          <w:tcPr>
            <w:tcW w:w="11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185,124</w:t>
            </w:r>
          </w:p>
        </w:tc>
      </w:tr>
      <w:tr>
        <w:trPr>
          <w:trHeight w:val="21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587</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587</w:t>
            </w:r>
          </w:p>
        </w:tc>
      </w:tr>
      <w:tr>
        <w:trPr>
          <w:trHeight w:val="210"/>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287,968</w:t>
            </w:r>
          </w:p>
        </w:tc>
        <w:tc>
          <w:tcPr>
            <w:tcW w:w="11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185,711</w:t>
            </w:r>
          </w:p>
        </w:tc>
      </w:tr>
      <w:tr>
        <w:trPr>
          <w:trHeight w:val="20"/>
        </w:trPr>
        <w:tc>
          <w:tcPr>
            <w:tcW w:w="7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6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activities:</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10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1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included in accrued expenses and other current liabilities</w:t>
            </w:r>
          </w:p>
        </w:tc>
        <w:tc>
          <w:tcPr>
            <w:tcW w:w="10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1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Merger transaction costs included in accounts payable and accrued expenses and other current liabilities</w:t>
            </w:r>
          </w:p>
        </w:tc>
        <w:tc>
          <w:tcPr>
            <w:tcW w:w="106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8,769</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SAFEs to Common Stock</w:t>
            </w:r>
          </w:p>
        </w:tc>
        <w:tc>
          <w:tcPr>
            <w:tcW w:w="10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34,125</w:t>
            </w: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of Convertible Preferred Stock to Common Stock</w:t>
            </w:r>
          </w:p>
        </w:tc>
        <w:tc>
          <w:tcPr>
            <w:tcW w:w="106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80,627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-3950970</wp:posOffset>
            </wp:positionV>
            <wp:extent cx="1111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-3385820</wp:posOffset>
            </wp:positionV>
            <wp:extent cx="1111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-2279650</wp:posOffset>
            </wp:positionV>
            <wp:extent cx="1111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-1713865</wp:posOffset>
            </wp:positionV>
            <wp:extent cx="1111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-1130935</wp:posOffset>
            </wp:positionV>
            <wp:extent cx="1111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1" w:lineRule="exact"/>
        <w:rPr>
          <w:sz w:val="20"/>
          <w:szCs w:val="20"/>
          <w:color w:val="auto"/>
        </w:rPr>
      </w:pPr>
    </w:p>
    <w:p>
      <w:pPr>
        <w:ind w:left="760" w:right="8440" w:hanging="752"/>
        <w:spacing w:after="0" w:line="365" w:lineRule="auto"/>
        <w:tabs>
          <w:tab w:leader="none" w:pos="37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NATURE OF BUSINESS </w:t>
      </w:r>
      <w:r>
        <w:rPr>
          <w:rFonts w:ascii="Times New Roman" w:cs="Times New Roman" w:eastAsia="Times New Roman" w:hAnsi="Times New Roman"/>
          <w:sz w:val="18"/>
          <w:szCs w:val="18"/>
          <w:b w:val="1"/>
          <w:bCs w:val="1"/>
          <w:i w:val="1"/>
          <w:iCs w:val="1"/>
          <w:color w:val="auto"/>
        </w:rPr>
        <w:t>Description of the Business</w:t>
      </w:r>
    </w:p>
    <w:p>
      <w:pPr>
        <w:ind w:left="760" w:right="80"/>
        <w:spacing w:after="0" w:line="261" w:lineRule="auto"/>
        <w:rPr>
          <w:sz w:val="20"/>
          <w:szCs w:val="20"/>
          <w:color w:val="auto"/>
        </w:rPr>
      </w:pPr>
      <w:r>
        <w:rPr>
          <w:rFonts w:ascii="Times New Roman" w:cs="Times New Roman" w:eastAsia="Times New Roman" w:hAnsi="Times New Roman"/>
          <w:sz w:val="18"/>
          <w:szCs w:val="18"/>
          <w:color w:val="auto"/>
        </w:rPr>
        <w:t>Tectonic Therapeutic, Inc. (formerly AVROBIO, Inc.) (the “Company” or “Tectonic”) is a clinical-stage biotechnology company focused on the discovery and development of therapeutic proteins and antibodies that modulate the activity of G-protein coupled receptors (“GPCRs”). The Company focuses on areas of significant unmet medical need, often where therapeutic options are poor or nonexistent, as these are areas where new medicines have the potential to improve patient quality of life.</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Merger</w:t>
      </w:r>
    </w:p>
    <w:p>
      <w:pPr>
        <w:spacing w:after="0" w:line="121" w:lineRule="exact"/>
        <w:rPr>
          <w:sz w:val="20"/>
          <w:szCs w:val="20"/>
          <w:color w:val="auto"/>
        </w:rPr>
      </w:pPr>
    </w:p>
    <w:p>
      <w:pPr>
        <w:ind w:left="760" w:right="40"/>
        <w:spacing w:after="0" w:line="255" w:lineRule="auto"/>
        <w:rPr>
          <w:sz w:val="20"/>
          <w:szCs w:val="20"/>
          <w:color w:val="auto"/>
        </w:rPr>
      </w:pPr>
      <w:r>
        <w:rPr>
          <w:rFonts w:ascii="Times New Roman" w:cs="Times New Roman" w:eastAsia="Times New Roman" w:hAnsi="Times New Roman"/>
          <w:sz w:val="18"/>
          <w:szCs w:val="18"/>
          <w:color w:val="auto"/>
        </w:rPr>
        <w:t>On June 20, 2024, the Company completed its previously announced merger transaction in accordance with the terms of the Agreement and Plan of Merger and Reorganization, dated as of January 30, 2024 (the “Merger Agreement”) with AVROBIO, Inc. (“AVROBIO”),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 The Merger was accounted for as a reverse recapitalization in accordance with generally accepted accounting principles in the United States of America (“GAAP”), with AVROBIO treated as the acquired company for financial reporting purposes, and Legacy Tectonic treated as the accounting acquirer.</w:t>
      </w:r>
    </w:p>
    <w:p>
      <w:pPr>
        <w:spacing w:after="0" w:line="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121" w:lineRule="exact"/>
        <w:rPr>
          <w:sz w:val="20"/>
          <w:szCs w:val="20"/>
          <w:color w:val="auto"/>
        </w:rPr>
      </w:pPr>
    </w:p>
    <w:p>
      <w:pPr>
        <w:ind w:left="760"/>
        <w:spacing w:after="0" w:line="261" w:lineRule="auto"/>
        <w:rPr>
          <w:sz w:val="20"/>
          <w:szCs w:val="20"/>
          <w:color w:val="auto"/>
        </w:rPr>
      </w:pPr>
      <w:r>
        <w:rPr>
          <w:rFonts w:ascii="Times New Roman" w:cs="Times New Roman" w:eastAsia="Times New Roman" w:hAnsi="Times New Roman"/>
          <w:sz w:val="18"/>
          <w:szCs w:val="18"/>
          <w:color w:val="auto"/>
        </w:rPr>
        <w:t>In February 2025, the Company entered into a securities purchase agreement (the “Private Placement”) pursuant to which the Company issued an aggregate of 3,689,465 shares of common stock, at a price of $50.00 per share to institutional accredited investors and $54.14 per share to individual accredited investors that are either an officer or director of the Company. The net proceeds from the Private Placement were approximately $173.1 million.</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760" w:right="60"/>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75" w:lineRule="exact"/>
        <w:rPr>
          <w:sz w:val="20"/>
          <w:szCs w:val="20"/>
          <w:color w:val="auto"/>
        </w:rPr>
      </w:pPr>
    </w:p>
    <w:p>
      <w:pPr>
        <w:ind w:left="760" w:right="140"/>
        <w:spacing w:after="0" w:line="256" w:lineRule="auto"/>
        <w:rPr>
          <w:sz w:val="20"/>
          <w:szCs w:val="20"/>
          <w:color w:val="auto"/>
        </w:rPr>
      </w:pPr>
      <w:r>
        <w:rPr>
          <w:rFonts w:ascii="Times New Roman" w:cs="Times New Roman" w:eastAsia="Times New Roman" w:hAnsi="Times New Roman"/>
          <w:sz w:val="18"/>
          <w:szCs w:val="18"/>
          <w:color w:val="auto"/>
        </w:rPr>
        <w:t>The Company’s proprietary GEODe™ 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left="760" w:right="20"/>
        <w:spacing w:after="0" w:line="273" w:lineRule="auto"/>
        <w:rPr>
          <w:sz w:val="20"/>
          <w:szCs w:val="20"/>
          <w:color w:val="auto"/>
        </w:rPr>
      </w:pPr>
      <w:r>
        <w:rPr>
          <w:rFonts w:ascii="Times New Roman" w:cs="Times New Roman" w:eastAsia="Times New Roman" w:hAnsi="Times New Roman"/>
          <w:sz w:val="17"/>
          <w:szCs w:val="17"/>
          <w:color w:val="auto"/>
        </w:rPr>
        <w:t>Since inception, the Company has incurred recurring losses and negative cash flows from operations and expects such losses to continue in the future as it conducts research and development activities and continues to develop its product candidates. The Company generated net losses of $20.0 million and $35.9 million for the three and six months ended June 30, 2025, respectively, and had an accumulated deficit of $184.5 million as of June 30, 2025. The Company has financed its operations primarily through the sale and issuance of common stock, convertible preferred stock, convertible promissory notes, SAFEs and the Merger. In February 2025, the Company sold shares of its common stock under a securities purchase agreement in exchange for net proceeds of approximately $173.1 million. The Company has devoted substantially all of its financial resources and efforts to business planning, conducting research and development, recruiting management and technical staff, and raising capital.</w:t>
      </w:r>
    </w:p>
    <w:p>
      <w:pPr>
        <w:spacing w:after="0" w:line="63" w:lineRule="exact"/>
        <w:rPr>
          <w:sz w:val="20"/>
          <w:szCs w:val="20"/>
          <w:color w:val="auto"/>
        </w:rPr>
      </w:pPr>
    </w:p>
    <w:p>
      <w:pPr>
        <w:ind w:left="760" w:right="20"/>
        <w:spacing w:after="0" w:line="277" w:lineRule="auto"/>
        <w:rPr>
          <w:sz w:val="20"/>
          <w:szCs w:val="20"/>
          <w:color w:val="auto"/>
        </w:rPr>
      </w:pPr>
      <w:r>
        <w:rPr>
          <w:rFonts w:ascii="Times New Roman" w:cs="Times New Roman" w:eastAsia="Times New Roman" w:hAnsi="Times New Roman"/>
          <w:sz w:val="17"/>
          <w:szCs w:val="17"/>
          <w:color w:val="auto"/>
        </w:rPr>
        <w:t>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unless and until it does, it will continue to need to raise additional capital to fund its operations. The Company had cash and cash equivalents of $287.4 million as of June 30, 2025. Management believes that the Company’s current cash and cash equivalents will be sufficient to fund its planned operations for at least 12 months from the issuance date of these condensed consolidated financial statements.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left="752" w:right="3400" w:hanging="752"/>
        <w:spacing w:after="0" w:line="378" w:lineRule="auto"/>
        <w:tabs>
          <w:tab w:leader="none" w:pos="36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AND BASIS OF PRESENTATION </w:t>
      </w:r>
      <w:r>
        <w:rPr>
          <w:rFonts w:ascii="Times New Roman" w:cs="Times New Roman" w:eastAsia="Times New Roman" w:hAnsi="Times New Roman"/>
          <w:sz w:val="18"/>
          <w:szCs w:val="18"/>
          <w:b w:val="1"/>
          <w:bCs w:val="1"/>
          <w:i w:val="1"/>
          <w:iCs w:val="1"/>
          <w:color w:val="auto"/>
        </w:rPr>
        <w:t>Basis of Presentation</w:t>
      </w:r>
    </w:p>
    <w:p>
      <w:pPr>
        <w:ind w:left="752" w:right="100"/>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conformity with GAAP and the rules and regulations of the Securities and Exchange Commission (“SEC”). Any reference in these notes to applicable guidance is meant to refer to GAAP, as found in the Accounting Standards Codification (“ASC”) and Accounting Standards Updates (“ASU”) of the Financial Accounting Standards Board (“FASB”). These condensed consolidated financial statements are unaudited and, in the opinion of management, include all adjustments (consisting only of normal recurring adjustments and accruals) necessary for a fair statement of the results for the periods presented in accordance with accounting principles generally accepted in the United States of America (“GAAP”). The year-end condensed consolidated balance sheet data was derived from our audited consolidated financial statements but does not include all disclosures required by GAAP. Operating results for the six months ended June 30, 2025 are not necessarily indicative of the results that may be expected for the fiscal year ending December 31, 2025. Certain information and footnote disclosures normally included in the annual consolidated financial statements prepared in accordance with GAAP have been omitted in accordance with the SEC’s rules and regulations for interim reporting.</w:t>
      </w:r>
    </w:p>
    <w:p>
      <w:pPr>
        <w:spacing w:after="0" w:line="86" w:lineRule="exact"/>
        <w:rPr>
          <w:sz w:val="20"/>
          <w:szCs w:val="20"/>
          <w:color w:val="auto"/>
        </w:rPr>
      </w:pPr>
    </w:p>
    <w:p>
      <w:pPr>
        <w:ind w:left="752" w:right="32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should be read in conjunction with our audited consolidated financial statements for the year ended December 31, 2024, which is included in our 2024 Annual Report on Form 10-K for the fiscal year ended December 31, 2024 (the “2024 Annual Report on Form 10-K”)</w:t>
      </w:r>
    </w:p>
    <w:p>
      <w:pPr>
        <w:spacing w:after="0" w:line="68" w:lineRule="exact"/>
        <w:rPr>
          <w:sz w:val="20"/>
          <w:szCs w:val="20"/>
          <w:color w:val="auto"/>
        </w:rPr>
      </w:pPr>
    </w:p>
    <w:p>
      <w:pPr>
        <w:ind w:left="752" w:right="20"/>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disclosed in Note 2 of the consolidated financial statements for the year ended December 31, 2024, which is included in our 2024 Annual Report on Form 10-K. There have been no material changes to our significant accounting policies during the three and six months ended June 30, 2025.</w:t>
      </w:r>
    </w:p>
    <w:p>
      <w:pPr>
        <w:spacing w:after="0" w:line="64"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752" w:right="48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All intercompany balances and transactions have been eliminated in consolidation.</w:t>
      </w:r>
    </w:p>
    <w:p>
      <w:pPr>
        <w:spacing w:after="0" w:line="50"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752" w:right="60"/>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expenses during the reporting periods. Significant items subject to such estimates and assumptions include the prepaid and accrued research and development accruals, stock-based compensation expense, the fair value of the Company’s common stock, the income tax valuation allowance, and the fair value determination of the SAFEs. Management’s estimates are based on historical experience and various other assumptions that it believes are reasonable under the circumstances. Changes in estimates are recorded in the period in which they become known. Actual results could differ from those estimates.</w:t>
      </w:r>
    </w:p>
    <w:p>
      <w:pPr>
        <w:spacing w:after="0" w:line="7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752" w:right="80"/>
        <w:spacing w:after="0" w:line="256" w:lineRule="auto"/>
        <w:rPr>
          <w:sz w:val="20"/>
          <w:szCs w:val="20"/>
          <w:color w:val="auto"/>
        </w:rPr>
      </w:pPr>
      <w:r>
        <w:rPr>
          <w:rFonts w:ascii="Times New Roman" w:cs="Times New Roman" w:eastAsia="Times New Roman" w:hAnsi="Times New Roman"/>
          <w:sz w:val="18"/>
          <w:szCs w:val="18"/>
          <w:color w:val="auto"/>
        </w:rPr>
        <w:t xml:space="preserve">Operating segments are identified as components of an enterprise about which separate discrete financial information is made available for evaluation by the chief operating decision maker (“CODM”) in making decisions regarding resource allocation and assessing performance. The Company’s CODM is its chief executive officer, who reviews financial information on a consolidated basis for the purpose of making operating decisions, assessing financial performance and allocating resources. The Company has one reportable segment and manages its operations on a consolidated basis for the purposes of assessing performance and making operating decisions. See Note 12,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additional information regarding the Company’s segment information.</w:t>
      </w:r>
    </w:p>
    <w:p>
      <w:pPr>
        <w:spacing w:after="0" w:line="7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752"/>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are adopted by the Company as of the specified effective dates. Unless otherwise discussed, the impact of recently issued standards that are not yet effective are not anticipated to have a material impact on the Company’s condensed consolidated financial statements upon adoption.</w:t>
      </w:r>
    </w:p>
    <w:p>
      <w:pPr>
        <w:spacing w:after="0" w:line="64"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left="752" w:right="80"/>
        <w:spacing w:after="0" w:line="277" w:lineRule="auto"/>
        <w:rPr>
          <w:sz w:val="20"/>
          <w:szCs w:val="20"/>
          <w:color w:val="auto"/>
        </w:rPr>
      </w:pPr>
      <w:r>
        <w:rPr>
          <w:rFonts w:ascii="Times New Roman" w:cs="Times New Roman" w:eastAsia="Times New Roman" w:hAnsi="Times New Roman"/>
          <w:sz w:val="17"/>
          <w:szCs w:val="17"/>
          <w:color w:val="auto"/>
        </w:rPr>
        <w:t xml:space="preserve">In January 2025, the FASB issued ASU No. 2025-01 to clarify the effective date of ASU No. 2024-03 </w:t>
      </w:r>
      <w:r>
        <w:rPr>
          <w:rFonts w:ascii="Times New Roman" w:cs="Times New Roman" w:eastAsia="Times New Roman" w:hAnsi="Times New Roman"/>
          <w:sz w:val="17"/>
          <w:szCs w:val="17"/>
          <w:i w:val="1"/>
          <w:iCs w:val="1"/>
          <w:color w:val="auto"/>
        </w:rPr>
        <w:t>Income Statement—Reporting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Comprehensive Income—Expense Disaggregation Disclosures </w:t>
      </w:r>
      <w:r>
        <w:rPr>
          <w:rFonts w:ascii="Times New Roman" w:cs="Times New Roman" w:eastAsia="Times New Roman" w:hAnsi="Times New Roman"/>
          <w:sz w:val="17"/>
          <w:szCs w:val="17"/>
          <w:color w:val="auto"/>
        </w:rPr>
        <w:t>(Subtopic 220-40) (“ASU 2024-03”), which requires disaggregated disclosure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certain income statement captions within the footnotes to the financial statements. ASU 2025-01 requires adoption of the amendments of ASU 2024-03 in annual reporting periods beginning after December 15, 2026, and interim periods within annual reporting periods beginning after December 15, 2027. Early adoption is permitted. The Company is currently evaluating the impact of ASU 2023-03 on its financial statements.</w:t>
      </w:r>
    </w:p>
    <w:p>
      <w:pPr>
        <w:spacing w:after="0" w:line="2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1" w:right="359" w:bottom="1440" w:gutter="0" w:footer="0" w:header="0"/>
        </w:sectPr>
      </w:pPr>
    </w:p>
    <w:bookmarkStart w:id="9" w:name="page10"/>
    <w:bookmarkEnd w:id="9"/>
    <w:p>
      <w:pPr>
        <w:ind w:left="760" w:right="6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(“ASU 2023-09”), which enhances the income tax disclosure requirements for public entities on an annual basis. Under ASU 2023-09, public entities will be required to disclose in their rate reconciliation, on an annual basis, both percentages and amounts in their reporting currency for certain categories in a tabular format, with accompanying qualitative disclosures. The amendments in ASU 2023-09 are effective for fiscal years beginning after December 15, 2024, and early adoption is permitted. The Company is currently evaluating the impact of ASU 2023-09 on its financial statements.</w:t>
      </w:r>
    </w:p>
    <w:p>
      <w:pPr>
        <w:spacing w:after="0" w:line="181"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760" w:right="6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financial assets and liabilities measured at fair value on a recurring basis and indicate the level of the fair value hierarchy utilized to determine such fair values (in thousands):</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286,141</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286,141</w:t>
            </w: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286,141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286,141</w:t>
            </w: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139,610</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139,610</w:t>
            </w: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139,610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139,610</w:t>
            </w: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-1259205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-1259205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-1259205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-170815</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-170815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left="760" w:right="60"/>
        <w:spacing w:after="0" w:line="282" w:lineRule="auto"/>
        <w:rPr>
          <w:sz w:val="20"/>
          <w:szCs w:val="20"/>
          <w:color w:val="auto"/>
        </w:rPr>
      </w:pPr>
      <w:r>
        <w:rPr>
          <w:rFonts w:ascii="Times New Roman" w:cs="Times New Roman" w:eastAsia="Times New Roman" w:hAnsi="Times New Roman"/>
          <w:sz w:val="18"/>
          <w:szCs w:val="18"/>
          <w:color w:val="auto"/>
        </w:rPr>
        <w:t>Money market funds are included in cash and cash equivalents on the condensed consolidated balance sheets and are classified within Level 1 of the fair value hierarchy because they are valued using quoted prices in active markets for identical assets.</w:t>
      </w:r>
    </w:p>
    <w:p>
      <w:pPr>
        <w:spacing w:after="0" w:line="5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PROPERTY AND EQUIPMENT, NET</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Property and equipment, net is comprised of the following (in thousands):</w:t>
      </w:r>
    </w:p>
    <w:tbl>
      <w:tblPr>
        <w:tblLayout w:type="fixed"/>
        <w:tblInd w:w="800" w:type="dxa"/>
        <w:tblCellMar>
          <w:top w:w="0" w:type="dxa"/>
          <w:left w:w="0" w:type="dxa"/>
          <w:bottom w:w="0" w:type="dxa"/>
          <w:right w:w="0" w:type="dxa"/>
        </w:tblCellMar>
      </w:tblPr>
      <w:tr>
        <w:trPr>
          <w:trHeight w:val="151"/>
        </w:trPr>
        <w:tc>
          <w:tcPr>
            <w:tcW w:w="50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jc w:val="right"/>
              <w:ind w:right="474"/>
              <w:spacing w:after="0" w:line="15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334"/>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4,402</w:t>
            </w:r>
          </w:p>
        </w:tc>
        <w:tc>
          <w:tcPr>
            <w:tcW w:w="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4,590</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furniture and fixtures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4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4,815</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4,896</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w:t>
            </w:r>
          </w:p>
        </w:tc>
      </w:tr>
      <w:tr>
        <w:trPr>
          <w:trHeight w:val="249"/>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1,683</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-24765</wp:posOffset>
            </wp:positionV>
            <wp:extent cx="1028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1028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jc w:val="both"/>
        <w:ind w:left="760" w:right="220"/>
        <w:spacing w:after="0" w:line="266" w:lineRule="auto"/>
        <w:rPr>
          <w:sz w:val="20"/>
          <w:szCs w:val="20"/>
          <w:color w:val="auto"/>
        </w:rPr>
      </w:pPr>
      <w:r>
        <w:rPr>
          <w:rFonts w:ascii="Times New Roman" w:cs="Times New Roman" w:eastAsia="Times New Roman" w:hAnsi="Times New Roman"/>
          <w:sz w:val="18"/>
          <w:szCs w:val="18"/>
          <w:color w:val="auto"/>
        </w:rPr>
        <w:t>Depreciation expense was $0.2 million and $0.3 million during the three months ended June 30, 2025 and 2024, respectively, and $0.5 million and $0.5 million during the six months ended June 30, 2025 and 2024, respectively, and is primarily attributable to research and development activities.</w:t>
      </w:r>
    </w:p>
    <w:p>
      <w:pPr>
        <w:spacing w:after="0" w:line="280"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is comprised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38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2,364</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3,585</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2,787</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 and other expenses</w:t>
            </w:r>
          </w:p>
        </w:tc>
        <w:tc>
          <w:tcPr>
            <w:tcW w:w="28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1,447</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88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6,800</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7,850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880" w:type="dxa"/>
            <w:vAlign w:val="bottom"/>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-1079500</wp:posOffset>
            </wp:positionV>
            <wp:extent cx="1028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0" w:name="page11"/>
    <w:bookmarkEnd w:id="10"/>
    <w:p>
      <w:pPr>
        <w:ind w:left="760" w:right="8540" w:hanging="752"/>
        <w:spacing w:after="0" w:line="378" w:lineRule="auto"/>
        <w:tabs>
          <w:tab w:leader="none" w:pos="371"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b w:val="1"/>
          <w:bCs w:val="1"/>
          <w:i w:val="1"/>
          <w:iCs w:val="1"/>
          <w:color w:val="auto"/>
        </w:rPr>
        <w:t>Common Stock</w:t>
      </w:r>
    </w:p>
    <w:p>
      <w:pPr>
        <w:ind w:left="760" w:right="18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150,000,000 shares of common stock at a par value of $0.0001 per share. Holders of voting common stock are entitled to one vote per share. In addition, holders of voting common stock are entitled to receive dividends, if and when declared by the Company’s Board of Directors. As of June 30, 2025, no dividends have been declared.</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reserved common stock for future issuance as follows:</w:t>
      </w:r>
    </w:p>
    <w:p>
      <w:pPr>
        <w:spacing w:after="0" w:line="98"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5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52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180" w:type="dxa"/>
            <w:vAlign w:val="bottom"/>
          </w:tcPr>
          <w:p>
            <w:pPr>
              <w:spacing w:after="0"/>
              <w:rPr>
                <w:sz w:val="15"/>
                <w:szCs w:val="15"/>
                <w:color w:val="auto"/>
              </w:rPr>
            </w:pPr>
          </w:p>
        </w:tc>
        <w:tc>
          <w:tcPr>
            <w:tcW w:w="15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5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5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1,835,742</w:t>
            </w:r>
          </w:p>
        </w:tc>
        <w:tc>
          <w:tcPr>
            <w:tcW w:w="16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1,626,841</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193,628</w:t>
            </w:r>
          </w:p>
        </w:tc>
        <w:tc>
          <w:tcPr>
            <w:tcW w:w="16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25,612</w:t>
            </w: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awards available for future issuance under the 2024 Equity Incentive Plan</w:t>
            </w:r>
          </w:p>
        </w:tc>
        <w:tc>
          <w:tcPr>
            <w:tcW w:w="15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1,135,892</w:t>
            </w:r>
          </w:p>
        </w:tc>
        <w:tc>
          <w:tcPr>
            <w:tcW w:w="16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976,082</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purchase under the 2024 Employee Stock Purchase Plan</w:t>
            </w: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295,906</w:t>
            </w:r>
          </w:p>
        </w:tc>
        <w:tc>
          <w:tcPr>
            <w:tcW w:w="16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147,343</w:t>
            </w:r>
          </w:p>
        </w:tc>
      </w:tr>
      <w:tr>
        <w:trPr>
          <w:trHeight w:val="209"/>
        </w:trPr>
        <w:tc>
          <w:tcPr>
            <w:tcW w:w="718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3,461,168</w:t>
            </w:r>
          </w:p>
        </w:tc>
        <w:tc>
          <w:tcPr>
            <w:tcW w:w="16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rPr>
              <w:t>2,775,878</w:t>
            </w:r>
          </w:p>
        </w:tc>
      </w:tr>
      <w:tr>
        <w:trPr>
          <w:trHeight w:val="20"/>
        </w:trPr>
        <w:tc>
          <w:tcPr>
            <w:tcW w:w="7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right"/>
        <w:ind w:left="760" w:right="8460" w:hanging="752"/>
        <w:spacing w:after="0" w:line="400" w:lineRule="auto"/>
        <w:tabs>
          <w:tab w:leader="none" w:pos="371"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 INCENTIVE PLANS </w:t>
      </w:r>
      <w:r>
        <w:rPr>
          <w:rFonts w:ascii="Times New Roman" w:cs="Times New Roman" w:eastAsia="Times New Roman" w:hAnsi="Times New Roman"/>
          <w:sz w:val="17"/>
          <w:szCs w:val="17"/>
          <w:b w:val="1"/>
          <w:bCs w:val="1"/>
          <w:i w:val="1"/>
          <w:iCs w:val="1"/>
          <w:color w:val="auto"/>
        </w:rPr>
        <w:t>2019 Equity Incentive Plan</w:t>
      </w:r>
    </w:p>
    <w:p>
      <w:pPr>
        <w:ind w:left="760"/>
        <w:spacing w:after="0" w:line="261" w:lineRule="auto"/>
        <w:rPr>
          <w:sz w:val="20"/>
          <w:szCs w:val="20"/>
          <w:color w:val="auto"/>
        </w:rPr>
      </w:pPr>
      <w:r>
        <w:rPr>
          <w:rFonts w:ascii="Times New Roman" w:cs="Times New Roman" w:eastAsia="Times New Roman" w:hAnsi="Times New Roman"/>
          <w:sz w:val="18"/>
          <w:szCs w:val="18"/>
          <w:color w:val="auto"/>
        </w:rPr>
        <w:t>The Legacy Tectonic 2019 Equity Incentive Plan (the “2019 Plan”) provides employees, consultants and advisors and non-employee members of the Board of Directors with the opportunity to receive grants of stock options, stock awards and equity awards. Following the effectiveness of the 2024 Equity Incentive Plan as described below, no further grants will be made under the 2019 Plan; however, any outstanding equity awards granted under the 2019 Plan will continue to be governed by the terms of the 2019 Plan.</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21" w:lineRule="exact"/>
        <w:rPr>
          <w:sz w:val="20"/>
          <w:szCs w:val="20"/>
          <w:color w:val="auto"/>
        </w:rPr>
      </w:pPr>
    </w:p>
    <w:p>
      <w:pPr>
        <w:ind w:left="760" w:right="240"/>
        <w:spacing w:after="0" w:line="261" w:lineRule="auto"/>
        <w:rPr>
          <w:sz w:val="20"/>
          <w:szCs w:val="20"/>
          <w:color w:val="auto"/>
        </w:rPr>
      </w:pPr>
      <w:r>
        <w:rPr>
          <w:rFonts w:ascii="Times New Roman" w:cs="Times New Roman" w:eastAsia="Times New Roman" w:hAnsi="Times New Roman"/>
          <w:sz w:val="18"/>
          <w:szCs w:val="18"/>
          <w:color w:val="auto"/>
        </w:rPr>
        <w:t>On June 20, 2024, the Company adopted the 2024 Equity Incentive Plan (the “2024 Plan”) which became effective upon completion of the Merger. The 2024 Plan provides for the grant of incentive stock options, nonstatutory stock options, stock appreciation rights, restricted stock awards, restricted stock unit awards, performance awards and other forms of awards to employees, consultants, and non-employee directors of the Company.</w:t>
      </w:r>
    </w:p>
    <w:p>
      <w:pPr>
        <w:spacing w:after="0" w:line="72" w:lineRule="exact"/>
        <w:rPr>
          <w:sz w:val="20"/>
          <w:szCs w:val="20"/>
          <w:color w:val="auto"/>
        </w:rPr>
      </w:pPr>
    </w:p>
    <w:p>
      <w:pPr>
        <w:jc w:val="both"/>
        <w:ind w:left="760" w:right="180"/>
        <w:spacing w:after="0" w:line="266" w:lineRule="auto"/>
        <w:rPr>
          <w:sz w:val="20"/>
          <w:szCs w:val="20"/>
          <w:color w:val="auto"/>
        </w:rPr>
      </w:pPr>
      <w:r>
        <w:rPr>
          <w:rFonts w:ascii="Times New Roman" w:cs="Times New Roman" w:eastAsia="Times New Roman" w:hAnsi="Times New Roman"/>
          <w:sz w:val="18"/>
          <w:szCs w:val="18"/>
          <w:color w:val="auto"/>
        </w:rPr>
        <w:t>The 2024 Plan initially provided for the issuance of up to 1,938,799 shares of common stock (the “Initial Share Reserve”). Effective January 1, 2025, in connection with the evergreen provision contained in the 2024 Plan, an additional 742,815 shares of common stock were reserved for issuance under the 2024 Plan.</w:t>
      </w:r>
    </w:p>
    <w:p>
      <w:pPr>
        <w:spacing w:after="0" w:line="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121" w:lineRule="exact"/>
        <w:rPr>
          <w:sz w:val="20"/>
          <w:szCs w:val="20"/>
          <w:color w:val="auto"/>
        </w:rPr>
      </w:pPr>
    </w:p>
    <w:p>
      <w:pPr>
        <w:ind w:left="760" w:right="120"/>
        <w:spacing w:after="0" w:line="261" w:lineRule="auto"/>
        <w:rPr>
          <w:sz w:val="20"/>
          <w:szCs w:val="20"/>
          <w:color w:val="auto"/>
        </w:rPr>
      </w:pPr>
      <w:r>
        <w:rPr>
          <w:rFonts w:ascii="Times New Roman" w:cs="Times New Roman" w:eastAsia="Times New Roman" w:hAnsi="Times New Roman"/>
          <w:sz w:val="18"/>
          <w:szCs w:val="18"/>
          <w:color w:val="auto"/>
        </w:rPr>
        <w:t>On June 20, 2024, the Company adopted the 2024 Employee Stock Purchase Plan (the “2024 ESPP”), which became effective upon completion of the Merger. The 2024 ESPP initially provided for the issuance of up to 147,343 shares of common stock. Effective January 1, 2025, in connection with an evergreen provision contained in the ESPP, an additional 148,563 shares of common stock were reserved for issuance under the ESPP. No offering periods under the 2024 ESPP had been initiated as of June 30, 2025.</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760" w:right="7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under the 2019 Plan and 2024 Plan for the six months ended June 30, 2025 (in thousands except share, contractual term and per share amounts):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120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0"/>
                <w:szCs w:val="10"/>
                <w:color w:val="auto"/>
              </w:rPr>
            </w:pPr>
          </w:p>
        </w:tc>
        <w:tc>
          <w:tcPr>
            <w:tcW w:w="1200" w:type="dxa"/>
            <w:vAlign w:val="bottom"/>
          </w:tcPr>
          <w:p>
            <w:pPr>
              <w:jc w:val="center"/>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20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120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2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1,534,361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12.49</w:t>
            </w:r>
          </w:p>
        </w:tc>
        <w:tc>
          <w:tcPr>
            <w:tcW w:w="1300" w:type="dxa"/>
            <w:vAlign w:val="bottom"/>
            <w:gridSpan w:val="2"/>
            <w:shd w:val="clear" w:color="auto" w:fill="CFF0FC"/>
          </w:tcPr>
          <w:p>
            <w:pPr>
              <w:jc w:val="right"/>
              <w:ind w:right="29"/>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Options granted</w:t>
            </w: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420,213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41.73</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Options exercised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(93,078)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Options forfeited and expired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2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1,835,742</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19.66</w:t>
            </w:r>
          </w:p>
        </w:tc>
        <w:tc>
          <w:tcPr>
            <w:tcW w:w="1300" w:type="dxa"/>
            <w:vAlign w:val="bottom"/>
            <w:tcBorders>
              <w:bottom w:val="single" w:sz="8" w:color="CFF0FC"/>
            </w:tcBorders>
            <w:gridSpan w:val="2"/>
            <w:shd w:val="clear" w:color="auto" w:fill="CFF0FC"/>
          </w:tcPr>
          <w:p>
            <w:pPr>
              <w:jc w:val="right"/>
              <w:ind w:right="29"/>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10,804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exercisable as of June 30, 2025</w:t>
            </w:r>
          </w:p>
        </w:tc>
        <w:tc>
          <w:tcPr>
            <w:tcW w:w="1200" w:type="dxa"/>
            <w:vAlign w:val="bottom"/>
            <w:tcBorders>
              <w:bottom w:val="single" w:sz="8" w:color="auto"/>
            </w:tcBorders>
          </w:tcPr>
          <w:p>
            <w:pPr>
              <w:jc w:val="right"/>
              <w:ind w:right="38"/>
              <w:spacing w:after="0" w:line="196" w:lineRule="exact"/>
              <w:rPr>
                <w:sz w:val="20"/>
                <w:szCs w:val="20"/>
                <w:color w:val="auto"/>
              </w:rPr>
            </w:pPr>
            <w:r>
              <w:rPr>
                <w:rFonts w:ascii="Times New Roman" w:cs="Times New Roman" w:eastAsia="Times New Roman" w:hAnsi="Times New Roman"/>
                <w:sz w:val="18"/>
                <w:szCs w:val="18"/>
                <w:color w:val="auto"/>
              </w:rPr>
              <w:t>608,720</w:t>
            </w:r>
          </w:p>
        </w:tc>
        <w:tc>
          <w:tcPr>
            <w:tcW w:w="2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8"/>
              <w:spacing w:after="0" w:line="196" w:lineRule="exact"/>
              <w:rPr>
                <w:sz w:val="20"/>
                <w:szCs w:val="20"/>
                <w:color w:val="auto"/>
              </w:rPr>
            </w:pPr>
            <w:r>
              <w:rPr>
                <w:rFonts w:ascii="Times New Roman" w:cs="Times New Roman" w:eastAsia="Times New Roman" w:hAnsi="Times New Roman"/>
                <w:sz w:val="18"/>
                <w:szCs w:val="18"/>
                <w:color w:val="auto"/>
              </w:rPr>
              <w:t>10.09</w:t>
            </w:r>
          </w:p>
        </w:tc>
        <w:tc>
          <w:tcPr>
            <w:tcW w:w="1300" w:type="dxa"/>
            <w:vAlign w:val="bottom"/>
            <w:gridSpan w:val="2"/>
          </w:tcPr>
          <w:p>
            <w:pPr>
              <w:jc w:val="right"/>
              <w:ind w:right="29"/>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2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
              <w:spacing w:after="0" w:line="196" w:lineRule="exact"/>
              <w:rPr>
                <w:sz w:val="20"/>
                <w:szCs w:val="20"/>
                <w:color w:val="auto"/>
              </w:rPr>
            </w:pPr>
            <w:r>
              <w:rPr>
                <w:rFonts w:ascii="Times New Roman" w:cs="Times New Roman" w:eastAsia="Times New Roman" w:hAnsi="Times New Roman"/>
                <w:sz w:val="18"/>
                <w:szCs w:val="18"/>
                <w:color w:val="auto"/>
              </w:rPr>
              <w:t>6,740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expected to vest as of June 30, 2025</w:t>
            </w:r>
          </w:p>
        </w:tc>
        <w:tc>
          <w:tcPr>
            <w:tcW w:w="1200" w:type="dxa"/>
            <w:vAlign w:val="bottom"/>
            <w:tcBorders>
              <w:bottom w:val="single" w:sz="8" w:color="auto"/>
            </w:tcBorders>
            <w:shd w:val="clear" w:color="auto" w:fill="CFF0FC"/>
          </w:tcPr>
          <w:p>
            <w:pPr>
              <w:jc w:val="right"/>
              <w:ind w:right="38"/>
              <w:spacing w:after="0" w:line="196" w:lineRule="exact"/>
              <w:rPr>
                <w:sz w:val="20"/>
                <w:szCs w:val="20"/>
                <w:color w:val="auto"/>
              </w:rPr>
            </w:pPr>
            <w:r>
              <w:rPr>
                <w:rFonts w:ascii="Times New Roman" w:cs="Times New Roman" w:eastAsia="Times New Roman" w:hAnsi="Times New Roman"/>
                <w:sz w:val="18"/>
                <w:szCs w:val="18"/>
                <w:color w:val="auto"/>
              </w:rPr>
              <w:t>1,835,742</w:t>
            </w:r>
          </w:p>
        </w:tc>
        <w:tc>
          <w:tcPr>
            <w:tcW w:w="260" w:type="dxa"/>
            <w:vAlign w:val="bottom"/>
            <w:tcBorders>
              <w:bottom w:val="single" w:sz="8" w:color="CFF0FC"/>
            </w:tcBorders>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ind w:right="18"/>
              <w:spacing w:after="0" w:line="196" w:lineRule="exact"/>
              <w:rPr>
                <w:sz w:val="20"/>
                <w:szCs w:val="20"/>
                <w:color w:val="auto"/>
              </w:rPr>
            </w:pPr>
            <w:r>
              <w:rPr>
                <w:rFonts w:ascii="Times New Roman" w:cs="Times New Roman" w:eastAsia="Times New Roman" w:hAnsi="Times New Roman"/>
                <w:sz w:val="18"/>
                <w:szCs w:val="18"/>
                <w:color w:val="auto"/>
              </w:rPr>
              <w:t>19.66</w:t>
            </w:r>
          </w:p>
        </w:tc>
        <w:tc>
          <w:tcPr>
            <w:tcW w:w="1300" w:type="dxa"/>
            <w:vAlign w:val="bottom"/>
            <w:tcBorders>
              <w:bottom w:val="single" w:sz="8" w:color="CFF0FC"/>
            </w:tcBorders>
            <w:gridSpan w:val="2"/>
            <w:shd w:val="clear" w:color="auto" w:fill="CFF0FC"/>
          </w:tcPr>
          <w:p>
            <w:pPr>
              <w:jc w:val="right"/>
              <w:ind w:right="29"/>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260" w:type="dxa"/>
            <w:vAlign w:val="bottom"/>
            <w:tcBorders>
              <w:bottom w:val="single" w:sz="8" w:color="CFF0FC"/>
            </w:tcBorders>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ind w:right="17"/>
              <w:spacing w:after="0" w:line="196" w:lineRule="exact"/>
              <w:rPr>
                <w:sz w:val="20"/>
                <w:szCs w:val="20"/>
                <w:color w:val="auto"/>
              </w:rPr>
            </w:pPr>
            <w:r>
              <w:rPr>
                <w:rFonts w:ascii="Times New Roman" w:cs="Times New Roman" w:eastAsia="Times New Roman" w:hAnsi="Times New Roman"/>
                <w:sz w:val="18"/>
                <w:szCs w:val="18"/>
                <w:color w:val="auto"/>
              </w:rPr>
              <w:t>10,804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4211320</wp:posOffset>
            </wp:positionH>
            <wp:positionV relativeFrom="paragraph">
              <wp:posOffset>-350520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4211320</wp:posOffset>
            </wp:positionH>
            <wp:positionV relativeFrom="paragraph">
              <wp:posOffset>-334010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4211320</wp:posOffset>
            </wp:positionH>
            <wp:positionV relativeFrom="paragraph">
              <wp:posOffset>-25400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4211320</wp:posOffset>
            </wp:positionH>
            <wp:positionV relativeFrom="paragraph">
              <wp:posOffset>-8255</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86"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for the options that were assumed from AVROBIO upon the Merger for the six months ended June 30, 2025 (in thousands except share, contractual term and per share amounts):</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1200" w:type="dxa"/>
            <w:vAlign w:val="bottom"/>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0"/>
                <w:szCs w:val="10"/>
                <w:color w:val="auto"/>
              </w:rPr>
            </w:pPr>
          </w:p>
        </w:tc>
        <w:tc>
          <w:tcPr>
            <w:tcW w:w="1200" w:type="dxa"/>
            <w:vAlign w:val="bottom"/>
          </w:tcPr>
          <w:p>
            <w:pPr>
              <w:jc w:val="center"/>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20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120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92,480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22.69</w:t>
            </w:r>
          </w:p>
        </w:tc>
        <w:tc>
          <w:tcPr>
            <w:tcW w:w="130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Options exercised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Options forfeited and expired</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56.44</w:t>
            </w: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3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exercisable as of June 30, 2025</w:t>
            </w:r>
          </w:p>
        </w:tc>
        <w:tc>
          <w:tcPr>
            <w:tcW w:w="1200" w:type="dxa"/>
            <w:vAlign w:val="bottom"/>
            <w:tcBorders>
              <w:bottom w:val="single" w:sz="8" w:color="auto"/>
            </w:tcBorders>
            <w:shd w:val="clear" w:color="auto" w:fill="CFF0FC"/>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ind w:right="18"/>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jc w:val="right"/>
              <w:ind w:right="22"/>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ind w:right="17"/>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expected to vest as of June 30, 2025</w:t>
            </w:r>
          </w:p>
        </w:tc>
        <w:tc>
          <w:tcPr>
            <w:tcW w:w="1200" w:type="dxa"/>
            <w:vAlign w:val="bottom"/>
            <w:tcBorders>
              <w:bottom w:val="single" w:sz="8" w:color="auto"/>
            </w:tcBorders>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8"/>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0" w:type="dxa"/>
            <w:vAlign w:val="bottom"/>
          </w:tcPr>
          <w:p>
            <w:pPr>
              <w:jc w:val="right"/>
              <w:ind w:right="22"/>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4211320</wp:posOffset>
            </wp:positionH>
            <wp:positionV relativeFrom="paragraph">
              <wp:posOffset>-496570</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4211320</wp:posOffset>
            </wp:positionH>
            <wp:positionV relativeFrom="paragraph">
              <wp:posOffset>-187960</wp:posOffset>
            </wp:positionV>
            <wp:extent cx="768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4211320</wp:posOffset>
            </wp:positionH>
            <wp:positionV relativeFrom="paragraph">
              <wp:posOffset>-170815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and 2024, the Company granted options with a weighted-average grant-date fair value of $34.44 and $13.95, respectively. As of June 30, 2025, the total unrecognized stock-based compensation expense for stock options was $24.0 million, which is expected to be recognized over a weighted-average period of 2.9 years.</w:t>
      </w:r>
    </w:p>
    <w:p>
      <w:pPr>
        <w:spacing w:after="0" w:line="6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assumptions used for estimated the fair value of stock options granted under the Black-Scholes-Merton option pricing model:</w:t>
      </w:r>
    </w:p>
    <w:p>
      <w:pPr>
        <w:spacing w:after="0" w:line="47"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324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80" w:type="dxa"/>
            <w:vAlign w:val="bottom"/>
            <w:tcBorders>
              <w:bottom w:val="single" w:sz="8" w:color="auto"/>
            </w:tcBorders>
          </w:tcPr>
          <w:p>
            <w:pPr>
              <w:spacing w:after="0"/>
              <w:rPr>
                <w:sz w:val="15"/>
                <w:szCs w:val="15"/>
                <w:color w:val="auto"/>
              </w:rPr>
            </w:pPr>
          </w:p>
        </w:tc>
      </w:tr>
      <w:tr>
        <w:trPr>
          <w:trHeight w:val="142"/>
        </w:trPr>
        <w:tc>
          <w:tcPr>
            <w:tcW w:w="5500" w:type="dxa"/>
            <w:vAlign w:val="bottom"/>
          </w:tcPr>
          <w:p>
            <w:pPr>
              <w:spacing w:after="0"/>
              <w:rPr>
                <w:sz w:val="12"/>
                <w:szCs w:val="12"/>
                <w:color w:val="auto"/>
              </w:rPr>
            </w:pPr>
          </w:p>
        </w:tc>
        <w:tc>
          <w:tcPr>
            <w:tcW w:w="2340" w:type="dxa"/>
            <w:vAlign w:val="bottom"/>
            <w:tcBorders>
              <w:bottom w:val="single" w:sz="8" w:color="auto"/>
            </w:tcBorders>
          </w:tcPr>
          <w:p>
            <w:pPr>
              <w:jc w:val="right"/>
              <w:ind w:right="9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9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5.5 - 6.25</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 - 103.1%</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104.0%</w:t>
            </w: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 - 4.43%</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Restricted stock units (“RSUs”) are granted to certain employees. The value of an RSU award is based on the Company's stock price on the date of the grant. The shares underlying the RSUs are not issued until the RSUs vest. Activity with respect to the Company's restricted stock units during the six months ended June 30, 2025 was as follows (in thousands, except share, contractual term, and per share data):</w:t>
      </w:r>
    </w:p>
    <w:p>
      <w:pPr>
        <w:spacing w:after="0" w:line="2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33" w:right="339" w:bottom="1440" w:gutter="0" w:footer="0" w:header="0"/>
        </w:sectPr>
      </w:pPr>
    </w:p>
    <w:bookmarkStart w:id="12" w:name="page13"/>
    <w:bookmarkEnd w:id="12"/>
    <w:tbl>
      <w:tblPr>
        <w:tblLayout w:type="fixed"/>
        <w:tblInd w:w="8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Outstanding RSUs</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1200" w:type="dxa"/>
            <w:vAlign w:val="bottom"/>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0"/>
                <w:szCs w:val="10"/>
                <w:color w:val="auto"/>
              </w:rPr>
            </w:pPr>
          </w:p>
        </w:tc>
        <w:tc>
          <w:tcPr>
            <w:tcW w:w="1200" w:type="dxa"/>
            <w:vAlign w:val="bottom"/>
          </w:tcPr>
          <w:p>
            <w:pPr>
              <w:jc w:val="center"/>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20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00" w:type="dxa"/>
            <w:vAlign w:val="bottom"/>
          </w:tcPr>
          <w:p>
            <w:pPr>
              <w:spacing w:after="0"/>
              <w:rPr>
                <w:sz w:val="12"/>
                <w:szCs w:val="12"/>
                <w:color w:val="auto"/>
              </w:rPr>
            </w:pPr>
          </w:p>
        </w:tc>
        <w:tc>
          <w:tcPr>
            <w:tcW w:w="120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5"/>
                <w:szCs w:val="15"/>
                <w:color w:val="auto"/>
              </w:rPr>
            </w:pPr>
          </w:p>
        </w:tc>
        <w:tc>
          <w:tcPr>
            <w:tcW w:w="1140" w:type="dxa"/>
            <w:vAlign w:val="bottom"/>
            <w:tcBorders>
              <w:bottom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Value per Unit</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25,612</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44.90</w:t>
            </w:r>
          </w:p>
        </w:tc>
        <w:tc>
          <w:tcPr>
            <w:tcW w:w="1300" w:type="dxa"/>
            <w:vAlign w:val="bottom"/>
            <w:gridSpan w:val="2"/>
            <w:shd w:val="clear" w:color="auto" w:fill="CFF0FC"/>
          </w:tcPr>
          <w:p>
            <w:pPr>
              <w:jc w:val="right"/>
              <w:ind w:right="29"/>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172,632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44.96</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48.01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193,628</w:t>
            </w:r>
          </w:p>
        </w:tc>
        <w:tc>
          <w:tcPr>
            <w:tcW w:w="26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44.83</w:t>
            </w:r>
          </w:p>
        </w:tc>
        <w:tc>
          <w:tcPr>
            <w:tcW w:w="1300" w:type="dxa"/>
            <w:vAlign w:val="bottom"/>
            <w:tcBorders>
              <w:bottom w:val="single" w:sz="8" w:color="CFF0FC"/>
            </w:tcBorders>
            <w:gridSpan w:val="2"/>
            <w:shd w:val="clear" w:color="auto" w:fill="CFF0FC"/>
          </w:tcPr>
          <w:p>
            <w:pPr>
              <w:jc w:val="right"/>
              <w:ind w:right="29"/>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3,847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Unvested and expected to vest as of June 30, 2025</w:t>
            </w:r>
          </w:p>
        </w:tc>
        <w:tc>
          <w:tcPr>
            <w:tcW w:w="1200" w:type="dxa"/>
            <w:vAlign w:val="bottom"/>
            <w:tcBorders>
              <w:bottom w:val="single" w:sz="8" w:color="auto"/>
            </w:tcBorders>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193,628</w:t>
            </w:r>
          </w:p>
        </w:tc>
        <w:tc>
          <w:tcPr>
            <w:tcW w:w="2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44.83</w:t>
            </w:r>
          </w:p>
        </w:tc>
        <w:tc>
          <w:tcPr>
            <w:tcW w:w="1300" w:type="dxa"/>
            <w:vAlign w:val="bottom"/>
            <w:gridSpan w:val="2"/>
          </w:tcPr>
          <w:p>
            <w:pPr>
              <w:jc w:val="right"/>
              <w:ind w:right="29"/>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2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8"/>
              <w:spacing w:after="0" w:line="196" w:lineRule="exact"/>
              <w:rPr>
                <w:sz w:val="20"/>
                <w:szCs w:val="20"/>
                <w:color w:val="auto"/>
              </w:rPr>
            </w:pPr>
            <w:r>
              <w:rPr>
                <w:rFonts w:ascii="Times New Roman" w:cs="Times New Roman" w:eastAsia="Times New Roman" w:hAnsi="Times New Roman"/>
                <w:sz w:val="18"/>
                <w:szCs w:val="18"/>
                <w:color w:val="auto"/>
              </w:rPr>
              <w:t>3,847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-187960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-170815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86" w:lineRule="exact"/>
        <w:rPr>
          <w:sz w:val="20"/>
          <w:szCs w:val="20"/>
          <w:color w:val="auto"/>
        </w:rPr>
      </w:pPr>
    </w:p>
    <w:p>
      <w:pPr>
        <w:ind w:left="760" w:right="200"/>
        <w:spacing w:after="0" w:line="282" w:lineRule="auto"/>
        <w:rPr>
          <w:sz w:val="20"/>
          <w:szCs w:val="20"/>
          <w:color w:val="auto"/>
        </w:rPr>
      </w:pPr>
      <w:r>
        <w:rPr>
          <w:rFonts w:ascii="Times New Roman" w:cs="Times New Roman" w:eastAsia="Times New Roman" w:hAnsi="Times New Roman"/>
          <w:sz w:val="18"/>
          <w:szCs w:val="18"/>
          <w:color w:val="auto"/>
        </w:rPr>
        <w:t>As of June 30, 2025, the total unrecognized stock-based compensation expense for RSUs was $7.6 million, which is expected to be recognized over a weighted average period of 2.6 years.</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recorded stock-based compensation expense relating to its employees and non-employee directors is as follows (in thousands):</w:t>
      </w:r>
    </w:p>
    <w:p>
      <w:pPr>
        <w:spacing w:after="0" w:line="111"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4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1,430</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228</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2,613</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1,158</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2,078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303</w:t>
            </w:r>
          </w:p>
        </w:tc>
      </w:tr>
      <w:tr>
        <w:trPr>
          <w:trHeight w:val="230"/>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2,588</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4,691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724</w:t>
            </w: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-24765</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Company records compensation expense for options and RSUs with service based vesting conditions on a straight-line basis over the vesting period.</w:t>
      </w:r>
    </w:p>
    <w:p>
      <w:pPr>
        <w:spacing w:after="0" w:line="266"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left="760" w:right="380"/>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p>
      <w:pPr>
        <w:spacing w:after="0" w:line="47"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(27,892)</w:t>
            </w:r>
          </w:p>
        </w:tc>
      </w:tr>
      <w:tr>
        <w:trPr>
          <w:trHeight w:val="20"/>
        </w:trPr>
        <w:tc>
          <w:tcPr>
            <w:tcW w:w="5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1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16"/>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18,680,042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2,919,872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17,923,056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2,150,160</w:t>
            </w:r>
          </w:p>
        </w:tc>
      </w:tr>
      <w:tr>
        <w:trPr>
          <w:trHeight w:val="20"/>
        </w:trPr>
        <w:tc>
          <w:tcPr>
            <w:tcW w:w="5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6"/>
        </w:trPr>
        <w:tc>
          <w:tcPr>
            <w:tcW w:w="5100" w:type="dxa"/>
            <w:vAlign w:val="bottom"/>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50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34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(4.34)</w:t>
            </w:r>
          </w:p>
        </w:tc>
        <w:tc>
          <w:tcPr>
            <w:tcW w:w="30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(2.00)</w:t>
            </w:r>
          </w:p>
        </w:tc>
        <w:tc>
          <w:tcPr>
            <w:tcW w:w="34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(12.97)</w:t>
            </w:r>
          </w:p>
        </w:tc>
      </w:tr>
      <w:tr>
        <w:trPr>
          <w:trHeight w:val="20"/>
        </w:trPr>
        <w:tc>
          <w:tcPr>
            <w:tcW w:w="5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-24765</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7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774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760" w:right="240"/>
        <w:spacing w:after="0" w:line="282" w:lineRule="auto"/>
        <w:rPr>
          <w:sz w:val="20"/>
          <w:szCs w:val="20"/>
          <w:color w:val="auto"/>
        </w:rPr>
      </w:pPr>
      <w:r>
        <w:rPr>
          <w:rFonts w:ascii="Times New Roman" w:cs="Times New Roman" w:eastAsia="Times New Roman" w:hAnsi="Times New Roman"/>
          <w:sz w:val="18"/>
          <w:szCs w:val="18"/>
          <w:color w:val="auto"/>
        </w:rPr>
        <w:t>The following shares of potentially diluted securities were excluded from the computation of diluted net loss per share attributable to common stockholders for the periods presented because including them would have been anti-dilutive:</w:t>
      </w:r>
    </w:p>
    <w:p>
      <w:pPr>
        <w:spacing w:after="0" w:line="47"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7120" w:type="dxa"/>
            <w:vAlign w:val="bottom"/>
          </w:tcPr>
          <w:p>
            <w:pPr>
              <w:spacing w:after="0"/>
              <w:rPr>
                <w:sz w:val="15"/>
                <w:szCs w:val="15"/>
                <w:color w:val="auto"/>
              </w:rPr>
            </w:pPr>
          </w:p>
        </w:tc>
        <w:tc>
          <w:tcPr>
            <w:tcW w:w="218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140" w:type="dxa"/>
            <w:vAlign w:val="bottom"/>
            <w:tcBorders>
              <w:bottom w:val="single" w:sz="8" w:color="auto"/>
            </w:tcBorders>
          </w:tcPr>
          <w:p>
            <w:pPr>
              <w:spacing w:after="0"/>
              <w:rPr>
                <w:sz w:val="15"/>
                <w:szCs w:val="15"/>
                <w:color w:val="auto"/>
              </w:rPr>
            </w:pPr>
          </w:p>
        </w:tc>
      </w:tr>
      <w:tr>
        <w:trPr>
          <w:trHeight w:val="142"/>
        </w:trPr>
        <w:tc>
          <w:tcPr>
            <w:tcW w:w="7120" w:type="dxa"/>
            <w:vAlign w:val="bottom"/>
          </w:tcPr>
          <w:p>
            <w:pPr>
              <w:spacing w:after="0"/>
              <w:rPr>
                <w:sz w:val="12"/>
                <w:szCs w:val="12"/>
                <w:color w:val="auto"/>
              </w:rPr>
            </w:pPr>
          </w:p>
        </w:tc>
        <w:tc>
          <w:tcPr>
            <w:tcW w:w="1620" w:type="dxa"/>
            <w:vAlign w:val="bottom"/>
            <w:tcBorders>
              <w:bottom w:val="single" w:sz="8" w:color="auto"/>
            </w:tcBorders>
          </w:tcPr>
          <w:p>
            <w:pPr>
              <w:jc w:val="right"/>
              <w:ind w:right="6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6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1,835,742</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1,944,086</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 and common stock</w:t>
            </w:r>
          </w:p>
        </w:tc>
        <w:tc>
          <w:tcPr>
            <w:tcW w:w="16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193,628</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11,447</w:t>
            </w:r>
          </w:p>
        </w:tc>
      </w:tr>
      <w:tr>
        <w:trPr>
          <w:trHeight w:val="249"/>
        </w:trPr>
        <w:tc>
          <w:tcPr>
            <w:tcW w:w="71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2,029,370</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1,955,533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-25400</wp:posOffset>
            </wp:positionV>
            <wp:extent cx="768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309" w:lineRule="exact"/>
        <w:rPr>
          <w:sz w:val="20"/>
          <w:szCs w:val="20"/>
          <w:color w:val="auto"/>
        </w:rPr>
      </w:pPr>
    </w:p>
    <w:p>
      <w:pPr>
        <w:ind w:left="760" w:right="8760" w:hanging="752"/>
        <w:spacing w:after="0" w:line="400" w:lineRule="auto"/>
        <w:tabs>
          <w:tab w:leader="none" w:pos="371"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LICENSE AGREEMENTS </w:t>
      </w:r>
      <w:r>
        <w:rPr>
          <w:rFonts w:ascii="Times New Roman" w:cs="Times New Roman" w:eastAsia="Times New Roman" w:hAnsi="Times New Roman"/>
          <w:sz w:val="17"/>
          <w:szCs w:val="17"/>
          <w:b w:val="1"/>
          <w:bCs w:val="1"/>
          <w:i w:val="1"/>
          <w:iCs w:val="1"/>
          <w:color w:val="auto"/>
        </w:rPr>
        <w:t>Harvard Agreement</w:t>
      </w:r>
    </w:p>
    <w:p>
      <w:pPr>
        <w:ind w:left="760" w:right="20"/>
        <w:spacing w:after="0" w:line="261" w:lineRule="auto"/>
        <w:rPr>
          <w:sz w:val="20"/>
          <w:szCs w:val="20"/>
          <w:color w:val="auto"/>
        </w:rPr>
      </w:pPr>
      <w:r>
        <w:rPr>
          <w:rFonts w:ascii="Times New Roman" w:cs="Times New Roman" w:eastAsia="Times New Roman" w:hAnsi="Times New Roman"/>
          <w:sz w:val="18"/>
          <w:szCs w:val="18"/>
          <w:color w:val="auto"/>
        </w:rPr>
        <w:t>In July 2020, Legacy Tectonic entered into an agreement with the President and Fellows of Harvard College (“Harvard”), for an option fee in the low five digits, whereby Harvard granted Legacy Tectonic an exclusive option to negotiate a worldwide, exclusive, royalty-bearing license under Harvard’s interest in the patent rights covering certain technology that was developed by Harvard. In October 2021, Legacy Tectonic exercised the option and on February 10, 2022, entered into a license agreement (“License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3" w:name="page14"/>
    <w:bookmarkEnd w:id="13"/>
    <w:p>
      <w:pPr>
        <w:ind w:left="752" w:right="100"/>
        <w:spacing w:after="0" w:line="258" w:lineRule="auto"/>
        <w:rPr>
          <w:sz w:val="20"/>
          <w:szCs w:val="20"/>
          <w:color w:val="auto"/>
        </w:rPr>
      </w:pPr>
      <w:r>
        <w:rPr>
          <w:rFonts w:ascii="Times New Roman" w:cs="Times New Roman" w:eastAsia="Times New Roman" w:hAnsi="Times New Roman"/>
          <w:sz w:val="18"/>
          <w:szCs w:val="18"/>
          <w:color w:val="auto"/>
        </w:rPr>
        <w:t>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The Company paid Harvard a one-time license fee and issued shares of common stock as consideration for the License Agreement.</w:t>
      </w:r>
    </w:p>
    <w:p>
      <w:pPr>
        <w:spacing w:after="0" w:line="75" w:lineRule="exact"/>
        <w:rPr>
          <w:sz w:val="20"/>
          <w:szCs w:val="20"/>
          <w:color w:val="auto"/>
        </w:rPr>
      </w:pPr>
    </w:p>
    <w:p>
      <w:pPr>
        <w:ind w:left="752" w:right="80"/>
        <w:spacing w:after="0" w:line="253" w:lineRule="auto"/>
        <w:rPr>
          <w:sz w:val="20"/>
          <w:szCs w:val="20"/>
          <w:color w:val="auto"/>
        </w:rPr>
      </w:pPr>
      <w:r>
        <w:rPr>
          <w:rFonts w:ascii="Times New Roman" w:cs="Times New Roman" w:eastAsia="Times New Roman" w:hAnsi="Times New Roman"/>
          <w:sz w:val="18"/>
          <w:szCs w:val="18"/>
          <w:color w:val="auto"/>
        </w:rPr>
        <w:t>The Company is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the Company generates from products that utilize the license technology (“Licensed Products”) and royalty payments as a percentage in the low single digits of the annual net sales that the Company generates from know-how enabled product licenses (“Know-How Enabled Products”) and (3) a percentage between 10-20% of all non-royalty income received by the Company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on the earlier of (i) ten years after the first commercial sale of the first Know-How Enabled Product and (ii) twelve years after the first commercial sale of the first Licensed Product. The Company incurred expense of $0.1 million related to the License Agreement during each of the three and six month periods ended June 30, 2025 and 2024. No amounts were due to Harvard related to the License Agreement as of June 30, 2025 and December 31, 2024, respectively.</w:t>
      </w:r>
    </w:p>
    <w:p>
      <w:pPr>
        <w:spacing w:after="0" w:line="75" w:lineRule="exact"/>
        <w:rPr>
          <w:sz w:val="20"/>
          <w:szCs w:val="20"/>
          <w:color w:val="auto"/>
        </w:rPr>
      </w:pPr>
    </w:p>
    <w:p>
      <w:pPr>
        <w:ind w:left="752" w:right="7400" w:hanging="752"/>
        <w:spacing w:after="0" w:line="378" w:lineRule="auto"/>
        <w:tabs>
          <w:tab w:leader="none" w:pos="363"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Commitments</w:t>
      </w:r>
    </w:p>
    <w:p>
      <w:pPr>
        <w:jc w:val="both"/>
        <w:ind w:left="752" w:right="200"/>
        <w:spacing w:after="0" w:line="266" w:lineRule="auto"/>
        <w:rPr>
          <w:sz w:val="20"/>
          <w:szCs w:val="20"/>
          <w:color w:val="auto"/>
        </w:rPr>
      </w:pPr>
      <w:r>
        <w:rPr>
          <w:rFonts w:ascii="Times New Roman" w:cs="Times New Roman" w:eastAsia="Times New Roman" w:hAnsi="Times New Roman"/>
          <w:sz w:val="18"/>
          <w:szCs w:val="18"/>
          <w:color w:val="auto"/>
        </w:rPr>
        <w:t>The Company enters into contractual agreements with various suppliers in the normal course of its business.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68" w:lineRule="exact"/>
        <w:rPr>
          <w:sz w:val="20"/>
          <w:szCs w:val="20"/>
          <w:color w:val="auto"/>
        </w:rPr>
      </w:pPr>
    </w:p>
    <w:p>
      <w:pPr>
        <w:jc w:val="both"/>
        <w:ind w:left="752" w:right="140"/>
        <w:spacing w:after="0" w:line="266" w:lineRule="auto"/>
        <w:rPr>
          <w:sz w:val="20"/>
          <w:szCs w:val="20"/>
          <w:color w:val="auto"/>
        </w:rPr>
      </w:pPr>
      <w:r>
        <w:rPr>
          <w:rFonts w:ascii="Times New Roman" w:cs="Times New Roman" w:eastAsia="Times New Roman" w:hAnsi="Times New Roman"/>
          <w:sz w:val="18"/>
          <w:szCs w:val="18"/>
          <w:color w:val="auto"/>
        </w:rPr>
        <w:t>The Company has lease obligations including amounts due on leases of certain laboratory equipment and office and laboratory space under the terms of non-cancelable operating and finance leases. The leases expire at various times through 2027. Minimum lease payments as of June 30, 2025 are $1.5 million in 2025, $0.5 million in 2026, and $0.1 million in 2027.</w:t>
      </w:r>
    </w:p>
    <w:p>
      <w:pPr>
        <w:spacing w:after="0" w:line="66" w:lineRule="exact"/>
        <w:rPr>
          <w:sz w:val="20"/>
          <w:szCs w:val="20"/>
          <w:color w:val="auto"/>
        </w:rPr>
      </w:pPr>
    </w:p>
    <w:p>
      <w:pPr>
        <w:ind w:left="752" w:right="980"/>
        <w:spacing w:after="0" w:line="376" w:lineRule="auto"/>
        <w:rPr>
          <w:sz w:val="20"/>
          <w:szCs w:val="20"/>
          <w:color w:val="auto"/>
        </w:rPr>
      </w:pPr>
      <w:r>
        <w:rPr>
          <w:rFonts w:ascii="Times New Roman" w:cs="Times New Roman" w:eastAsia="Times New Roman" w:hAnsi="Times New Roman"/>
          <w:sz w:val="18"/>
          <w:szCs w:val="18"/>
          <w:color w:val="auto"/>
        </w:rPr>
        <w:t xml:space="preserve">The Company is also party to milestone, royalty and maintenance based commitments, as described in Note 9,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p>
    <w:p>
      <w:pPr>
        <w:spacing w:after="0" w:line="1" w:lineRule="exact"/>
        <w:rPr>
          <w:sz w:val="20"/>
          <w:szCs w:val="20"/>
          <w:color w:val="auto"/>
        </w:rPr>
      </w:pPr>
    </w:p>
    <w:p>
      <w:pPr>
        <w:ind w:left="752" w:right="20"/>
        <w:spacing w:after="0" w:line="253" w:lineRule="auto"/>
        <w:rPr>
          <w:sz w:val="20"/>
          <w:szCs w:val="20"/>
          <w:color w:val="auto"/>
        </w:rPr>
      </w:pPr>
      <w:r>
        <w:rPr>
          <w:rFonts w:ascii="Times New Roman" w:cs="Times New Roman" w:eastAsia="Times New Roman" w:hAnsi="Times New Roman"/>
          <w:sz w:val="18"/>
          <w:szCs w:val="18"/>
          <w:color w:val="auto"/>
        </w:rPr>
        <w:t>In connection with the Merger, the Company and its designated rights agent entered into a contingent value rights agreement (the “CVR Agreement”). Pursuant to the CVR Agreement, each holder of AVROBIO common stock immediately prior to the closing received a contractual contingent value right (“CVR”) subject to and in accordance with the terms and conditions of the CVR Agreement, representing the contractual right to receive a pro rata portion of any net proceeds, if any, resulting from a disposition of certain AVROBIO intellectual property (including a license of AVROBIO’s pre-closing assets as defined in the CVR Agreement) after the closing and prior to the 18-month anniversary of the closing, received within a 10-year period following the closing; provided that no contingent payment will be payable to any holder of the CVRs until such time as the then-outstanding and undistributed proceeds exceeds $0.4 million in the aggregate. The Company believes that any receipt of payments resulting from the disposition of AVROBIO’s pre-closing assets described in the CVR Agreement are highly susceptible to factors outside the Company’s influence that are not expected to be resolved within the timeline outlined in the CVR Agreement, if at all. In particular, these amounts are primarily influenced by the actions and judgments of third parties and the buyers of such assets and are based on the buyers of such assets progressing the specific platform and intellectual property and early stage of research and development programs. If the Company were to record a receivable for such contingent payments, it would also record a corresponding liability. As of June 30, 2025 and December 31, 2024, no receivables or liabilities were recorded on the condensed consolidated balance sheets relating to such contingent payments.</w:t>
      </w:r>
    </w:p>
    <w:p>
      <w:pPr>
        <w:spacing w:after="0" w:line="79" w:lineRule="exact"/>
        <w:rPr>
          <w:sz w:val="20"/>
          <w:szCs w:val="20"/>
          <w:color w:val="auto"/>
        </w:rPr>
      </w:pPr>
    </w:p>
    <w:p>
      <w:pPr>
        <w:ind w:left="752" w:right="120"/>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There are no matters pending that the Company currently believes are reasonably possible or probable of having a material impact to the Company's financial position, results of operations, or statements of cash flows.</w:t>
      </w:r>
    </w:p>
    <w:p>
      <w:pPr>
        <w:spacing w:after="0" w:line="75" w:lineRule="exact"/>
        <w:rPr>
          <w:sz w:val="20"/>
          <w:szCs w:val="20"/>
          <w:color w:val="auto"/>
        </w:rPr>
      </w:pPr>
    </w:p>
    <w:p>
      <w:pPr>
        <w:ind w:left="752"/>
        <w:spacing w:after="0" w:line="261" w:lineRule="auto"/>
        <w:rPr>
          <w:sz w:val="20"/>
          <w:szCs w:val="20"/>
          <w:color w:val="auto"/>
        </w:rPr>
      </w:pPr>
      <w:r>
        <w:rPr>
          <w:rFonts w:ascii="Times New Roman" w:cs="Times New Roman" w:eastAsia="Times New Roman" w:hAnsi="Times New Roman"/>
          <w:sz w:val="18"/>
          <w:szCs w:val="18"/>
          <w:color w:val="auto"/>
        </w:rPr>
        <w:t>In the normal course of operations, the Company may become involved in various legal proceedings. As of June 30, 2025 and December 31, 2024, the Company has not recorded accruals for probable losses related to any existing or pending litigation as the Company’s management has determined that there are no matters where a potential loss is probable and reasonably estimable. The Company does not believe that any existing or pending claims would have a material impact on the Company’s consolidated</w:t>
      </w:r>
    </w:p>
    <w:p>
      <w:pPr>
        <w:spacing w:after="0" w:line="28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93" w:right="359" w:bottom="1440" w:gutter="0" w:footer="0" w:header="0"/>
        </w:sectPr>
      </w:pPr>
    </w:p>
    <w:bookmarkStart w:id="14" w:name="page15"/>
    <w:bookmarkEnd w:id="14"/>
    <w:p>
      <w:pPr>
        <w:ind w:left="760"/>
        <w:spacing w:after="0"/>
        <w:rPr>
          <w:sz w:val="20"/>
          <w:szCs w:val="20"/>
          <w:color w:val="auto"/>
        </w:rPr>
      </w:pPr>
      <w:r>
        <w:rPr>
          <w:rFonts w:ascii="Times New Roman" w:cs="Times New Roman" w:eastAsia="Times New Roman" w:hAnsi="Times New Roman"/>
          <w:sz w:val="18"/>
          <w:szCs w:val="18"/>
          <w:color w:val="auto"/>
        </w:rPr>
        <w:t>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Scientific Advisory Board Member</w:t>
      </w:r>
    </w:p>
    <w:p>
      <w:pPr>
        <w:spacing w:after="0" w:line="121" w:lineRule="exact"/>
        <w:rPr>
          <w:sz w:val="20"/>
          <w:szCs w:val="20"/>
          <w:color w:val="auto"/>
        </w:rPr>
      </w:pPr>
    </w:p>
    <w:p>
      <w:pPr>
        <w:ind w:left="760" w:right="40"/>
        <w:spacing w:after="0" w:line="266" w:lineRule="auto"/>
        <w:rPr>
          <w:sz w:val="20"/>
          <w:szCs w:val="20"/>
          <w:color w:val="auto"/>
        </w:rPr>
      </w:pPr>
      <w:r>
        <w:rPr>
          <w:rFonts w:ascii="Times New Roman" w:cs="Times New Roman" w:eastAsia="Times New Roman" w:hAnsi="Times New Roman"/>
          <w:sz w:val="18"/>
          <w:szCs w:val="18"/>
          <w:color w:val="auto"/>
        </w:rPr>
        <w:t>One of the Company’s co-founders and former director is a member of the Company’s Scientific Advisory Board (“SAB”) and meets the criteria of a related party. For each of the three and six month periods ended June 30, 2025 and 2024, the Company incurred expense of less than $0.1 million for advisory services provided. There were no amounts due to this related party as of June 30, 2025 and December 31, 2024.</w:t>
      </w:r>
    </w:p>
    <w:p>
      <w:pPr>
        <w:spacing w:after="0" w:line="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ind w:left="760" w:right="80"/>
        <w:spacing w:after="0" w:line="266" w:lineRule="auto"/>
        <w:rPr>
          <w:sz w:val="20"/>
          <w:szCs w:val="20"/>
          <w:color w:val="auto"/>
        </w:rPr>
      </w:pPr>
      <w:r>
        <w:rPr>
          <w:rFonts w:ascii="Times New Roman" w:cs="Times New Roman" w:eastAsia="Times New Roman" w:hAnsi="Times New Roman"/>
          <w:sz w:val="18"/>
          <w:szCs w:val="18"/>
          <w:color w:val="auto"/>
        </w:rPr>
        <w:t xml:space="preserve">Harvard meets the criteria of a related party resulting from the Company’s co-founders’ employment as professors in the Harvard Department of Molecular Pharmacology. Core intellectual property utilized by the Company is licensed from Harvard under the License Agreement described in Note 9,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760" w:right="120"/>
        <w:spacing w:after="0" w:line="312" w:lineRule="auto"/>
        <w:rPr>
          <w:sz w:val="20"/>
          <w:szCs w:val="20"/>
          <w:color w:val="auto"/>
        </w:rPr>
      </w:pPr>
      <w:r>
        <w:rPr>
          <w:rFonts w:ascii="Times New Roman" w:cs="Times New Roman" w:eastAsia="Times New Roman" w:hAnsi="Times New Roman"/>
          <w:sz w:val="17"/>
          <w:szCs w:val="17"/>
          <w:color w:val="auto"/>
        </w:rPr>
        <w:t>The Company incurred expense of $0.1 million related to the License Agreement during each of the three and six month periods ended June 30, 2025 and 2024, respectively. No amounts were due to Harvard related to the License Agreement as of June 30, 2025 and December 31, 2024.</w:t>
      </w:r>
    </w:p>
    <w:p>
      <w:pPr>
        <w:spacing w:after="0" w:line="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121" w:lineRule="exact"/>
        <w:rPr>
          <w:sz w:val="20"/>
          <w:szCs w:val="20"/>
          <w:color w:val="auto"/>
        </w:rPr>
      </w:pPr>
    </w:p>
    <w:p>
      <w:pPr>
        <w:ind w:left="760" w:right="320"/>
        <w:spacing w:after="0" w:line="282" w:lineRule="auto"/>
        <w:rPr>
          <w:sz w:val="20"/>
          <w:szCs w:val="20"/>
          <w:color w:val="auto"/>
        </w:rPr>
      </w:pPr>
      <w:r>
        <w:rPr>
          <w:rFonts w:ascii="Times New Roman" w:cs="Times New Roman" w:eastAsia="Times New Roman" w:hAnsi="Times New Roman"/>
          <w:sz w:val="18"/>
          <w:szCs w:val="18"/>
          <w:color w:val="auto"/>
        </w:rPr>
        <w:t>The Company issued shares in connection with the Private Placement at a price of $54.14 per share to accredited individual investors that are either an officer or director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121" w:lineRule="exact"/>
        <w:rPr>
          <w:sz w:val="20"/>
          <w:szCs w:val="20"/>
          <w:color w:val="auto"/>
        </w:rPr>
      </w:pPr>
    </w:p>
    <w:p>
      <w:pPr>
        <w:ind w:left="760" w:right="100"/>
        <w:spacing w:after="0" w:line="266" w:lineRule="auto"/>
        <w:rPr>
          <w:sz w:val="20"/>
          <w:szCs w:val="20"/>
          <w:color w:val="auto"/>
        </w:rPr>
      </w:pPr>
      <w:r>
        <w:rPr>
          <w:rFonts w:ascii="Times New Roman" w:cs="Times New Roman" w:eastAsia="Times New Roman" w:hAnsi="Times New Roman"/>
          <w:sz w:val="18"/>
          <w:szCs w:val="18"/>
          <w:color w:val="auto"/>
        </w:rPr>
        <w:t>The Company operates in one operating segment, and therefore one reportable segment, focused on the discovery and development of therapeutic proteins and antibodies that modulate the activity of GPCRs. The accounting policies of the segment are the same as those described in the summary of significant accounting policies.</w:t>
      </w:r>
    </w:p>
    <w:p>
      <w:pPr>
        <w:spacing w:after="0" w:line="68" w:lineRule="exact"/>
        <w:rPr>
          <w:sz w:val="20"/>
          <w:szCs w:val="20"/>
          <w:color w:val="auto"/>
        </w:rPr>
      </w:pPr>
    </w:p>
    <w:p>
      <w:pPr>
        <w:ind w:left="760" w:right="240"/>
        <w:spacing w:after="0" w:line="261" w:lineRule="auto"/>
        <w:rPr>
          <w:sz w:val="20"/>
          <w:szCs w:val="20"/>
          <w:color w:val="auto"/>
        </w:rPr>
      </w:pPr>
      <w:r>
        <w:rPr>
          <w:rFonts w:ascii="Times New Roman" w:cs="Times New Roman" w:eastAsia="Times New Roman" w:hAnsi="Times New Roman"/>
          <w:sz w:val="18"/>
          <w:szCs w:val="18"/>
          <w:color w:val="auto"/>
        </w:rPr>
        <w:t>The determination of a single segment is consistent with the consolidated financial information regularly reviewed by the Chief Executive Officer as CODM in evaluating financial performance and deciding how to allocate resources on a consolidated basis. The significant expense categories outlined below align with the segment-level information that is regularly provided to the CODM. When evaluating the Company’s financial performance, the CODM reviews one measure of profitability, net loss, and makes decisions using this information.</w:t>
      </w:r>
    </w:p>
    <w:p>
      <w:pPr>
        <w:spacing w:after="0" w:line="72" w:lineRule="exact"/>
        <w:rPr>
          <w:sz w:val="20"/>
          <w:szCs w:val="20"/>
          <w:color w:val="auto"/>
        </w:rPr>
      </w:pPr>
    </w:p>
    <w:p>
      <w:pPr>
        <w:ind w:left="760" w:right="120"/>
        <w:spacing w:after="0" w:line="266" w:lineRule="auto"/>
        <w:rPr>
          <w:sz w:val="20"/>
          <w:szCs w:val="20"/>
          <w:color w:val="auto"/>
        </w:rPr>
      </w:pPr>
      <w:r>
        <w:rPr>
          <w:rFonts w:ascii="Times New Roman" w:cs="Times New Roman" w:eastAsia="Times New Roman" w:hAnsi="Times New Roman"/>
          <w:sz w:val="18"/>
          <w:szCs w:val="18"/>
          <w:color w:val="auto"/>
        </w:rPr>
        <w:t>No segment asset information is provided below as the CODM is focused on how expenses impact ending cash by period and overall cash runway. Any review of segment assets, which would focus on cash and cash equivalents, would be at the same level as the consolidated balance sheet.</w:t>
      </w:r>
    </w:p>
    <w:p>
      <w:pPr>
        <w:spacing w:after="0" w:line="68" w:lineRule="exact"/>
        <w:rPr>
          <w:sz w:val="20"/>
          <w:szCs w:val="20"/>
          <w:color w:val="auto"/>
        </w:rPr>
      </w:pPr>
    </w:p>
    <w:p>
      <w:pPr>
        <w:ind w:left="760"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segment net loss and significant segment expenses for the three and six months ended June 30, 2025 and 2024 (in thousands):</w:t>
      </w:r>
    </w:p>
    <w:p>
      <w:pPr>
        <w:spacing w:after="0" w:line="290"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Employee-related expenses:</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 employee-related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3,159</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2,589</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6,323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 employee-related expenses</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1,518</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1,314</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2,855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2,367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pre-clinical expenses</w:t>
            </w:r>
          </w:p>
        </w:tc>
        <w:tc>
          <w:tcPr>
            <w:tcW w:w="16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2,934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2,237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Clinical and development expenses</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5,692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1,278</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10,096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Chemistry, manufacturing, and control expenses</w:t>
            </w:r>
          </w:p>
        </w:tc>
        <w:tc>
          <w:tcPr>
            <w:tcW w:w="16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3,847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Non-employee-related general and administrative expenses</w:t>
            </w:r>
          </w:p>
        </w:tc>
        <w:tc>
          <w:tcPr>
            <w:tcW w:w="16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2,185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2,804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649</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4,979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19,984</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12,671</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35,890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-170815</wp:posOffset>
            </wp:positionV>
            <wp:extent cx="857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-170815</wp:posOffset>
            </wp:positionV>
            <wp:extent cx="1111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-170815</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56" w:lineRule="exact"/>
        <w:rPr>
          <w:sz w:val="20"/>
          <w:szCs w:val="20"/>
          <w:color w:val="auto"/>
        </w:rPr>
      </w:pPr>
    </w:p>
    <w:p>
      <w:pPr>
        <w:ind w:left="760" w:right="20" w:hanging="3"/>
        <w:spacing w:after="0" w:line="282" w:lineRule="auto"/>
        <w:tabs>
          <w:tab w:leader="none" w:pos="847" w:val="left"/>
        </w:tabs>
        <w:numPr>
          <w:ilvl w:val="0"/>
          <w:numId w:val="13"/>
        </w:numPr>
        <w:rPr>
          <w:rFonts w:ascii="Times New Roman" w:cs="Times New Roman" w:eastAsia="Times New Roman" w:hAnsi="Times New Roman"/>
          <w:sz w:val="8"/>
          <w:szCs w:val="8"/>
          <w:color w:val="auto"/>
        </w:rPr>
      </w:pPr>
      <w:r>
        <w:rPr>
          <w:rFonts w:ascii="Times New Roman" w:cs="Times New Roman" w:eastAsia="Times New Roman" w:hAnsi="Times New Roman"/>
          <w:sz w:val="18"/>
          <w:szCs w:val="18"/>
          <w:color w:val="auto"/>
        </w:rPr>
        <w:t>Other segment expenses include stock-based compensation, depreciation and amortization, changes in the fair value of the SAFE liabilities, loss on the issuance of SAFEs, income tax expense, interest income, and interest expense.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ind w:left="760"/>
        <w:spacing w:after="0" w:line="266"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("OBBBA"), which includes several changes to U.S. federal income tax law, including the temporary and permanent extension, of expiring provisions of the Tax Cuts and Jobs Act of 2017. The Company is assessing these impacts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left="760" w:right="100"/>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The following discussion contains forward-looking statements that are based upon current expectations that involve risks, uncertainties and assumptions. Our actual results could differ materially from those anticipated in these forward-looking statements as a result of many factors, including those discussed under “Risk Factors” and elsewhere in this Quarterly Report. Please also see the section titled “Special Note Regarding Forward-Looking Statements.”</w:t>
      </w:r>
    </w:p>
    <w:p>
      <w:pPr>
        <w:spacing w:after="0" w:line="60" w:lineRule="exact"/>
        <w:rPr>
          <w:sz w:val="20"/>
          <w:szCs w:val="20"/>
          <w:color w:val="auto"/>
        </w:rPr>
      </w:pPr>
    </w:p>
    <w:p>
      <w:pPr>
        <w:ind w:left="760" w:right="80"/>
        <w:spacing w:after="0" w:line="258" w:lineRule="auto"/>
        <w:rPr>
          <w:sz w:val="20"/>
          <w:szCs w:val="20"/>
          <w:color w:val="auto"/>
        </w:rPr>
      </w:pPr>
      <w:r>
        <w:rPr>
          <w:rFonts w:ascii="Times New Roman" w:cs="Times New Roman" w:eastAsia="Times New Roman" w:hAnsi="Times New Roman"/>
          <w:sz w:val="18"/>
          <w:szCs w:val="18"/>
          <w:i w:val="1"/>
          <w:iCs w:val="1"/>
          <w:color w:val="auto"/>
        </w:rPr>
        <w:t>All brand names or trademarks appearing in this report are the property of their respective holders. Unless otherwise indicated or the context otherwise requires, references in this “Management’s Discussion and Analysis of Financial Condition and Results of Operations” section to the Company, “we,” “us,” and “our” refer to the business and operations of Tectonic Operating Company, Inc. (previously Tectonic Therapeutic, Inc., referred to as “Legacy Tectonic”) and its consolidated subsidiaries prior to the Merger, and the business and operations of Tectonic Therapeutic, Inc. (previously AVROBIO, Inc., referred to as “AVROBIO”) and its consolidated subsidiaries following the Merger.</w:t>
      </w:r>
    </w:p>
    <w:p>
      <w:pPr>
        <w:spacing w:after="0" w:line="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760" w:right="20"/>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the discovery and development of therapeutic proteins and antibodies that modulate the activity of GPCRs. The discovery of biologics that can modulate GPCRs has historically been quite challenging. We have developed a proprietary technology platform called GEODe</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of life or extend duration of life.</w:t>
      </w:r>
    </w:p>
    <w:p>
      <w:pPr>
        <w:spacing w:after="0" w:line="79" w:lineRule="exact"/>
        <w:rPr>
          <w:sz w:val="20"/>
          <w:szCs w:val="20"/>
          <w:color w:val="auto"/>
        </w:rPr>
      </w:pPr>
    </w:p>
    <w:p>
      <w:pPr>
        <w:ind w:left="760" w:right="460"/>
        <w:spacing w:after="0" w:line="282" w:lineRule="auto"/>
        <w:rPr>
          <w:sz w:val="20"/>
          <w:szCs w:val="20"/>
          <w:color w:val="auto"/>
        </w:rPr>
      </w:pPr>
      <w:r>
        <w:rPr>
          <w:rFonts w:ascii="Times New Roman" w:cs="Times New Roman" w:eastAsia="Times New Roman" w:hAnsi="Times New Roman"/>
          <w:sz w:val="18"/>
          <w:szCs w:val="18"/>
          <w:color w:val="auto"/>
        </w:rPr>
        <w:t>Our lead asset, TX45, is an Fc-relaxin fusion molecule that activates the RXFP1 receptor, the GPCR target of the hormone, relaxin. We are currently evaluating TX45 in a Phase 1b Part B hemodynamic clinical trial and in the APEX Phase 2 clinical trial.</w:t>
      </w:r>
    </w:p>
    <w:p>
      <w:pPr>
        <w:spacing w:after="0" w:line="54" w:lineRule="exact"/>
        <w:rPr>
          <w:sz w:val="20"/>
          <w:szCs w:val="20"/>
          <w:color w:val="auto"/>
        </w:rPr>
      </w:pPr>
    </w:p>
    <w:p>
      <w:pPr>
        <w:ind w:left="760" w:right="80"/>
        <w:spacing w:after="0" w:line="258" w:lineRule="auto"/>
        <w:rPr>
          <w:sz w:val="20"/>
          <w:szCs w:val="20"/>
          <w:color w:val="auto"/>
        </w:rPr>
      </w:pPr>
      <w:r>
        <w:rPr>
          <w:rFonts w:ascii="Times New Roman" w:cs="Times New Roman" w:eastAsia="Times New Roman" w:hAnsi="Times New Roman"/>
          <w:sz w:val="18"/>
          <w:szCs w:val="18"/>
          <w:color w:val="auto"/>
        </w:rPr>
        <w:t>In September 2024, we announced favorable results from a Phase 1a clinical trial evaluating safety, tolerability and pharmacokinetic (“PK”) and pharmacodynamic (“PD”) properties for TX45. In this clinical trial, TX45 was well-tolerated with no drug-related severe adverse events, no observed immunogenicity and demonstrated a favorable PK/PD relationship. Renal plasma flow was measured in each patient at several time points as a PD marker. This data was used to develop an exposure-response model which enabled the selection of doses for the APEX Phase 2 clinical trial.</w:t>
      </w:r>
    </w:p>
    <w:p>
      <w:pPr>
        <w:spacing w:after="0" w:line="75" w:lineRule="exact"/>
        <w:rPr>
          <w:sz w:val="20"/>
          <w:szCs w:val="20"/>
          <w:color w:val="auto"/>
        </w:rPr>
      </w:pPr>
    </w:p>
    <w:p>
      <w:pPr>
        <w:ind w:left="760"/>
        <w:spacing w:after="0" w:line="253" w:lineRule="auto"/>
        <w:rPr>
          <w:sz w:val="20"/>
          <w:szCs w:val="20"/>
          <w:color w:val="auto"/>
        </w:rPr>
      </w:pPr>
      <w:r>
        <w:rPr>
          <w:rFonts w:ascii="Times New Roman" w:cs="Times New Roman" w:eastAsia="Times New Roman" w:hAnsi="Times New Roman"/>
          <w:sz w:val="18"/>
          <w:szCs w:val="18"/>
          <w:color w:val="auto"/>
        </w:rPr>
        <w:t>In May 2025, we announced the complete results from Part A of the Phase 1b hemodynamic clinical trial of TX45 in subjects with Group 2 Pulmonary Hypertension (“PH”) in Heart Failure with Preserved Ejection Fraction (“HFpEF”), known as PH-HFpEF. Part A of the TX45 Phase 1b clinical trial was a single dose IV, open-label clinical trial evaluating the safety, tolerability and hemodynamic effects of TX45 over an 8-hour period in subjects with PH-HFpEF. The complete data from Part A confirmed the tolerability and hemodynamic effects of TX45 in subjects with PH-HFpEF previously reported in the interim data in January 2025. Based on the complete dataset, TX45 was well-tolerated in subjects with PH-HFpEF with no serious or severe adverse events. In the overall study population of the complete dataset, TX45 achieved a 19.0% reduction in pulmonary capillary wedge pressure (“PCWP”), an endpoint reported to correlate with exercise capacity, morbidity and mortality in patients with heart failure, and an 18.5% improvement in cardiac output. In the subpopulation with combined pre- and post-capillary pulmonary hypertension (“CpcPH”) who have an elevated Pulmonary Vascular Resistance (“PVR”) and more severe disease, TX45 demonstrated &gt;30% reduction in PVR, which along with PCWP is correlated to exercise capacity and mortality in this patient population.</w:t>
      </w:r>
    </w:p>
    <w:p>
      <w:pPr>
        <w:spacing w:after="0" w:line="86" w:lineRule="exact"/>
        <w:rPr>
          <w:sz w:val="20"/>
          <w:szCs w:val="20"/>
          <w:color w:val="auto"/>
        </w:rPr>
      </w:pPr>
    </w:p>
    <w:p>
      <w:pPr>
        <w:ind w:left="760" w:right="160"/>
        <w:spacing w:after="0" w:line="266" w:lineRule="auto"/>
        <w:rPr>
          <w:sz w:val="20"/>
          <w:szCs w:val="20"/>
          <w:color w:val="auto"/>
        </w:rPr>
      </w:pPr>
      <w:r>
        <w:rPr>
          <w:rFonts w:ascii="Times New Roman" w:cs="Times New Roman" w:eastAsia="Times New Roman" w:hAnsi="Times New Roman"/>
          <w:sz w:val="18"/>
          <w:szCs w:val="18"/>
          <w:color w:val="auto"/>
        </w:rPr>
        <w:t>The ongoing Part B of the Phase 1b clinical trial has a similar design as the Phase 1b Part A, assessing hemodynamic effects of TX45 but is being conducted in subjects with Group 2 Pulmonary Hypertension in Heart Failure with reduced Ejection Fraction (“PH-HFrEF”). Enrollment in Part B has been completed and topline results are expected early in the fourth quarter of 2025.</w:t>
      </w:r>
    </w:p>
    <w:p>
      <w:pPr>
        <w:spacing w:after="0" w:line="68" w:lineRule="exact"/>
        <w:rPr>
          <w:sz w:val="20"/>
          <w:szCs w:val="20"/>
          <w:color w:val="auto"/>
        </w:rPr>
      </w:pPr>
    </w:p>
    <w:p>
      <w:pPr>
        <w:ind w:left="760" w:right="20"/>
        <w:spacing w:after="0" w:line="261" w:lineRule="auto"/>
        <w:rPr>
          <w:sz w:val="20"/>
          <w:szCs w:val="20"/>
          <w:color w:val="auto"/>
        </w:rPr>
      </w:pPr>
      <w:r>
        <w:rPr>
          <w:rFonts w:ascii="Times New Roman" w:cs="Times New Roman" w:eastAsia="Times New Roman" w:hAnsi="Times New Roman"/>
          <w:sz w:val="18"/>
          <w:szCs w:val="18"/>
          <w:color w:val="auto"/>
        </w:rPr>
        <w:t>The ongoing APEX Phase 2 clinical trial is a global, 24-week, placebo-controlled trial designed to evaluate the safety and efficacy of TX45 administered subcutaneously (“SC”) in subjects with PH-HFpEF, enriched for CpcPH. We dosed our first subject in the APEX Phase 2 clinical trial in October 2024. Subjects are being randomized to 300 mg SC (2 ml injection) once monthly of TX45, 300 mg SC once every other week of TX45, or placebo. We expect topline results from the APEX clinical trial in 2026.</w:t>
      </w:r>
    </w:p>
    <w:p>
      <w:pPr>
        <w:spacing w:after="0" w:line="72" w:lineRule="exact"/>
        <w:rPr>
          <w:sz w:val="20"/>
          <w:szCs w:val="20"/>
          <w:color w:val="auto"/>
        </w:rPr>
      </w:pPr>
    </w:p>
    <w:p>
      <w:pPr>
        <w:ind w:left="760" w:right="320"/>
        <w:spacing w:after="0" w:line="258" w:lineRule="auto"/>
        <w:rPr>
          <w:sz w:val="20"/>
          <w:szCs w:val="20"/>
          <w:color w:val="auto"/>
        </w:rPr>
      </w:pPr>
      <w:r>
        <w:rPr>
          <w:rFonts w:ascii="Times New Roman" w:cs="Times New Roman" w:eastAsia="Times New Roman" w:hAnsi="Times New Roman"/>
          <w:sz w:val="18"/>
          <w:szCs w:val="18"/>
          <w:color w:val="auto"/>
        </w:rPr>
        <w:t>In 2026, we plan to initiate a 16-week, open label, repeat dose, Phase 2 clinical trial to evaluate TX45’s safety and hemodynamic effects in approximately 20 subjects with PH associated with Interstitial Lung Disease (“ILD”), known as PH-ILD (Group 3 PH). PH-ILD is an orphan disease with limited treatment options and a high mortality rate. We believe TX45’s mechanism is well suited to PH-ILD’s disease pathophysiology because of its pulmonary vasodilation, anti-inflammatory, remodeling and anti-fibrotic activity. In patients with PH-ILD, elevation in PVR and mean pulmonary arterial pressure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ind w:right="180"/>
        <w:spacing w:after="0" w:line="282" w:lineRule="auto"/>
        <w:rPr>
          <w:sz w:val="20"/>
          <w:szCs w:val="20"/>
          <w:color w:val="auto"/>
        </w:rPr>
      </w:pPr>
      <w:r>
        <w:rPr>
          <w:rFonts w:ascii="Times New Roman" w:cs="Times New Roman" w:eastAsia="Times New Roman" w:hAnsi="Times New Roman"/>
          <w:sz w:val="18"/>
          <w:szCs w:val="18"/>
          <w:color w:val="auto"/>
        </w:rPr>
        <w:t>(“mPAP”) has been associated with increased mortality. The TX45 PH-ILD Phase 2 trial is being initiated to evaluate TX45 300 mg every two weeks subcutaneous administration in PH-ILD subjects, a primary efficacy endpoint of change from baseline in PVR at Week 16.</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also evaluating TX002100 (“TX2100”) as our second development candidate for the treatment of Hereditary Hemorrhagic Telangiectasia (“HHT”), the second most common genetic bleeding disorder with no approved therapy. TX2100 is a VHH-Fc fusion antagonist antibody that binds to an undisclosed GPCR target (“GPCR3”) which plays a key role in pathogenic angiogenesis. A rodent surrogate of TX2100 demonstrated reduced arteriovenous malformation development and bleeding in an animal model of HHT. A 4-week non-human primate dose-range study with a functionally equivalent precursor to TX2100 showed no treatment-related toxicity observed at doses up to 100 mg/kg. A formulation supporting TX2100 SC dosing has been identified. Both IND-enabling NHP GLP toxicology studies and technical development activities to generate GMP drug supply and drug product for TX2100 started in the second quarter of 2025. We expect to initiate a Phase 1 clinical trial in healthy volunteers for TX2100 in the first quarter of 2026 subject to the conclusion of IND-enabling studies. In addition, subject to positive Phase 1 data, we plan to initiate a Phase 2 clinical trial for TX2100 in early 2027.</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12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In February 2025, we entered into a securities purchase agreement (the “Private Placement”) pursuant to which we issued an aggregate of 3,689,465 shares of common stock, at a price of $50.00 per share to institutional accredited investors and $54.14 per share to accredited individual investors that are either an officer or director of our Company. The net proceeds from the Private Placement were approximately $173.1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with AVROBIO</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June 20, 2024, we completed our previously announced merger transaction in accordance with the terms of the Agreement and Plan of Merger and Reorganization, dated as of January 30, 2024 (the “Merger Agreement”) with AVROBIO, Inc. (“AVROBIO”),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We have not generated any revenue since our inception and do not expect to generate any revenue from the sale of products in the foreseeable future, if at all. If our development efforts for our product candidates are successful and result in regulatory approval, or if we enter collaboration or license agreements with third parties, we may generate revenue in the future from product sales or payments from collaboration or license agreements, or any combination thereof. We cannot predict if, when or to what extent we will generate revenue from the commercialization and sale of our product candidates. We may never succeed in obtaining regulatory approval for any of our product candidates.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for our research activities, including our discovery efforts and the development of our programs and platform. These expenses include:</w:t>
      </w:r>
    </w:p>
    <w:p>
      <w:pPr>
        <w:spacing w:after="0" w:line="54" w:lineRule="exact"/>
        <w:rPr>
          <w:sz w:val="20"/>
          <w:szCs w:val="20"/>
          <w:color w:val="auto"/>
        </w:rPr>
      </w:pPr>
    </w:p>
    <w:p>
      <w:pPr>
        <w:ind w:left="1020" w:right="40" w:hanging="515"/>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and bonuses, related benefits and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right="500" w:hanging="515"/>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research and the preclinical and clinical development of our programs and our product candidates, including fees paid to contract research organizations (“CROs”);</w:t>
      </w:r>
    </w:p>
    <w:p>
      <w:pPr>
        <w:spacing w:after="0" w:line="53" w:lineRule="exact"/>
        <w:rPr>
          <w:rFonts w:ascii="Times New Roman" w:cs="Times New Roman" w:eastAsia="Times New Roman" w:hAnsi="Times New Roman"/>
          <w:sz w:val="18"/>
          <w:szCs w:val="18"/>
          <w:color w:val="auto"/>
        </w:rPr>
      </w:pPr>
    </w:p>
    <w:p>
      <w:pPr>
        <w:ind w:left="1020" w:right="220" w:hanging="515"/>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studies and clinical trials, including fees paid to contract development and manufacturing organizations (“CDMOs”);</w:t>
      </w:r>
    </w:p>
    <w:p>
      <w:pPr>
        <w:spacing w:after="0" w:line="53"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consumables and other research materials;</w:t>
      </w:r>
    </w:p>
    <w:p>
      <w:pPr>
        <w:spacing w:after="0" w:line="117" w:lineRule="exact"/>
        <w:rPr>
          <w:rFonts w:ascii="Times New Roman" w:cs="Times New Roman" w:eastAsia="Times New Roman" w:hAnsi="Times New Roman"/>
          <w:sz w:val="18"/>
          <w:szCs w:val="18"/>
          <w:color w:val="auto"/>
        </w:rPr>
      </w:pPr>
    </w:p>
    <w:p>
      <w:pPr>
        <w:ind w:left="1020" w:right="640" w:hanging="515"/>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related to research and development activities, which include direct or allocated expenses for rent and maintenance of facilities, and utilities;</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18" w:name="page19"/>
    <w:bookmarkEnd w:id="18"/>
    <w:p>
      <w:pPr>
        <w:ind w:left="1020" w:hanging="515"/>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11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We expense all research and development costs in the periods in which they are incurred. Costs for certain development activities are recognized based on our evaluation of the progress to completion of specific tasks using information and data provided to us by our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or collaboration agreements are accrued, with a corresponding expense being recognized, in the period in which the milestone is determined to be probable of achievement and the related amount is reasonably estimable.</w:t>
      </w:r>
    </w:p>
    <w:p>
      <w:pPr>
        <w:spacing w:after="0" w:line="6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direct research and development expenses relate to the development of TX45 and TX2100, as well as the nonclinical safety pharmacology and toxicology testing of our product candidates. Our external services expenses consist of the external costs and fees paid to consultants and other research laboratories in connection with our preclinical development and clinical development activities.</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Costs that are deployed across multiple internal programs, including programs aimed at the discovery and development of potential therapies for fibrotic and other diseases, and our platform technology and are not directly attributable to any single program are not allocated to any single program and, as such, are not separately classified. These costs include multi-program employee-related costs, cross-program payments made under third-party licensing agreements, costs of laboratory supplies and facilities expenses, including rent, depreciation and other indirect costs, the costs of our discovery efforts and projects, and other expenses.</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w:t>
      </w:r>
    </w:p>
    <w:p>
      <w:pPr>
        <w:spacing w:after="0" w:line="86" w:lineRule="exact"/>
        <w:rPr>
          <w:sz w:val="20"/>
          <w:szCs w:val="20"/>
          <w:color w:val="auto"/>
        </w:rPr>
      </w:pPr>
    </w:p>
    <w:p>
      <w:pPr>
        <w:ind w:left="1020" w:hanging="515"/>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development;</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 including based on the number of doses that patients received;</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trial;</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117" w:lineRule="exact"/>
        <w:rPr>
          <w:rFonts w:ascii="Times New Roman" w:cs="Times New Roman" w:eastAsia="Times New Roman" w:hAnsi="Times New Roman"/>
          <w:sz w:val="18"/>
          <w:szCs w:val="18"/>
          <w:color w:val="auto"/>
        </w:rPr>
      </w:pPr>
    </w:p>
    <w:p>
      <w:pPr>
        <w:ind w:left="1020" w:right="520" w:hanging="515"/>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our product candidates;</w:t>
      </w:r>
    </w:p>
    <w:p>
      <w:pPr>
        <w:spacing w:after="0" w:line="2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080" w:top="1093" w:right="399" w:bottom="1440" w:gutter="0" w:footer="0" w:header="0"/>
        </w:sectPr>
      </w:pPr>
    </w:p>
    <w:bookmarkStart w:id="19" w:name="page20"/>
    <w:bookmarkEnd w:id="19"/>
    <w:p>
      <w:pPr>
        <w:ind w:left="1020" w:right="400" w:hanging="515"/>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6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including salaries and bonuses, related benefits and stock-based compensation expense, for our personnel in executive, legal, accounting, human resources, information technology, and other administrative functions. General and administrative expenses also include legal fees relating to patents and corporate matters, professional fees paid for accounting, auditing, consulting and tax services, insurance, travel expenses, office and information technology costs, and facilities and utilities comprised of depreciation and other expenses.</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expect to incur increased accounting, audit, information technology, legal, regulatory, compliance, director and officer insurance, and investor and public relations expenses associated with operating as a public company. We also expect to incur additional intellectual property-related expenses as we file patent applications to protect innovations arising from our research and development activities.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Issuance of SAFE Liabilities and Change in Fair Value of SAFE Liabilities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October and December 2023, Legacy Tectonic issued SAFEs for proceeds of $34.1 million. The SAFEs were recorded as liabilities in the condensed consolidated balance sheets at their fair value on the issuance dates. Until redemption on June 20, 2024, the SAFEs were measured at a fair value on a recurring basis, with subsequent changes in fair value recorded in other income and expenses on the consolidated statement of operations and comprehensive loss.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on money market funds, which are included in cash and cash equivalents in the condensed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recorded a tax expense of approximately $0.9 million related to the dissolution of its wholly owned Australian subsidiary, Tectonic Therapeutic Pty Ltd. This entity is being dissolved as part of a broader corporate initiative intended to streamline operations and reduce administrative costs. The dissolution triggered a taxable event under Australian tax law due to the deemed disposition of certain assets at fair market value. As a result, the Company recognized a tax liability based on the difference between the carrying amount of these assets for financial reporting purposes and their tax basis. The dissolution does not have a significant impact on the Company’s effective tax rate for the period, but it did result in a discrete item within the quarter. The Company does not expect material ongoing tax consequences from this dissolution.</w:t>
      </w:r>
    </w:p>
    <w:p>
      <w:pPr>
        <w:spacing w:after="0" w:line="200" w:lineRule="exact"/>
        <w:rPr>
          <w:sz w:val="20"/>
          <w:szCs w:val="20"/>
          <w:color w:val="auto"/>
        </w:rPr>
      </w:pPr>
    </w:p>
    <w:p>
      <w:pPr>
        <w:spacing w:after="0" w:line="31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2025 and 2024:</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3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2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17,185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7,074</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10,111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5,147</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4,347</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22,332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11,421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10,911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Change in fair value of the SAFE liabilities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1,535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3,071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3,324</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4,574</w:t>
            </w: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-1302385</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-1302385</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5754370</wp:posOffset>
            </wp:positionH>
            <wp:positionV relativeFrom="paragraph">
              <wp:posOffset>-1302385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-1010920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-1010920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5754370</wp:posOffset>
            </wp:positionH>
            <wp:positionV relativeFrom="paragraph">
              <wp:posOffset>-1010920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-170815</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-170815</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5754370</wp:posOffset>
            </wp:positionH>
            <wp:positionV relativeFrom="paragraph">
              <wp:posOffset>-170815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June 30, 2025 and 2024:</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32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2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TX45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5,587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1,395</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4,192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TX2100</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4,906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4,419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Platform development and unallocated expenses: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Employee-related expenses, including stock-based compensation</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4,316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2,763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1,553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External services</w:t>
            </w:r>
          </w:p>
        </w:tc>
        <w:tc>
          <w:tcPr>
            <w:tcW w:w="14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Lab supplies and related expenses</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Facility related and other expenses, including depreciation</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platform development and unallocated expenses</w:t>
            </w: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6,692</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5,192</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17,185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7,074</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10,111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-170815</wp:posOffset>
            </wp:positionV>
            <wp:extent cx="768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-170815</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5754370</wp:posOffset>
            </wp:positionH>
            <wp:positionV relativeFrom="paragraph">
              <wp:posOffset>-170815</wp:posOffset>
            </wp:positionV>
            <wp:extent cx="603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research and development expenses increased $10.1 million for the three months ended June 30, 2025, compared to the three months ended June 30, 2024. The increase in research and development expense was primarily the result of increased</w:t>
      </w:r>
    </w:p>
    <w:p>
      <w:pPr>
        <w:spacing w:after="0" w:line="37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89" w:right="339" w:bottom="1440" w:gutter="0" w:footer="0" w:header="0"/>
        </w:sectPr>
      </w:pPr>
    </w:p>
    <w:bookmarkStart w:id="21" w:name="page22"/>
    <w:bookmarkEnd w:id="21"/>
    <w:p>
      <w:pPr>
        <w:ind w:left="760" w:right="560"/>
        <w:spacing w:after="0" w:line="282" w:lineRule="auto"/>
        <w:rPr>
          <w:sz w:val="20"/>
          <w:szCs w:val="20"/>
          <w:color w:val="auto"/>
        </w:rPr>
      </w:pPr>
      <w:r>
        <w:rPr>
          <w:rFonts w:ascii="Times New Roman" w:cs="Times New Roman" w:eastAsia="Times New Roman" w:hAnsi="Times New Roman"/>
          <w:sz w:val="18"/>
          <w:szCs w:val="18"/>
          <w:color w:val="auto"/>
        </w:rPr>
        <w:t>CRO and CDMO costs related to the Phase 1b and Phase 2 clinical trials for TX-45 and the discovery, development and manufacturing of TX2100.</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June 30, 2025 and 2024:</w:t>
      </w:r>
    </w:p>
    <w:p>
      <w:pPr>
        <w:spacing w:after="0" w:line="219"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2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2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Employee-related expenses, including stock-based compensation</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2,948</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1,543</w:t>
            </w: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1,405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consulting expenses</w:t>
            </w:r>
          </w:p>
        </w:tc>
        <w:tc>
          <w:tcPr>
            <w:tcW w:w="16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2,475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Facility related and other expenses, including depreciation</w:t>
            </w: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5,147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4,347</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-170815</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768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596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94" w:lineRule="exact"/>
        <w:rPr>
          <w:sz w:val="20"/>
          <w:szCs w:val="20"/>
          <w:color w:val="auto"/>
        </w:rPr>
      </w:pPr>
    </w:p>
    <w:p>
      <w:pPr>
        <w:ind w:left="760" w:right="10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$0.8 million for the three months ended June 30, 2025 compared to the three months ended June 30, 2024. Employee-related expenses increased $1.4 million during the three months ended June 30, 2025 compared to the three months ended June 30, 2024. The increase in employee-related expenses was primarily due to an increase in stock-based compensation for newly granted stock-based awards. Professional and consulting fees decreased $0.6 million during the three months ended June 30, 2025 compared to the three months ended June 30, 2024 due to a decrease in expenses related to legal activities in the current period.</w:t>
      </w:r>
    </w:p>
    <w:p>
      <w:pPr>
        <w:spacing w:after="0" w:line="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760" w:right="280"/>
        <w:spacing w:after="0" w:line="282" w:lineRule="auto"/>
        <w:rPr>
          <w:sz w:val="20"/>
          <w:szCs w:val="20"/>
          <w:color w:val="auto"/>
        </w:rPr>
      </w:pPr>
      <w:r>
        <w:rPr>
          <w:rFonts w:ascii="Times New Roman" w:cs="Times New Roman" w:eastAsia="Times New Roman" w:hAnsi="Times New Roman"/>
          <w:sz w:val="18"/>
          <w:szCs w:val="18"/>
          <w:color w:val="auto"/>
        </w:rPr>
        <w:t>Interest income increased $3.1 million for the three months ended June 30, 2025 compared to the three months ended June 30, 2024 primarily due to an increase in cash and cash equivalents as a result of the Merger and Private Placement.</w:t>
      </w:r>
    </w:p>
    <w:p>
      <w:pPr>
        <w:spacing w:after="0" w:line="3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2025 and 2024:</w:t>
      </w:r>
    </w:p>
    <w:p>
      <w:pPr>
        <w:spacing w:after="0" w:line="1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3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2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30,221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17,892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12,329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9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10,409</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6,497</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40,630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24,389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16,241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(40,630)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 of the SAFE liabilities</w:t>
            </w: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3,610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5,259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w:t>
            </w:r>
          </w:p>
        </w:tc>
        <w:tc>
          <w:tcPr>
            <w:tcW w:w="1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3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5,716</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9,219</w:t>
            </w: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3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-2211070</wp:posOffset>
            </wp:positionV>
            <wp:extent cx="768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-2211070</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-2211070</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-1919605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-1919605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-1919605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-1079500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-1079500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-1079500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six months ended June 30, 2025 and 2024:</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32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2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TX45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9,880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6,150</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3,730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TX2100</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7,150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6,402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Platform development and unallocated expenses: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Employee-related expenses, including stock-based compensation</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5,966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2,434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External services</w:t>
            </w:r>
          </w:p>
        </w:tc>
        <w:tc>
          <w:tcPr>
            <w:tcW w:w="20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Lab supplies and related expenses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1,929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2,182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Facility related and other expenses, including depreciation</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2,417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2,171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53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platform development and unallocated expenses</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13,191</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10,994</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30,221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17,892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12,329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-170815</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-170815</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5754370</wp:posOffset>
            </wp:positionH>
            <wp:positionV relativeFrom="paragraph">
              <wp:posOffset>-170815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Total research and development expenses increased $12.3 million for the six months ended June 30, 2025, compared to the six months ended June 30, 2024. The increase in research and development expense was primarily the result of increased CRO and CDMO costs related to the Phase 1b and Phase 2 clinical trials for TX-45 and the discovery, development and manufacturing of TX2100. Employee-related expenses increased $2.4 million during the six months ended June 30, 2025 compared to the six months ended June 30, 2024. The increase in employee-related expenses was primarily due to an increase in stock-based compensation for newly granted stock-based awards.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six months ended June 30, 2025 and 2024:</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2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2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Employee-related expenses, including stock-based compensation</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5,468</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2,789</w:t>
            </w: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2,679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consulting expenses</w:t>
            </w:r>
          </w:p>
        </w:tc>
        <w:tc>
          <w:tcPr>
            <w:tcW w:w="200" w:type="dxa"/>
            <w:vAlign w:val="bottom"/>
          </w:tcPr>
          <w:p>
            <w:pPr>
              <w:spacing w:after="0"/>
              <w:rPr>
                <w:sz w:val="18"/>
                <w:szCs w:val="18"/>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4,157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2,774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1,383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Facility related and other expenses, including depreciation</w:t>
            </w: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10,409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6,497</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3,912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-170815</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-170815</wp:posOffset>
            </wp:positionV>
            <wp:extent cx="768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5788660</wp:posOffset>
            </wp:positionH>
            <wp:positionV relativeFrom="paragraph">
              <wp:posOffset>-170815</wp:posOffset>
            </wp:positionV>
            <wp:extent cx="596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jc w:val="both"/>
        <w:ind w:right="120"/>
        <w:spacing w:after="0" w:line="276" w:lineRule="auto"/>
        <w:rPr>
          <w:sz w:val="20"/>
          <w:szCs w:val="20"/>
          <w:color w:val="auto"/>
        </w:rPr>
      </w:pPr>
      <w:r>
        <w:rPr>
          <w:rFonts w:ascii="Times New Roman" w:cs="Times New Roman" w:eastAsia="Times New Roman" w:hAnsi="Times New Roman"/>
          <w:sz w:val="17"/>
          <w:szCs w:val="17"/>
          <w:color w:val="auto"/>
        </w:rPr>
        <w:t>General and administrative expenses increased $3.9 million for the six months ended June 30, 2025 compared to the six months ended June 30, 2024. Employee-related expenses increased $2.7 million during the six months ended June 30, 2025 compared to the six months ended June 30,</w:t>
      </w:r>
    </w:p>
    <w:p>
      <w:pPr>
        <w:spacing w:after="0" w:line="1"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2024. The increase in employee-related expenses was primarily due to an increase in stock-based compensation for newly granted stock-based awards. Professional and consulting fees increased $1.4 million during the six months ended June 30, 2025 compared to the six months ended June 30, 2024 due to an increase in audit, legal and administrative services to support our operations as a public company.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income increased $5.3 million for the six months ended June 30, 2025 compared to the six months ended June 30, 2024 primarily due to an increase in cash and cash equivalents as a result of the Merger and Private Placement.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expect to incur significant expenses and operating losses for the foreseeable future as we advance the preclinical and clinical development of our research programs and product candidates. We expect that our research and development and general and administrative costs will increase in connection with conducting additional preclinical studies and clinical trials for our current and future research programs and product candidates, contracting with CDMOs to support preclinical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8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We do not currently have any approved products and have never generated any revenue from product sales. We have funded our operations with proceeds from the sale of convertible preferred stock, the issuance of convertible promissory notes, the Merger, and sale of common stock. In February 2025, we sold shares of our common stock in the Private Placement. The net proceeds from the Private Placement were approximately $173.1 million. As of June 30, 2025, we had $287.4 million in cash and cash equivalents and an accumulated deficit of $184.5 million. Based on our current business plans, management believes that our cash and cash equivalents on hand at June 30, 2025 are sufficient to meet our operating requirements for at least the next 12 months from the issuance of the consolidated financial statements included in this Quarterly Report. We have based this estimate on assumptions that may prove to be wrong, and we could exhaust our capital resources sooner than we expect.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six months ended June 30, 2025 and 2024:</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gridSpan w:val="3"/>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(27,802)</w:t>
            </w:r>
          </w:p>
        </w:tc>
        <w:tc>
          <w:tcPr>
            <w:tcW w:w="62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(22,655)</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173,953</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179,070</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1"/>
        </w:trPr>
        <w:tc>
          <w:tcPr>
            <w:tcW w:w="5800" w:type="dxa"/>
            <w:vAlign w:val="bottom"/>
            <w:shd w:val="clear" w:color="auto" w:fill="CFF0FC"/>
          </w:tcPr>
          <w:p>
            <w:pPr>
              <w:ind w:left="140"/>
              <w:spacing w:after="0" w:line="191" w:lineRule="exact"/>
              <w:rPr>
                <w:sz w:val="20"/>
                <w:szCs w:val="20"/>
                <w:color w:val="auto"/>
              </w:rPr>
            </w:pPr>
            <w:r>
              <w:rPr>
                <w:rFonts w:ascii="Times New Roman" w:cs="Times New Roman" w:eastAsia="Times New Roman" w:hAnsi="Times New Roman"/>
                <w:sz w:val="18"/>
                <w:szCs w:val="18"/>
                <w:color w:val="auto"/>
              </w:rPr>
              <w:t>Net increase in cash, cash equivalents and</w:t>
            </w:r>
          </w:p>
        </w:tc>
        <w:tc>
          <w:tcPr>
            <w:tcW w:w="1380" w:type="dxa"/>
            <w:vAlign w:val="bottom"/>
            <w:vMerge w:val="restart"/>
            <w:shd w:val="clear" w:color="auto" w:fill="CFF0FC"/>
          </w:tcPr>
          <w:p>
            <w:pPr>
              <w:spacing w:after="0"/>
              <w:rPr>
                <w:sz w:val="16"/>
                <w:szCs w:val="16"/>
                <w:color w:val="auto"/>
              </w:rPr>
            </w:pPr>
          </w:p>
        </w:tc>
        <w:tc>
          <w:tcPr>
            <w:tcW w:w="340" w:type="dxa"/>
            <w:vAlign w:val="bottom"/>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146,142</w:t>
            </w:r>
          </w:p>
        </w:tc>
        <w:tc>
          <w:tcPr>
            <w:tcW w:w="160" w:type="dxa"/>
            <w:vAlign w:val="bottom"/>
            <w:vMerge w:val="restart"/>
            <w:shd w:val="clear" w:color="auto" w:fill="CFF0FC"/>
          </w:tcPr>
          <w:p>
            <w:pPr>
              <w:spacing w:after="0"/>
              <w:rPr>
                <w:sz w:val="16"/>
                <w:szCs w:val="16"/>
                <w:color w:val="auto"/>
              </w:rPr>
            </w:pPr>
          </w:p>
        </w:tc>
        <w:tc>
          <w:tcPr>
            <w:tcW w:w="460" w:type="dxa"/>
            <w:vAlign w:val="bottom"/>
            <w:vMerge w:val="restart"/>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156,355</w:t>
            </w:r>
          </w:p>
        </w:tc>
        <w:tc>
          <w:tcPr>
            <w:tcW w:w="0" w:type="dxa"/>
            <w:vAlign w:val="bottom"/>
          </w:tcPr>
          <w:p>
            <w:pPr>
              <w:spacing w:after="0"/>
              <w:rPr>
                <w:sz w:val="1"/>
                <w:szCs w:val="1"/>
                <w:color w:val="auto"/>
              </w:rPr>
            </w:pPr>
          </w:p>
        </w:tc>
      </w:tr>
      <w:tr>
        <w:trPr>
          <w:trHeight w:val="234"/>
        </w:trPr>
        <w:tc>
          <w:tcPr>
            <w:tcW w:w="5800" w:type="dxa"/>
            <w:vAlign w:val="bottom"/>
            <w:tcBorders>
              <w:bottom w:val="single" w:sz="8" w:color="CFF0FC"/>
            </w:tcBorders>
            <w:shd w:val="clear" w:color="auto" w:fill="CFF0FC"/>
          </w:tcPr>
          <w:p>
            <w:pPr>
              <w:ind w:left="260"/>
              <w:spacing w:after="0" w:line="194" w:lineRule="exact"/>
              <w:rPr>
                <w:sz w:val="20"/>
                <w:szCs w:val="20"/>
                <w:color w:val="auto"/>
              </w:rPr>
            </w:pPr>
            <w:r>
              <w:rPr>
                <w:rFonts w:ascii="Times New Roman" w:cs="Times New Roman" w:eastAsia="Times New Roman" w:hAnsi="Times New Roman"/>
                <w:sz w:val="18"/>
                <w:szCs w:val="18"/>
                <w:color w:val="auto"/>
              </w:rPr>
              <w:t>restricted cash</w:t>
            </w:r>
          </w:p>
        </w:tc>
        <w:tc>
          <w:tcPr>
            <w:tcW w:w="1380" w:type="dxa"/>
            <w:vAlign w:val="bottom"/>
            <w:tcBorders>
              <w:bottom w:val="single" w:sz="8" w:color="CFF0FC"/>
            </w:tcBorders>
            <w:vMerge w:val="continue"/>
            <w:shd w:val="clear" w:color="auto" w:fill="CFF0FC"/>
          </w:tcPr>
          <w:p>
            <w:pPr>
              <w:spacing w:after="0"/>
              <w:rPr>
                <w:sz w:val="20"/>
                <w:szCs w:val="20"/>
                <w:color w:val="auto"/>
              </w:rPr>
            </w:pPr>
          </w:p>
        </w:tc>
        <w:tc>
          <w:tcPr>
            <w:tcW w:w="340" w:type="dxa"/>
            <w:vAlign w:val="bottom"/>
            <w:tcBorders>
              <w:bottom w:val="single" w:sz="8" w:color="auto"/>
            </w:tcBorders>
            <w:vMerge w:val="continue"/>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vMerge w:val="continue"/>
            <w:shd w:val="clear" w:color="auto" w:fill="CFF0FC"/>
          </w:tcPr>
          <w:p>
            <w:pPr>
              <w:spacing w:after="0"/>
              <w:rPr>
                <w:sz w:val="20"/>
                <w:szCs w:val="20"/>
                <w:color w:val="auto"/>
              </w:rPr>
            </w:pPr>
          </w:p>
        </w:tc>
        <w:tc>
          <w:tcPr>
            <w:tcW w:w="460" w:type="dxa"/>
            <w:vAlign w:val="bottom"/>
            <w:tcBorders>
              <w:bottom w:val="single" w:sz="8" w:color="auto"/>
            </w:tcBorders>
            <w:vMerge w:val="continue"/>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5565775</wp:posOffset>
            </wp:positionH>
            <wp:positionV relativeFrom="paragraph">
              <wp:posOffset>-24765</wp:posOffset>
            </wp:positionV>
            <wp:extent cx="1028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-7620</wp:posOffset>
            </wp:positionV>
            <wp:extent cx="1028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cash used in operating activities was $27.8 million. Cash used in operating activities was primarily used to fund our operations to develop our product candidates resulting in a net loss of $35.9 million partially offset by non-cash charges of $6.5 million and $1.6 million of changes in operating assets and liabilities related to the timing of the vendor payments.</w:t>
      </w:r>
    </w:p>
    <w:p>
      <w:pPr>
        <w:spacing w:after="0" w:line="6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cash used in operating activities was $22.7 million. Cash used in operating activities was primarily used to fund our operations to develop our product candidates resulting in a net loss of $27.9 million, and changes in our operating assets and liabilities of $0.4 million, partially offset by non-cash charges of $5.6 million related to the change in the fair value of the SAFE liabilities, depreciation and amortization expense, stock-based compensation expense, and lease expense. The increase in operating assets and liabilities relates to accrued expenses, timing of vendor payments, and timing of lease repayments.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and 2024, net cash provided by investing activities was nominal and related to the purchase and sale of property and equipment.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net cash provided by financing activities was $174.0 million, primarily due to net proceeds of $173.1 million from the sale of shares pursuant to the Private Placement and $1.2 million in proceeds from the exercise of stock options.</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2024 was $179.1 million, primarily due to net proceeds of $94.6 million from the sale of shares pursuant to the Subscription Agreement, $84.1 million of cash acquired in connection with the Merger, net of transaction costs, and $0.6 million in proceeds from the exercise of stock options.</w:t>
      </w:r>
    </w:p>
    <w:p>
      <w:pPr>
        <w:spacing w:after="0" w:line="2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8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continue or initiate clinical trials of, and seek marketing approval for, our product candidates including our lead product candidates TX45 and TX2100. In addition, if we obtain marketing approval for TX45, TX2100 or any of our other product candidates, we expect to incur significant commercialization expenses related to program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expect our existing cash and cash equivalents will enable us to fund our operating expenses and capital expenditure requirements for at least the next twelve months. Our future capital requirements will depend on many factors, including:</w:t>
      </w:r>
    </w:p>
    <w:p>
      <w:pPr>
        <w:spacing w:after="0" w:line="54" w:lineRule="exact"/>
        <w:rPr>
          <w:sz w:val="20"/>
          <w:szCs w:val="20"/>
          <w:color w:val="auto"/>
        </w:rPr>
      </w:pPr>
    </w:p>
    <w:p>
      <w:pPr>
        <w:ind w:left="1020" w:hanging="515"/>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product discovery,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additional capital on a timely basis and on favorable terms;</w:t>
      </w:r>
    </w:p>
    <w:p>
      <w:pPr>
        <w:spacing w:after="0" w:line="117" w:lineRule="exact"/>
        <w:rPr>
          <w:rFonts w:ascii="Times New Roman" w:cs="Times New Roman" w:eastAsia="Times New Roman" w:hAnsi="Times New Roman"/>
          <w:sz w:val="18"/>
          <w:szCs w:val="18"/>
          <w:color w:val="auto"/>
        </w:rPr>
      </w:pPr>
    </w:p>
    <w:p>
      <w:pPr>
        <w:ind w:left="1020" w:right="380" w:hanging="515"/>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right="260" w:hanging="515"/>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the license agreements and any other collaboration agreements we enter into;</w:t>
      </w:r>
    </w:p>
    <w:p>
      <w:pPr>
        <w:spacing w:after="0" w:line="53" w:lineRule="exact"/>
        <w:rPr>
          <w:rFonts w:ascii="Times New Roman" w:cs="Times New Roman" w:eastAsia="Times New Roman" w:hAnsi="Times New Roman"/>
          <w:sz w:val="18"/>
          <w:szCs w:val="18"/>
          <w:color w:val="auto"/>
        </w:rPr>
      </w:pPr>
    </w:p>
    <w:p>
      <w:pPr>
        <w:ind w:left="1020" w:right="760" w:hanging="515"/>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collaboration agreements, if any;</w:t>
      </w:r>
    </w:p>
    <w:p>
      <w:pPr>
        <w:spacing w:after="0" w:line="53" w:lineRule="exact"/>
        <w:rPr>
          <w:rFonts w:ascii="Times New Roman" w:cs="Times New Roman" w:eastAsia="Times New Roman" w:hAnsi="Times New Roman"/>
          <w:sz w:val="18"/>
          <w:szCs w:val="18"/>
          <w:color w:val="auto"/>
        </w:rPr>
      </w:pPr>
    </w:p>
    <w:p>
      <w:pPr>
        <w:ind w:left="1020" w:right="300" w:hanging="515"/>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publicly traded company;</w:t>
      </w:r>
    </w:p>
    <w:p>
      <w:pPr>
        <w:spacing w:after="0" w:line="117" w:lineRule="exact"/>
        <w:rPr>
          <w:rFonts w:ascii="Times New Roman" w:cs="Times New Roman" w:eastAsia="Times New Roman" w:hAnsi="Times New Roman"/>
          <w:sz w:val="18"/>
          <w:szCs w:val="18"/>
          <w:color w:val="auto"/>
        </w:rPr>
      </w:pPr>
    </w:p>
    <w:p>
      <w:pPr>
        <w:ind w:left="1020" w:right="40" w:hanging="515"/>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 and</w:t>
      </w:r>
    </w:p>
    <w:p>
      <w:pPr>
        <w:spacing w:after="0" w:line="53"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macroeconomic environment, including inflation and interest rates.</w:t>
      </w:r>
    </w:p>
    <w:p>
      <w:pPr>
        <w:spacing w:after="0" w:line="1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 Until such time, if ever, as we can generate substantial product revenues, we expect to finance our cash needs through a combination of equity offerings, debt financings, collaborations, strategic alliances and licensing arrangements. Debt financing, if available, may involve agreements that include covenants limiting or restricting our ability to take specific actions, such as incurring additional debt, making capital expenditures or declaring dividends.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incur additional costs associated with operating as a public company. In addition, we anticipate that we will</w:t>
      </w:r>
    </w:p>
    <w:p>
      <w:pPr>
        <w:spacing w:after="0" w:line="33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89" w:right="359" w:bottom="1440" w:gutter="0" w:footer="0" w:header="0"/>
        </w:sectPr>
      </w:pPr>
    </w:p>
    <w:bookmarkStart w:id="25" w:name="page26"/>
    <w:bookmarkEnd w:id="25"/>
    <w:p>
      <w:pPr>
        <w:ind w:right="100"/>
        <w:spacing w:after="0" w:line="266" w:lineRule="auto"/>
        <w:rPr>
          <w:sz w:val="20"/>
          <w:szCs w:val="20"/>
          <w:color w:val="auto"/>
        </w:rPr>
      </w:pPr>
      <w:r>
        <w:rPr>
          <w:rFonts w:ascii="Times New Roman" w:cs="Times New Roman" w:eastAsia="Times New Roman" w:hAnsi="Times New Roman"/>
          <w:sz w:val="18"/>
          <w:szCs w:val="18"/>
          <w:color w:val="auto"/>
        </w:rPr>
        <w:t>need substantial additional funding in connection with our continuing operations. Our projections of operating capital requirements are based on our current operating plan, which includes several assumptions that may prove to be incorrect and we may use all of our available capital resources sooner than we expect.</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currently have no ongoing material financing commitments, such as lines of credit or guarantees, that are expected to affect our liquidity over the next five years, other than our lease obligations.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&amp; Commitments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We have entered into license agreements under which we are obligated to make specified milestone and royalty payments. The payment obligations under these agreements are contingent upon future events, such as our achievement of specified development, regulatory, and sales milestones, or generating product sales. Generally, the timing or likelihood of achieving these milestones or generating future product sales are not determinable. For further details regarding our significant contracts, and the commitments and contractual obligations contained within each contract, please refer to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and to our consolidated financial statements included in this Quarterly Report, which is incorporated herein by reference.</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lease obligations including amounts due on leases of certain laboratory equipment and office and laboratory space under the terms of non-cancelable operating and finance leases. The leases expire at various times through 2027. Minimum lease payments as of June 30, 2025 are $1.5 million in 2025, $0.5 million in 2026, and $0.1 million in 2027. The commitment amounts are associated with contracts that are enforceable and legally binding and that specify all significant terms, including fixed or minimum services to be used, fixed, minimum or variable price provisions, and the approximate timing of the actions under the contracts. Such amounts do not include obligations under agreements that we can cancel without a significant penalty.</w:t>
      </w:r>
    </w:p>
    <w:p>
      <w:pPr>
        <w:spacing w:after="0" w:line="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we enter into agreements in the normal course of business with vendors for preclinical research studies, clinical trials and other services and products for operating purposes. These contracts do not contain any minimum purchase commitments and are generally cancelable upon written notice. Payments due upon cancellation consist only of payments for services provided and expenses incurred up to the date of cancellation.</w:t>
      </w:r>
    </w:p>
    <w:p>
      <w:pPr>
        <w:spacing w:after="0" w:line="1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760" w:right="60"/>
        <w:spacing w:after="0" w:line="277" w:lineRule="auto"/>
        <w:rPr>
          <w:sz w:val="20"/>
          <w:szCs w:val="20"/>
          <w:color w:val="auto"/>
        </w:rPr>
      </w:pPr>
      <w:r>
        <w:rPr>
          <w:rFonts w:ascii="Times New Roman" w:cs="Times New Roman" w:eastAsia="Times New Roman" w:hAnsi="Times New Roman"/>
          <w:sz w:val="17"/>
          <w:szCs w:val="17"/>
          <w:color w:val="auto"/>
        </w:rPr>
        <w:t>Our primary exposure to market risk is to market risk related to interest rate sensitivity, which is affected by changes in the general level of U.S. interest rates. As of June 30, 2025, we had cash and cash equivalents of $287.4 million, which consisted of cash and interest-bearing money market funds. As of June 30, 2025, we had an operating lease liability and a finance lease liability of $1.3 million and $0.6 million, respectively. Interest income and expenses are sensitive to changes in the general level of interest rates. However, due to the nature of these investments, an immediate 10% change in market interest rates would not have a material effect on the fair market value of our investment portfolio.</w:t>
      </w:r>
    </w:p>
    <w:p>
      <w:pPr>
        <w:spacing w:after="0" w:line="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21" w:lineRule="exact"/>
        <w:rPr>
          <w:sz w:val="20"/>
          <w:szCs w:val="20"/>
          <w:color w:val="auto"/>
        </w:rPr>
      </w:pPr>
    </w:p>
    <w:p>
      <w:pPr>
        <w:ind w:left="760"/>
        <w:spacing w:after="0" w:line="266"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left="76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79" w:lineRule="exact"/>
        <w:rPr>
          <w:sz w:val="20"/>
          <w:szCs w:val="20"/>
          <w:color w:val="auto"/>
        </w:rPr>
      </w:pPr>
    </w:p>
    <w:p>
      <w:pPr>
        <w:ind w:left="760" w:right="12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June 30, 2025, the end of the period covered by this Quarterly Report. Based on the evaluation of our disclosure controls and procedures as of June 30, 2025, our Chief Executive Officer and Chief Financial Officer concluded that, as of such date, our disclosure controls and procedures were effective at the reasonable assurance level.</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760" w:right="40"/>
        <w:spacing w:after="0" w:line="266" w:lineRule="auto"/>
        <w:rPr>
          <w:sz w:val="20"/>
          <w:szCs w:val="20"/>
          <w:color w:val="auto"/>
        </w:rPr>
      </w:pPr>
      <w:r>
        <w:rPr>
          <w:rFonts w:ascii="Times New Roman" w:cs="Times New Roman" w:eastAsia="Times New Roman" w:hAnsi="Times New Roman"/>
          <w:sz w:val="18"/>
          <w:szCs w:val="18"/>
          <w:color w:val="auto"/>
        </w:rPr>
        <w:t>There were no change in our internal control over financial reporting identified in connection with the evaluation required by Rule 13a-15(d) and 15d-15(d) of the Exchange Act that occurred during the period covered by this Quarterly Report that has materially affected, or is reasonably likely to materially affect, our internal control over financial reporting.</w:t>
      </w:r>
    </w:p>
    <w:p>
      <w:pPr>
        <w:spacing w:after="0" w:line="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ind w:left="760" w:right="160"/>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jc w:val="right"/>
        <w:ind w:right="269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760" w:right="20"/>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the Company's common stock involves a high degree of risk. Careful consideration should be given to the following risk factors, in addition to the other information set forth in this Quarterly Report and in other documents that were filed and will be filed with the SEC, in evaluating the Company and its business. Additional risks and uncertainties not presently known to or that are currently seen as immaterial may also harm Company's business. If any of these risks occur, business, growth prospects, operating results and financial condition could be materially and adversely affected, the trading price of the Company's common stock could decline, and investors could lose part or all of their investment.</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left="760" w:right="160"/>
        <w:spacing w:after="0" w:line="266" w:lineRule="auto"/>
        <w:rPr>
          <w:sz w:val="20"/>
          <w:szCs w:val="20"/>
          <w:color w:val="auto"/>
        </w:rPr>
      </w:pPr>
      <w:r>
        <w:rPr>
          <w:rFonts w:ascii="Times New Roman" w:cs="Times New Roman" w:eastAsia="Times New Roman" w:hAnsi="Times New Roman"/>
          <w:sz w:val="18"/>
          <w:szCs w:val="18"/>
          <w:color w:val="auto"/>
        </w:rPr>
        <w:t>The risk factors summarized below could materially and adversely affect our business, financial condition, operating results and prospects, and/or cause the price of our common stock to decline. These risks are discussed more fully below. Material risks that may affect our business, financial condition, results of operations, and trading price of our common stock including the following:</w:t>
      </w:r>
    </w:p>
    <w:p>
      <w:pPr>
        <w:spacing w:after="0" w:line="68" w:lineRule="exact"/>
        <w:rPr>
          <w:sz w:val="20"/>
          <w:szCs w:val="20"/>
          <w:color w:val="auto"/>
        </w:rPr>
      </w:pPr>
    </w:p>
    <w:p>
      <w:pPr>
        <w:ind w:left="1780" w:right="60" w:hanging="515"/>
        <w:spacing w:after="0" w:line="282"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net losses in every year since our inception, and expect to continue to incur net losses in the future.</w:t>
      </w:r>
    </w:p>
    <w:p>
      <w:pPr>
        <w:spacing w:after="0" w:line="53" w:lineRule="exact"/>
        <w:rPr>
          <w:rFonts w:ascii="Times New Roman" w:cs="Times New Roman" w:eastAsia="Times New Roman" w:hAnsi="Times New Roman"/>
          <w:sz w:val="18"/>
          <w:szCs w:val="18"/>
          <w:color w:val="auto"/>
        </w:rPr>
      </w:pPr>
    </w:p>
    <w:p>
      <w:pPr>
        <w:ind w:left="1780" w:right="140" w:hanging="515"/>
        <w:spacing w:after="0" w:line="266"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p>
    <w:p>
      <w:pPr>
        <w:spacing w:after="0" w:line="67" w:lineRule="exact"/>
        <w:rPr>
          <w:rFonts w:ascii="Times New Roman" w:cs="Times New Roman" w:eastAsia="Times New Roman" w:hAnsi="Times New Roman"/>
          <w:sz w:val="18"/>
          <w:szCs w:val="18"/>
          <w:color w:val="auto"/>
        </w:rPr>
      </w:pPr>
    </w:p>
    <w:p>
      <w:pPr>
        <w:ind w:left="1780" w:right="700" w:hanging="515"/>
        <w:spacing w:after="0" w:line="282"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therapeutic discovery and development and our GEODe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platform may never result in the regulatory approval of a product candidate.</w:t>
      </w:r>
    </w:p>
    <w:p>
      <w:pPr>
        <w:spacing w:after="0" w:line="53" w:lineRule="exact"/>
        <w:rPr>
          <w:rFonts w:ascii="Times New Roman" w:cs="Times New Roman" w:eastAsia="Times New Roman" w:hAnsi="Times New Roman"/>
          <w:sz w:val="18"/>
          <w:szCs w:val="18"/>
          <w:color w:val="auto"/>
        </w:rPr>
      </w:pPr>
    </w:p>
    <w:p>
      <w:pPr>
        <w:ind w:left="1780" w:right="80" w:hanging="515"/>
        <w:spacing w:after="0" w:line="289" w:lineRule="auto"/>
        <w:tabs>
          <w:tab w:leader="none" w:pos="17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product candidates are in discovery, preclinical or early clinical development.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w:t>
      </w:r>
    </w:p>
    <w:p>
      <w:pPr>
        <w:spacing w:after="0" w:line="49" w:lineRule="exact"/>
        <w:rPr>
          <w:rFonts w:ascii="Times New Roman" w:cs="Times New Roman" w:eastAsia="Times New Roman" w:hAnsi="Times New Roman"/>
          <w:sz w:val="17"/>
          <w:szCs w:val="17"/>
          <w:color w:val="auto"/>
        </w:rPr>
      </w:pPr>
    </w:p>
    <w:p>
      <w:pPr>
        <w:ind w:left="1780" w:hanging="515"/>
        <w:spacing w:after="0" w:line="312" w:lineRule="auto"/>
        <w:tabs>
          <w:tab w:leader="none" w:pos="17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clinical trials may fail to demonstrate substantial evidence of the safety, efficacy, purity and potency of our product candidates or any future product candidates, which would prevent or delay or limit the scope of regulatory approval and commercialization.</w:t>
      </w:r>
    </w:p>
    <w:p>
      <w:pPr>
        <w:spacing w:after="0" w:line="31" w:lineRule="exact"/>
        <w:rPr>
          <w:rFonts w:ascii="Times New Roman" w:cs="Times New Roman" w:eastAsia="Times New Roman" w:hAnsi="Times New Roman"/>
          <w:sz w:val="17"/>
          <w:szCs w:val="17"/>
          <w:color w:val="auto"/>
        </w:rPr>
      </w:pPr>
    </w:p>
    <w:p>
      <w:pPr>
        <w:ind w:left="1780" w:right="340" w:hanging="515"/>
        <w:spacing w:after="0" w:line="282"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commercialize any product candidate for which we receive regulatory approval, or experience significant delays in doing so, our business will be materially harmed.</w:t>
      </w:r>
    </w:p>
    <w:p>
      <w:pPr>
        <w:spacing w:after="0" w:line="53" w:lineRule="exact"/>
        <w:rPr>
          <w:rFonts w:ascii="Times New Roman" w:cs="Times New Roman" w:eastAsia="Times New Roman" w:hAnsi="Times New Roman"/>
          <w:sz w:val="18"/>
          <w:szCs w:val="18"/>
          <w:color w:val="auto"/>
        </w:rPr>
      </w:pPr>
    </w:p>
    <w:p>
      <w:pPr>
        <w:ind w:left="1780" w:right="260" w:hanging="515"/>
        <w:spacing w:after="0" w:line="282"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protect our intellectual property. It is difficult and costly to protect our proprietary rights and technology, and we may not be able to ensure their protection.</w:t>
      </w:r>
    </w:p>
    <w:p>
      <w:pPr>
        <w:spacing w:after="0" w:line="53" w:lineRule="exact"/>
        <w:rPr>
          <w:rFonts w:ascii="Times New Roman" w:cs="Times New Roman" w:eastAsia="Times New Roman" w:hAnsi="Times New Roman"/>
          <w:sz w:val="18"/>
          <w:szCs w:val="18"/>
          <w:color w:val="auto"/>
        </w:rPr>
      </w:pPr>
    </w:p>
    <w:p>
      <w:pPr>
        <w:ind w:left="1780" w:right="180" w:hanging="515"/>
        <w:spacing w:after="0" w:line="282"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intellectual property licensed from third parties and termination of any of these licenses could result in the loss of significant rights, which would harm our business.</w:t>
      </w:r>
    </w:p>
    <w:p>
      <w:pPr>
        <w:spacing w:after="0" w:line="53" w:lineRule="exact"/>
        <w:rPr>
          <w:rFonts w:ascii="Times New Roman" w:cs="Times New Roman" w:eastAsia="Times New Roman" w:hAnsi="Times New Roman"/>
          <w:sz w:val="18"/>
          <w:szCs w:val="18"/>
          <w:color w:val="auto"/>
        </w:rPr>
      </w:pPr>
    </w:p>
    <w:p>
      <w:pPr>
        <w:ind w:left="1780" w:right="200" w:hanging="515"/>
        <w:spacing w:after="0" w:line="266"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rely in the future on the use of manufacturing suites in third-party facilities or on third parties to manufacture TX45 and any other product candidates, and we may rely on third parties to produce and process our products, if approved.</w:t>
      </w:r>
    </w:p>
    <w:p>
      <w:pPr>
        <w:spacing w:after="0" w:line="67" w:lineRule="exact"/>
        <w:rPr>
          <w:rFonts w:ascii="Times New Roman" w:cs="Times New Roman" w:eastAsia="Times New Roman" w:hAnsi="Times New Roman"/>
          <w:sz w:val="18"/>
          <w:szCs w:val="18"/>
          <w:color w:val="auto"/>
        </w:rPr>
      </w:pPr>
    </w:p>
    <w:p>
      <w:pPr>
        <w:ind w:left="1780" w:right="1020" w:hanging="515"/>
        <w:spacing w:after="0" w:line="282"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if we are unable to use third-party manufacturing suites or if the third-party manufacturers encounter difficulties in production.</w:t>
      </w:r>
    </w:p>
    <w:p>
      <w:pPr>
        <w:spacing w:after="0" w:line="53" w:lineRule="exact"/>
        <w:rPr>
          <w:rFonts w:ascii="Times New Roman" w:cs="Times New Roman" w:eastAsia="Times New Roman" w:hAnsi="Times New Roman"/>
          <w:sz w:val="18"/>
          <w:szCs w:val="18"/>
          <w:color w:val="auto"/>
        </w:rPr>
      </w:pPr>
    </w:p>
    <w:p>
      <w:pPr>
        <w:ind w:left="1780" w:right="160" w:hanging="515"/>
        <w:spacing w:after="0" w:line="282"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 and our operating results will suffer if we fail to compete effectively.</w:t>
      </w:r>
    </w:p>
    <w:p>
      <w:pPr>
        <w:spacing w:after="0" w:line="53"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expected to be volatile, and the market price of the common stock may drop.</w:t>
      </w:r>
    </w:p>
    <w:p>
      <w:pPr>
        <w:spacing w:after="0" w:line="117" w:lineRule="exact"/>
        <w:rPr>
          <w:rFonts w:ascii="Times New Roman" w:cs="Times New Roman" w:eastAsia="Times New Roman" w:hAnsi="Times New Roman"/>
          <w:sz w:val="18"/>
          <w:szCs w:val="18"/>
          <w:color w:val="auto"/>
        </w:rPr>
      </w:pPr>
    </w:p>
    <w:p>
      <w:pPr>
        <w:ind w:left="1780" w:right="440" w:hanging="515"/>
        <w:spacing w:after="0" w:line="282"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management and other key personnel, we may be unable to continue to successfully develop or commercialize our product candidates or otherwise implement our business plan.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Cash Needs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incurred net losses in every year since our inception. We expect to continue to incur net losses in the future.</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 biotechnology company with a limited operating history. Since our inception in 2019, we have invested most of our resources in organizing and staffing our company, developing our technology and product candidates, building our intellectual property portfolio, conducting business planning, raising capital and providing general and administrative support for these operations. We also completed the Merger in June 2024 and have been operating under this structure for only a short time.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continue to incur significant research and clinical development and other expenses related to our ongoing operations. As a result, we are not profitable and have incurred losses in each period since our inception. For the three and six months ended June 30, 2025, we reported a net loss of $20.0 million and $35.9 million, respectively. As of June 30, 2025, we had an accumulated deficit of $184.5 million. We expect to continue to incur significant losses for the foreseeable future, and expect these losses to increase as we continue our research and development of, and seek regulatory approvals for, our lead product candidate, TX45, along with any future product candidates we may develop.</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117" w:lineRule="exact"/>
        <w:rPr>
          <w:sz w:val="20"/>
          <w:szCs w:val="20"/>
          <w:color w:val="auto"/>
        </w:rPr>
      </w:pPr>
    </w:p>
    <w:p>
      <w:pPr>
        <w:ind w:left="440" w:right="600" w:firstLine="6"/>
        <w:spacing w:after="0" w:line="282" w:lineRule="auto"/>
        <w:tabs>
          <w:tab w:leader="none" w:pos="7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clinical- and preclinical-stage product candidates and discovery-stage programs, including the continued development of our lead product candidate TX45;</w:t>
      </w:r>
    </w:p>
    <w:p>
      <w:pPr>
        <w:spacing w:after="0" w:line="53" w:lineRule="exact"/>
        <w:rPr>
          <w:rFonts w:ascii="Times New Roman" w:cs="Times New Roman" w:eastAsia="Times New Roman" w:hAnsi="Times New Roman"/>
          <w:sz w:val="18"/>
          <w:szCs w:val="18"/>
          <w:color w:val="auto"/>
        </w:rPr>
      </w:pPr>
    </w:p>
    <w:p>
      <w:pPr>
        <w:ind w:left="440" w:right="40" w:firstLine="6"/>
        <w:spacing w:after="0" w:line="282" w:lineRule="auto"/>
        <w:tabs>
          <w:tab w:leader="none" w:pos="7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amount of research and development activities to identify and develop product candidates using our proprietary discovery approach;</w:t>
      </w:r>
    </w:p>
    <w:p>
      <w:pPr>
        <w:spacing w:after="0" w:line="53" w:lineRule="exact"/>
        <w:rPr>
          <w:rFonts w:ascii="Times New Roman" w:cs="Times New Roman" w:eastAsia="Times New Roman" w:hAnsi="Times New Roman"/>
          <w:sz w:val="18"/>
          <w:szCs w:val="18"/>
          <w:color w:val="auto"/>
        </w:rPr>
      </w:pPr>
    </w:p>
    <w:p>
      <w:pPr>
        <w:ind w:left="780" w:hanging="334"/>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under in-license or collaboration agreements;</w:t>
      </w:r>
    </w:p>
    <w:p>
      <w:pPr>
        <w:spacing w:after="0" w:line="117" w:lineRule="exact"/>
        <w:rPr>
          <w:rFonts w:ascii="Times New Roman" w:cs="Times New Roman" w:eastAsia="Times New Roman" w:hAnsi="Times New Roman"/>
          <w:sz w:val="18"/>
          <w:szCs w:val="18"/>
          <w:color w:val="auto"/>
        </w:rPr>
      </w:pPr>
    </w:p>
    <w:p>
      <w:pPr>
        <w:ind w:left="780" w:hanging="334"/>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440" w:right="620" w:firstLine="6"/>
        <w:spacing w:after="0" w:line="282" w:lineRule="auto"/>
        <w:tabs>
          <w:tab w:leader="none" w:pos="7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53" w:lineRule="exact"/>
        <w:rPr>
          <w:rFonts w:ascii="Times New Roman" w:cs="Times New Roman" w:eastAsia="Times New Roman" w:hAnsi="Times New Roman"/>
          <w:sz w:val="18"/>
          <w:szCs w:val="18"/>
          <w:color w:val="auto"/>
        </w:rPr>
      </w:pPr>
    </w:p>
    <w:p>
      <w:pPr>
        <w:ind w:left="440" w:right="400" w:firstLine="6"/>
        <w:spacing w:after="0" w:line="282" w:lineRule="auto"/>
        <w:tabs>
          <w:tab w:leader="none" w:pos="7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medical affairs and distribution infrastructure to commercialize any products for which we may obtain marketing approval and intend to commercialize on our own or jointly with third parties;</w:t>
      </w:r>
    </w:p>
    <w:p>
      <w:pPr>
        <w:spacing w:after="0" w:line="53" w:lineRule="exact"/>
        <w:rPr>
          <w:rFonts w:ascii="Times New Roman" w:cs="Times New Roman" w:eastAsia="Times New Roman" w:hAnsi="Times New Roman"/>
          <w:sz w:val="18"/>
          <w:szCs w:val="18"/>
          <w:color w:val="auto"/>
        </w:rPr>
      </w:pPr>
    </w:p>
    <w:p>
      <w:pPr>
        <w:ind w:left="780" w:hanging="334"/>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or in-license other technologies; and</w:t>
      </w:r>
    </w:p>
    <w:p>
      <w:pPr>
        <w:spacing w:after="0" w:line="117" w:lineRule="exact"/>
        <w:rPr>
          <w:rFonts w:ascii="Times New Roman" w:cs="Times New Roman" w:eastAsia="Times New Roman" w:hAnsi="Times New Roman"/>
          <w:sz w:val="18"/>
          <w:szCs w:val="18"/>
          <w:color w:val="auto"/>
        </w:rPr>
      </w:pPr>
    </w:p>
    <w:p>
      <w:pPr>
        <w:ind w:left="440" w:right="460" w:firstLine="6"/>
        <w:spacing w:after="0" w:line="282" w:lineRule="auto"/>
        <w:tabs>
          <w:tab w:leader="none" w:pos="7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manufacturing challenges, safety issues or other regulatory challenges.</w:t>
      </w:r>
    </w:p>
    <w:p>
      <w:pPr>
        <w:spacing w:after="0" w:line="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our collaborators and any potential future collaborators must develop and eventually commercialize products with significant market potential. This will require us to be successful in a range of challenging activities, including completing preclinical studies and clinical trials, producing biologics with contract manufacturing development organizations (“CDMOs”) in the United States and in other countries,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research and development efforts, expand our business or continue our operations.</w:t>
      </w:r>
    </w:p>
    <w:p>
      <w:pPr>
        <w:spacing w:after="0" w:line="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1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7" w:right="339" w:bottom="1440" w:gutter="0" w:footer="0" w:header="0"/>
        </w:sectPr>
      </w:pPr>
    </w:p>
    <w:bookmarkStart w:id="31" w:name="page32"/>
    <w:bookmarkEnd w:id="31"/>
    <w:p>
      <w:pPr>
        <w:ind w:right="7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To date, we have financed our operations primarily through the sale and issuance of common stock, convertible preferred stock, convertible promissory notes and the issuance of SAFEs. We expect our expenses to increase in connection with our ongoing activities, particularly as we continue our Phase 1b and Phase 2 clinical trials of TX45, including the Phase 2 PH-ILD clinical trial, pursue manufacturing activities for our HHT product candidate, TX2100, and initiate health authority and/or IND enabling safety studies and continue to research, develop and initiate clinical trials of any other future product candidates. In addition, if we successfully complete development through Phase 3 and obtain regulatory approval for any of our product candidates, we expect to incur significant commercialization expenses related to product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product development programs or any future commercialization efforts.</w:t>
      </w:r>
    </w:p>
    <w:p>
      <w:pPr>
        <w:spacing w:after="0" w:line="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June 30, 2025, we had $287.4 million in cash and cash equivalents. Although we believe that our available cash and cash equivalents will be sufficient to fund our planned operations for at least 12 months following the date of our consolidated financial statements included in this Quarterly Report, this belief is based on assumptions that may prove to be wrong, and we could use our available capital resources sooner than we currently expect.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capital requirements for TX45 or our preclinical programs will depend on many factors, including:</w:t>
      </w:r>
    </w:p>
    <w:p>
      <w:pPr>
        <w:spacing w:after="0" w:line="117" w:lineRule="exact"/>
        <w:rPr>
          <w:sz w:val="20"/>
          <w:szCs w:val="20"/>
          <w:color w:val="auto"/>
        </w:rPr>
      </w:pPr>
    </w:p>
    <w:p>
      <w:pPr>
        <w:ind w:left="960" w:right="40" w:hanging="514"/>
        <w:spacing w:after="0" w:line="266"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completion of preclinical studies and clinical trials for our current or any future product candidates, as well as the associated costs, including any unforeseen costs we may incur as a result of preclinical study or clinical trial delays due to disease outbreaks, epidemics and pandemics or other causes;</w:t>
      </w:r>
    </w:p>
    <w:p>
      <w:pPr>
        <w:spacing w:after="0" w:line="67" w:lineRule="exact"/>
        <w:rPr>
          <w:rFonts w:ascii="Times New Roman" w:cs="Times New Roman" w:eastAsia="Times New Roman" w:hAnsi="Times New Roman"/>
          <w:sz w:val="18"/>
          <w:szCs w:val="18"/>
          <w:color w:val="auto"/>
        </w:rPr>
      </w:pPr>
    </w:p>
    <w:p>
      <w:pPr>
        <w:ind w:left="960" w:right="500" w:hanging="51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and royalty payments we are required to make or are eligible to receive under our license agreements with Harvard and other license agreements, as applicable;</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potential new product candidates we identify and decide to develop;</w:t>
      </w:r>
    </w:p>
    <w:p>
      <w:pPr>
        <w:spacing w:after="0" w:line="117" w:lineRule="exact"/>
        <w:rPr>
          <w:rFonts w:ascii="Times New Roman" w:cs="Times New Roman" w:eastAsia="Times New Roman" w:hAnsi="Times New Roman"/>
          <w:sz w:val="18"/>
          <w:szCs w:val="18"/>
          <w:color w:val="auto"/>
        </w:rPr>
      </w:pPr>
    </w:p>
    <w:p>
      <w:pPr>
        <w:ind w:left="960" w:right="160" w:hanging="51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additional or expanded pre-clinical studies and clinical trials beyond those that we plan to conduct with respect to our current and future product candidates;</w:t>
      </w:r>
    </w:p>
    <w:p>
      <w:pPr>
        <w:spacing w:after="0" w:line="53" w:lineRule="exact"/>
        <w:rPr>
          <w:rFonts w:ascii="Times New Roman" w:cs="Times New Roman" w:eastAsia="Times New Roman" w:hAnsi="Times New Roman"/>
          <w:sz w:val="18"/>
          <w:szCs w:val="18"/>
          <w:color w:val="auto"/>
        </w:rPr>
      </w:pPr>
    </w:p>
    <w:p>
      <w:pPr>
        <w:ind w:left="960" w:right="1060" w:hanging="51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the organization to the size needed to allow for the research, development and potential commercialization of our current or any future product candidates;</w:t>
      </w:r>
    </w:p>
    <w:p>
      <w:pPr>
        <w:spacing w:after="0" w:line="53" w:lineRule="exact"/>
        <w:rPr>
          <w:rFonts w:ascii="Times New Roman" w:cs="Times New Roman" w:eastAsia="Times New Roman" w:hAnsi="Times New Roman"/>
          <w:sz w:val="18"/>
          <w:szCs w:val="18"/>
          <w:color w:val="auto"/>
        </w:rPr>
      </w:pPr>
    </w:p>
    <w:p>
      <w:pPr>
        <w:ind w:left="960" w:right="60" w:hanging="51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patent applications, maintaining and enforcing patents or defending against infringement or other claims raised by third parties;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our existing license and collaboration agreements and the entry into new license and collaboration agreements;</w:t>
      </w:r>
    </w:p>
    <w:p>
      <w:pPr>
        <w:spacing w:after="0" w:line="117" w:lineRule="exact"/>
        <w:rPr>
          <w:rFonts w:ascii="Times New Roman" w:cs="Times New Roman" w:eastAsia="Times New Roman" w:hAnsi="Times New Roman"/>
          <w:sz w:val="18"/>
          <w:szCs w:val="18"/>
          <w:color w:val="auto"/>
        </w:rPr>
      </w:pPr>
    </w:p>
    <w:p>
      <w:pPr>
        <w:ind w:left="960" w:hanging="51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 for our product candidates and any delays we may encounter as a result of evolving regulatory requirements or adverse results with respect to any of our product candidates;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outsourced manufacturing activities;</w:t>
      </w:r>
    </w:p>
    <w:p>
      <w:pPr>
        <w:spacing w:after="0" w:line="117" w:lineRule="exact"/>
        <w:rPr>
          <w:rFonts w:ascii="Times New Roman" w:cs="Times New Roman" w:eastAsia="Times New Roman" w:hAnsi="Times New Roman"/>
          <w:sz w:val="18"/>
          <w:szCs w:val="18"/>
          <w:color w:val="auto"/>
        </w:rPr>
      </w:pPr>
    </w:p>
    <w:p>
      <w:pPr>
        <w:ind w:left="960" w:right="740" w:hanging="51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53" w:lineRule="exact"/>
        <w:rPr>
          <w:rFonts w:ascii="Times New Roman" w:cs="Times New Roman" w:eastAsia="Times New Roman" w:hAnsi="Times New Roman"/>
          <w:sz w:val="18"/>
          <w:szCs w:val="18"/>
          <w:color w:val="auto"/>
        </w:rPr>
      </w:pPr>
    </w:p>
    <w:p>
      <w:pPr>
        <w:ind w:left="960" w:right="280" w:hanging="51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if any, we may derive either directly or in the form of royalty payments from future sales of our product candidates, if approved; and</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117"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or royalty financings, collaborations, strategic alliances, licensing arrangements and other marketing or distribution arrangements.</w:t>
      </w:r>
    </w:p>
    <w:p>
      <w:pPr>
        <w:spacing w:after="0" w:line="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ability to raise additional funds will depend on financial, economic and market conditions and other factors, over which we may have no or limited control. Market volatility resulting from geopolitical and economic instability, including the</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7" w:right="339" w:bottom="1440" w:gutter="0" w:footer="0" w:header="0"/>
        </w:sectPr>
      </w:pPr>
    </w:p>
    <w:bookmarkStart w:id="32" w:name="page33"/>
    <w:bookmarkEnd w:id="32"/>
    <w:p>
      <w:pPr>
        <w:spacing w:after="0" w:line="261" w:lineRule="auto"/>
        <w:rPr>
          <w:sz w:val="20"/>
          <w:szCs w:val="20"/>
          <w:color w:val="auto"/>
        </w:rPr>
      </w:pPr>
      <w:r>
        <w:rPr>
          <w:rFonts w:ascii="Times New Roman" w:cs="Times New Roman" w:eastAsia="Times New Roman" w:hAnsi="Times New Roman"/>
          <w:sz w:val="18"/>
          <w:szCs w:val="18"/>
          <w:color w:val="auto"/>
        </w:rPr>
        <w:t>conflicts between Russia and Ukraine and in the Middle East, current international trade and regulatory environment uncertainty or other factors could also adversely impact our ability to access capital as and when needed.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will cause dilution to our stockholders, and may restrict our operations, or require us to relinquish rights to our product candidates.</w:t>
      </w:r>
    </w:p>
    <w:p>
      <w:pPr>
        <w:spacing w:after="0" w:line="51"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Until such time, if ever, as we can generate substantial product revenue, we expect to finance our cash needs through equity, debt or royalty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the ownership interest of our current stockholders will be diluted, and the terms of these securities may include liquidation or other preferences. Debt and equity financings, if available, may involve agreements that include covenants limiting or restricting our ability to take specific actions, such as redeeming shares, making investments, incurring additional debt, making capital expenditures, declaring dividends or placing limitations on our ability to acquire, sell or license intellectual property rights.</w:t>
      </w:r>
    </w:p>
    <w:p>
      <w:pPr>
        <w:spacing w:after="0" w:line="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currently have an effective shelf registration statement on Form S-3 filed with the SEC, which we may use to offer from time to time any combination of debt securities, common stock, preferred stock and warrants up to an aggregate amount of $400 million. Of this amount, we have the ability to sell up to $100 million of additional shares of our common stock to the public through an “at the market offering” pursuant to a sales agreement that we entered into with TD Securities (USA) LLC on July 7, 2025. Any shares of common stock issued in the “at the market offering” will result in dilution to our existing stockholders.</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Regulatory Approval of Our Product Candidates</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therapeutic discovery and development and our GEODe</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8"/>
          <w:szCs w:val="18"/>
          <w:b w:val="1"/>
          <w:bCs w:val="1"/>
          <w:i w:val="1"/>
          <w:iCs w:val="1"/>
          <w:color w:val="auto"/>
        </w:rPr>
        <w:t xml:space="preserve"> platform may never result in the regulatory approval of a product candidate.</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Notwithstanding the prior experience of individuals on our management team in drug discovery and development, we are still a relatively young organization that has not yet completed the full cycle of activities from discovery through regulatory approval for any of our portfolio projects. Our GEODe</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discovery platform has been the focus of technology development efforts over the last four years and is in the early stages of being applied to novel therapeutic target opportunities. There is no guarantee the platform’s capabilities or its application to targets of interest will lead to therapeutic product candidates that can be successfully developed through different stages of clinical trials and registered for marketing as therapeutic drugs in the United States or any other territory.</w:t>
      </w:r>
    </w:p>
    <w:p>
      <w:pPr>
        <w:spacing w:after="0" w:line="183"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If we are unable to advance TX45 or any of our other product candidates through clinical development, obtain regulatory approval and ultimately commercialize TX45 or any of our other product candidates, or experience significant delays in doing so, our business will be materially harmed.</w:t>
      </w:r>
    </w:p>
    <w:p>
      <w:pPr>
        <w:spacing w:after="0" w:line="6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sale and our lead product candidate, TX45, will require clinical development, regulatory review and approval in each jurisdiction in which we intend to market it, access to sufficient commercial manufacturing capacity, and significant sales and marketing efforts before we can generate any revenue from product sales.</w:t>
      </w:r>
    </w:p>
    <w:p>
      <w:pPr>
        <w:spacing w:after="0" w:line="6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candidates in humans. We are early in our product candidate development efforts, as TX45 is still in Phase 1b and Phase 2 clinical trials.</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ability to generate product revenues, which we do not expect will occur in the foreseeable future, if ever, will depend heavily on the successful development and eventual commercialization of TX45, TX2100, and any future product candidates we develop, which may never occur. TX45 and any future product candidates we develop will require additional preclinical and clinical development, management of clinical, preclinical and manufacturing activities, marketing approval in the United States and other jurisdictions for specific indications for use, demonstrating effectiveness to pricing and reimbursement</w:t>
      </w:r>
    </w:p>
    <w:p>
      <w:pPr>
        <w:spacing w:after="0" w:line="1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33" w:name="page34"/>
    <w:bookmarkEnd w:id="33"/>
    <w:p>
      <w:pPr>
        <w:spacing w:after="0" w:line="266" w:lineRule="auto"/>
        <w:rPr>
          <w:sz w:val="20"/>
          <w:szCs w:val="20"/>
          <w:color w:val="auto"/>
        </w:rPr>
      </w:pPr>
      <w:r>
        <w:rPr>
          <w:rFonts w:ascii="Times New Roman" w:cs="Times New Roman" w:eastAsia="Times New Roman" w:hAnsi="Times New Roman"/>
          <w:sz w:val="18"/>
          <w:szCs w:val="18"/>
          <w:color w:val="auto"/>
        </w:rPr>
        <w:t>authorities, obtaining sufficient manufacturing supply for both clinical development and commercial production, building of a commercial organization and substantial investment and significant marketing efforts before we generate any revenues from product sales. The success of our current and future product candidates will depend on several factors, including the following:</w:t>
      </w:r>
    </w:p>
    <w:p>
      <w:pPr>
        <w:spacing w:after="0" w:line="68" w:lineRule="exact"/>
        <w:rPr>
          <w:sz w:val="20"/>
          <w:szCs w:val="20"/>
          <w:color w:val="auto"/>
        </w:rPr>
      </w:pPr>
    </w:p>
    <w:p>
      <w:pPr>
        <w:ind w:left="960" w:right="80" w:hanging="51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preclinical studies and clinical trials for which the FDA, or any comparable foreign regulatory authority agree with the design, endpoints or implementation;</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regulatory approvals or authorizations for conducting our planned clinical trials or future clinical trials;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and successful patient enrollment in, and completion of, additional clinical trials on a timely basis;</w:t>
      </w:r>
    </w:p>
    <w:p>
      <w:pPr>
        <w:spacing w:after="0" w:line="117" w:lineRule="exact"/>
        <w:rPr>
          <w:rFonts w:ascii="Times New Roman" w:cs="Times New Roman" w:eastAsia="Times New Roman" w:hAnsi="Times New Roman"/>
          <w:sz w:val="18"/>
          <w:szCs w:val="18"/>
          <w:color w:val="auto"/>
        </w:rPr>
      </w:pPr>
    </w:p>
    <w:p>
      <w:pPr>
        <w:ind w:left="960" w:right="80" w:hanging="51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or any comparable foreign regulatory authority that the applicable product candidate is safe, pure, and potent for its targeted indications;</w:t>
      </w:r>
    </w:p>
    <w:p>
      <w:pPr>
        <w:spacing w:after="0" w:line="53" w:lineRule="exact"/>
        <w:rPr>
          <w:rFonts w:ascii="Times New Roman" w:cs="Times New Roman" w:eastAsia="Times New Roman" w:hAnsi="Times New Roman"/>
          <w:sz w:val="18"/>
          <w:szCs w:val="18"/>
          <w:color w:val="auto"/>
        </w:rPr>
      </w:pPr>
    </w:p>
    <w:p>
      <w:pPr>
        <w:ind w:left="960" w:right="80" w:hanging="51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or any comparable foreign regulatory authority that the applicable product candidate’s risk-benefit ratio for its proposed indication is acceptable;</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marketing approvals for our product candidates from applicable regulatory authorities;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960" w:right="340" w:hanging="51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scaling up, either alone or with third-party manufacturers, manufacturing capabilities of clinical supply for our clinical trials and commercial manufacturing, if any of our product candidates are approved;</w:t>
      </w:r>
    </w:p>
    <w:p>
      <w:pPr>
        <w:spacing w:after="0" w:line="53" w:lineRule="exact"/>
        <w:rPr>
          <w:rFonts w:ascii="Times New Roman" w:cs="Times New Roman" w:eastAsia="Times New Roman" w:hAnsi="Times New Roman"/>
          <w:sz w:val="18"/>
          <w:szCs w:val="18"/>
          <w:color w:val="auto"/>
        </w:rPr>
      </w:pPr>
    </w:p>
    <w:p>
      <w:pPr>
        <w:ind w:left="960" w:right="160" w:hanging="51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proprietary information protection or regulatory exclusivity for our product candidates, both in the United States and internationally;</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scaling a sales and marketing organization and launching commercial sales of our product candidates, if approved;</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benefits and uses,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 candidates following approval;</w:t>
      </w:r>
    </w:p>
    <w:p>
      <w:pPr>
        <w:spacing w:after="0" w:line="117" w:lineRule="exact"/>
        <w:rPr>
          <w:rFonts w:ascii="Times New Roman" w:cs="Times New Roman" w:eastAsia="Times New Roman" w:hAnsi="Times New Roman"/>
          <w:sz w:val="18"/>
          <w:szCs w:val="18"/>
          <w:color w:val="auto"/>
        </w:rPr>
      </w:pPr>
    </w:p>
    <w:p>
      <w:pPr>
        <w:ind w:left="960" w:right="600" w:hanging="51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companies developing and commercializing other therapies in the indications which our product candidates target;</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 and</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TX45 or any future product candidates we develop, which would materially harm our business. If we do not receive marketing approvals for our current and future product candidates, we may not be able to continue our operations.</w:t>
      </w:r>
    </w:p>
    <w:p>
      <w:pPr>
        <w:spacing w:after="0" w:line="172"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All of our product candidates are in discovery, preclinical or Phase 1 and Phase 2 clinical trials.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w:t>
      </w:r>
    </w:p>
    <w:p>
      <w:pPr>
        <w:spacing w:after="0" w:line="6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and our future clinical trial results may not be successful.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 date, we have completed only one clinical trial (Phase 1a trial in normal healthy volunteer with TX45) required for the approval of any of our product candidates. While the TX45 Phase 1b clinical trial is still ongoing, Part A of our TX45 Phase1b trial in patients with Group 2 PH and HFpEF is complete and we are currently conducting a Part B trial in Group 2 PH patients with HFrEF. We recently completed enrollment in Part B our TX45 Phase 1b clinical trial in Group 2 PH patients with HFrEF. We may experience delays in our ongoing clinical trials or preclinical studies. Additionally, we do not know whether planned clinical trials will begin on time, need to be redesigned, enroll patients on time, have sufficient drug</w:t>
      </w:r>
    </w:p>
    <w:p>
      <w:pPr>
        <w:spacing w:after="0" w:line="1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34" w:name="page35"/>
    <w:bookmarkEnd w:id="34"/>
    <w:p>
      <w:pPr>
        <w:jc w:val="both"/>
        <w:ind w:right="120"/>
        <w:spacing w:after="0" w:line="281" w:lineRule="auto"/>
        <w:rPr>
          <w:sz w:val="20"/>
          <w:szCs w:val="20"/>
          <w:color w:val="auto"/>
        </w:rPr>
      </w:pPr>
      <w:r>
        <w:rPr>
          <w:rFonts w:ascii="Times New Roman" w:cs="Times New Roman" w:eastAsia="Times New Roman" w:hAnsi="Times New Roman"/>
          <w:sz w:val="17"/>
          <w:szCs w:val="17"/>
          <w:color w:val="auto"/>
        </w:rPr>
        <w:t>supply for our product candidates on a timely basis or be completed on schedule, if at all. Furthermore, our product candidate TX2100 is still in preclinical studies and the full results of such studies are not yet known. A failure of one or more clinical trials can occur at any stage of testing, and our ongoing and future clinical trials may not be successful. We also may experience numerous unforeseen events during our clinical trials that could delay or prevent our ability to receive marketing approval or commercialize TX45 or any future product candidates, including:</w:t>
      </w:r>
    </w:p>
    <w:p>
      <w:pPr>
        <w:spacing w:after="0" w:line="56" w:lineRule="exact"/>
        <w:rPr>
          <w:sz w:val="20"/>
          <w:szCs w:val="20"/>
          <w:color w:val="auto"/>
        </w:rPr>
      </w:pPr>
    </w:p>
    <w:p>
      <w:pPr>
        <w:ind w:left="960" w:hanging="51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regulatory authorizations to commence a trial;</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as to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960" w:right="40" w:hanging="51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institutional review board (“IRB”) approval at each site;</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recruit a sufficient number of suitable patients to participate in a trial;</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patients complete a trial or return for post-treatment follow-up;</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adding new clinical trial sites;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sufficient quantities of our product candidates for use in clinical trials in a timely manner;</w:t>
      </w:r>
    </w:p>
    <w:p>
      <w:pPr>
        <w:spacing w:after="0" w:line="117" w:lineRule="exact"/>
        <w:rPr>
          <w:rFonts w:ascii="Times New Roman" w:cs="Times New Roman" w:eastAsia="Times New Roman" w:hAnsi="Times New Roman"/>
          <w:sz w:val="18"/>
          <w:szCs w:val="18"/>
          <w:color w:val="auto"/>
        </w:rPr>
      </w:pPr>
    </w:p>
    <w:p>
      <w:pPr>
        <w:ind w:left="960" w:right="360" w:hanging="514"/>
        <w:spacing w:after="0" w:line="261"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 such as complications with pharmacokinetic behaviors, or safety or tolerability concerns that could cause us or our collaborators, as applicable, to suspend or terminate a trial if we or our collaborators find that the participants are being exposed to unacceptable health risks;</w:t>
      </w:r>
    </w:p>
    <w:p>
      <w:pPr>
        <w:spacing w:after="0" w:line="71" w:lineRule="exact"/>
        <w:rPr>
          <w:rFonts w:ascii="Times New Roman" w:cs="Times New Roman" w:eastAsia="Times New Roman" w:hAnsi="Times New Roman"/>
          <w:sz w:val="18"/>
          <w:szCs w:val="18"/>
          <w:color w:val="auto"/>
        </w:rPr>
      </w:pPr>
    </w:p>
    <w:p>
      <w:pPr>
        <w:ind w:left="960" w:right="200" w:hanging="51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clinical trials in accordance with the FDA’s or any other regulatory authority’s good clinical practices (“GCP”) requirements, or regulatory guidelines in other countries;</w:t>
      </w:r>
    </w:p>
    <w:p>
      <w:pPr>
        <w:spacing w:after="0" w:line="53" w:lineRule="exact"/>
        <w:rPr>
          <w:rFonts w:ascii="Times New Roman" w:cs="Times New Roman" w:eastAsia="Times New Roman" w:hAnsi="Times New Roman"/>
          <w:sz w:val="18"/>
          <w:szCs w:val="18"/>
          <w:color w:val="auto"/>
        </w:rPr>
      </w:pPr>
    </w:p>
    <w:p>
      <w:pPr>
        <w:ind w:left="960" w:right="380" w:hanging="51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to the satisfaction of the FDA or any comparable foreign regulatory authority that the applicable product candidate’s risk-benefit ratio for its proposed indication is acceptable;</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policies and guidelines;</w:t>
      </w:r>
    </w:p>
    <w:p>
      <w:pPr>
        <w:spacing w:after="0" w:line="117" w:lineRule="exact"/>
        <w:rPr>
          <w:rFonts w:ascii="Times New Roman" w:cs="Times New Roman" w:eastAsia="Times New Roman" w:hAnsi="Times New Roman"/>
          <w:sz w:val="18"/>
          <w:szCs w:val="18"/>
          <w:color w:val="auto"/>
        </w:rPr>
      </w:pPr>
    </w:p>
    <w:p>
      <w:pPr>
        <w:ind w:left="960" w:right="20" w:hanging="51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research contractors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establishing the appropriate dosage levels in clinical trials;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our product candidates falling below acceptable standards; and</w:t>
      </w:r>
    </w:p>
    <w:p>
      <w:pPr>
        <w:spacing w:after="0" w:line="117" w:lineRule="exact"/>
        <w:rPr>
          <w:rFonts w:ascii="Times New Roman" w:cs="Times New Roman" w:eastAsia="Times New Roman" w:hAnsi="Times New Roman"/>
          <w:sz w:val="18"/>
          <w:szCs w:val="18"/>
          <w:color w:val="auto"/>
        </w:rPr>
      </w:pPr>
    </w:p>
    <w:p>
      <w:pPr>
        <w:ind w:left="960" w:right="160" w:hanging="514"/>
        <w:spacing w:after="0" w:line="266"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natural disasters, political, geopolitical and economic instability, including political unrest or unstable economic conditions in China, the war between Russia and Ukraine, the conflict in the Middle East, terrorism, political turmoil, disease outbreaks, epidemics and pandemics.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we could also encounter delays if a clinical trial is suspended or terminated by us, the IRBs of the institutions in which such trials are being conducted, or the FDA or comparable foreign regulatory authorities, or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 during which we may have the exclusive right to commercialize our product candidates and may allow our competitors to bring products to market before we do, potentially</w:t>
      </w:r>
    </w:p>
    <w:p>
      <w:pPr>
        <w:spacing w:after="0" w:line="1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35" w:name="page36"/>
    <w:bookmarkEnd w:id="35"/>
    <w:p>
      <w:pPr>
        <w:ind w:right="20"/>
        <w:spacing w:after="0" w:line="282" w:lineRule="auto"/>
        <w:rPr>
          <w:sz w:val="20"/>
          <w:szCs w:val="20"/>
          <w:color w:val="auto"/>
        </w:rPr>
      </w:pPr>
      <w:r>
        <w:rPr>
          <w:rFonts w:ascii="Times New Roman" w:cs="Times New Roman" w:eastAsia="Times New Roman" w:hAnsi="Times New Roman"/>
          <w:sz w:val="18"/>
          <w:szCs w:val="18"/>
          <w:color w:val="auto"/>
        </w:rPr>
        <w:t>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substantial evidence of the safety, efficacy, purity and potency of our product candidates or any future product candidates, which would prevent or delay or limit the scope of regulatory approval and commercialization.</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To obtain the requisite regulatory approvals to market and sell any of our product candidates, including TX45 and any other future product candidates, we must demonstrate through extensive preclinical studies and clinical trials that our biologic products, including TX45, are safe and effective for use in each targeted indication.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TX45 and any future product candidates in the United States or abroad, we, our collaborators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w:t>
      </w:r>
    </w:p>
    <w:p>
      <w:pPr>
        <w:spacing w:after="0" w:line="8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 Additionally, any safety concerns observed in any one of our clinical trials in our targeted indications could limit the prospects for regulatory approval of our product candidates in those and other indications.</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Even if the trials are successfully completed, clinical data are often susceptible to varying interpretations and analyses or may not provide a sufficient risk-benefit ratio, and we cannot guarantee that the FDA or comparable foreign regulatory authorities will interpret the results as we do or find a risk-benefit ratio for a proposed indication acceptable, and more trials could be required before we submit our product candidates for approval.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TX45 and any future product candidates may be significantly delayed, or we may be required to expend significant additional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our commercial potential.</w:t>
      </w:r>
    </w:p>
    <w:p>
      <w:pPr>
        <w:spacing w:after="0" w:line="188"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later-stage trials.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results of nonclinical, preclinical and early-stage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Any such</w:t>
      </w:r>
    </w:p>
    <w:p>
      <w:pPr>
        <w:spacing w:after="0" w:line="19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setbacks in our clinical development could have a material adverse effect on our business, financial condition and results of operations.</w:t>
      </w:r>
    </w:p>
    <w:p>
      <w:pPr>
        <w:spacing w:after="0" w:line="2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may be associated with serious adverse, undesirable or unacceptable side effects or other properties or safety risks, which may delay or halt their clinical development, or prevent marketing approval. If such side effects are identified during the development of our product candidates or following approval, we may suspend or abandon our development of such product candidates, the commercial profile of any approved label may be limited, or we may be subject to other significant negative consequences following marketing approval.</w:t>
      </w:r>
    </w:p>
    <w:p>
      <w:pPr>
        <w:spacing w:after="0" w:line="5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Undesirable side effects that may be caused by our product candidates could cause us or regulatory authorities to interrupt, delay or halt clinical trials and could result in a more restrictive label or the delay or denial of regulatory approval by the FDA or comparable foreign regulatory authorities. While our lead product candidate, TX45, has been generally well tolerated in its preclinical studies, the Phase 1a healthy volunteer trial and our Phase 1b study in patients with Group 2 PH to date, the results from future preclinical studies and clinical trials, including any of our other product candidates, may identify safety concerns or other undesirable properties of our product candidates.</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results of our ongoing Phase 1b and Phase 2 clinical trials of TX45 and future clinical trials of these and other product candidates may show that our product candidates cause undesirable or unacceptable side effects or even death.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Moreover, if our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adverse developments in clinical trials of pharmaceutical and biopharmaceutical products conducted by others may cause the FDA or other regulatory oversight bodies to suspend or terminate our clinical trials or to change the requirements for approval of any of our product candidates. For example, immunogenicity is a concern for all protein therapeutics in human clinical trials, and immunogenic reactions in patients in our trials may lead to adverse effects and/or impact exposure, which in turn may lead to protocol amendments, clinical holds, or other actions that delay or significantly impact the prospects for our product candidates.</w:t>
      </w:r>
    </w:p>
    <w:p>
      <w:pPr>
        <w:spacing w:after="0" w:line="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Additionally, if any of our product candidates receive marketing approval and we or others later identify undesirable or unacceptable side effects caused by such products, a number of potentially significant negative consequences could result, including:</w:t>
      </w:r>
    </w:p>
    <w:p>
      <w:pPr>
        <w:spacing w:after="0" w:line="54" w:lineRule="exact"/>
        <w:rPr>
          <w:sz w:val="20"/>
          <w:szCs w:val="20"/>
          <w:color w:val="auto"/>
        </w:rPr>
      </w:pPr>
    </w:p>
    <w:p>
      <w:pPr>
        <w:ind w:left="960" w:hanging="51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 and require us to take such approved product off the market;</w:t>
      </w:r>
    </w:p>
    <w:p>
      <w:pPr>
        <w:spacing w:after="0" w:line="117" w:lineRule="exact"/>
        <w:rPr>
          <w:rFonts w:ascii="Times New Roman" w:cs="Times New Roman" w:eastAsia="Times New Roman" w:hAnsi="Times New Roman"/>
          <w:sz w:val="18"/>
          <w:szCs w:val="18"/>
          <w:color w:val="auto"/>
        </w:rPr>
      </w:pPr>
    </w:p>
    <w:p>
      <w:pPr>
        <w:ind w:left="960" w:right="600" w:hanging="51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pacing w:after="0" w:line="53" w:lineRule="exact"/>
        <w:rPr>
          <w:rFonts w:ascii="Times New Roman" w:cs="Times New Roman" w:eastAsia="Times New Roman" w:hAnsi="Times New Roman"/>
          <w:sz w:val="18"/>
          <w:szCs w:val="18"/>
          <w:color w:val="auto"/>
        </w:rPr>
      </w:pPr>
    </w:p>
    <w:p>
      <w:pPr>
        <w:ind w:left="960" w:right="140" w:hanging="514"/>
        <w:spacing w:after="0" w:line="312" w:lineRule="auto"/>
        <w:tabs>
          <w:tab w:leader="none" w:pos="9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a medication guide outlining the risks of such side effects for distribution to patients, or that we implement a risk evaluation and mitigation strategy (“REMS”) plan to ensure that the benefits of the product outweigh its risks;</w:t>
      </w:r>
    </w:p>
    <w:p>
      <w:pPr>
        <w:spacing w:after="0" w:line="31" w:lineRule="exact"/>
        <w:rPr>
          <w:rFonts w:ascii="Times New Roman" w:cs="Times New Roman" w:eastAsia="Times New Roman" w:hAnsi="Times New Roman"/>
          <w:sz w:val="17"/>
          <w:szCs w:val="17"/>
          <w:color w:val="auto"/>
        </w:rPr>
      </w:pPr>
    </w:p>
    <w:p>
      <w:pPr>
        <w:ind w:left="960" w:right="240" w:hanging="51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conduct additional clinical trials or change the labeling of the product;</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 candidates, if approved.</w:t>
      </w:r>
    </w:p>
    <w:p>
      <w:pPr>
        <w:spacing w:after="0" w:line="1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37" w:name="page38"/>
    <w:bookmarkEnd w:id="37"/>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which could delay or prevent us from proceeding with, or otherwise adversely affect, clinical trials of our product candidates.</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timely completion of our clinical trials in accordance with our protocols depends, among other things, on our ability to recruit a sufficient number of eligible patients to participate and remain in the trial until its conclusion. Patients may be unwilling to participate in our clinical trials because of negative publicity from adverse events related to novel therapeutic approaches, competitive clinical trials for similar patient populations, the existence of current treatments or for other reasons. Any delays related to patient enrollment could result in increased costs, delays in advancing our product candidates, delays in testing the effectiveness of our product candidates or termination of the clinical trials altogether. We may not be able to identify, recruit and enroll a sufficient number of patients, or those with the required or desired characteristics, to complete our clinical trials in a timely manner. Patient enrollment and trial completion is affected by many factors, including the:</w:t>
      </w:r>
    </w:p>
    <w:p>
      <w:pPr>
        <w:spacing w:after="0" w:line="84" w:lineRule="exact"/>
        <w:rPr>
          <w:sz w:val="20"/>
          <w:szCs w:val="20"/>
          <w:color w:val="auto"/>
        </w:rPr>
      </w:pPr>
    </w:p>
    <w:p>
      <w:pPr>
        <w:ind w:left="960" w:right="180" w:hanging="51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of trial sites in Eastern Europe for the Phase 1b and Phase 2 trials with their proximity to the conflict between Russia and the Ukraine;</w:t>
      </w:r>
    </w:p>
    <w:p>
      <w:pPr>
        <w:spacing w:after="0" w:line="53" w:lineRule="exact"/>
        <w:rPr>
          <w:rFonts w:ascii="Times New Roman" w:cs="Times New Roman" w:eastAsia="Times New Roman" w:hAnsi="Times New Roman"/>
          <w:sz w:val="18"/>
          <w:szCs w:val="18"/>
          <w:color w:val="auto"/>
        </w:rPr>
      </w:pPr>
    </w:p>
    <w:p>
      <w:pPr>
        <w:ind w:left="960" w:hanging="51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or the inability to obtain, required approvals from institutional review boards (“IRBs”) and ethics committees or other governing entities at clinical trial sites selected for participation in our clinical trials;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clinical trial sites on clinical budgets and/or clinical trial agreements;</w:t>
      </w:r>
    </w:p>
    <w:p>
      <w:pPr>
        <w:spacing w:after="0" w:line="117" w:lineRule="exact"/>
        <w:rPr>
          <w:rFonts w:ascii="Times New Roman" w:cs="Times New Roman" w:eastAsia="Times New Roman" w:hAnsi="Times New Roman"/>
          <w:sz w:val="18"/>
          <w:szCs w:val="18"/>
          <w:color w:val="auto"/>
        </w:rPr>
      </w:pPr>
    </w:p>
    <w:p>
      <w:pPr>
        <w:ind w:left="960" w:right="760" w:hanging="51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from the trial protocol by clinical trial sites and investigators, or failures to conduct the trial in accordance with regulatory requirements;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 and process for identifying patients;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 for the trial;</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clinical trial;</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profile, to date, of the product candidate under study;</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our approach;</w:t>
      </w:r>
    </w:p>
    <w:p>
      <w:pPr>
        <w:spacing w:after="0" w:line="117" w:lineRule="exact"/>
        <w:rPr>
          <w:rFonts w:ascii="Times New Roman" w:cs="Times New Roman" w:eastAsia="Times New Roman" w:hAnsi="Times New Roman"/>
          <w:sz w:val="18"/>
          <w:szCs w:val="18"/>
          <w:color w:val="auto"/>
        </w:rPr>
      </w:pPr>
    </w:p>
    <w:p>
      <w:pPr>
        <w:jc w:val="both"/>
        <w:ind w:left="960" w:right="500" w:hanging="514"/>
        <w:spacing w:after="0" w:line="312" w:lineRule="auto"/>
        <w:tabs>
          <w:tab w:leader="none" w:pos="9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competing product candidates currently under investigation for the treatment of similar diseases or conditions, or competing clinical trials for similar product candidates or targeting patient populations meeting our patient eligibility criteria;</w:t>
      </w:r>
    </w:p>
    <w:p>
      <w:pPr>
        <w:spacing w:after="0" w:line="31" w:lineRule="exact"/>
        <w:rPr>
          <w:rFonts w:ascii="Times New Roman" w:cs="Times New Roman" w:eastAsia="Times New Roman" w:hAnsi="Times New Roman"/>
          <w:sz w:val="17"/>
          <w:szCs w:val="17"/>
          <w:color w:val="auto"/>
        </w:rPr>
      </w:pPr>
    </w:p>
    <w:p>
      <w:pPr>
        <w:ind w:left="960" w:hanging="51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degree of progression of the patient’s disease at the time of enrollment;</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 of the trial;</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adequately monitor patients during and after treatment.</w:t>
      </w:r>
    </w:p>
    <w:p>
      <w:pPr>
        <w:spacing w:after="0" w:line="1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7" w:right="339" w:bottom="1440" w:gutter="0" w:footer="0" w:header="0"/>
        </w:sectPr>
      </w:pPr>
    </w:p>
    <w:bookmarkStart w:id="38" w:name="page39"/>
    <w:bookmarkEnd w:id="38"/>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Material adverse changes in the final data compared to the interim data could significantly harm our business prospects.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if any, and the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if any,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84"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Before we can commence clinical trials for any product candidate, we must complete extensive preclinical studies that support any future Investigational New Drug (“IND”) applications in the United States, or similar applications in other jurisdictions. In July 2024, we received clearance from the FDA for our IND application for our TX45 program. Conducting preclinical testing is a lengthy, time-consuming and expensive process and delays associated with product candidates for which we are directly conducting preclinical testing and studies may cause us to incur additional operating expenses. While we are currently conducting Phase 1b and Phase 2 clinical trials for TX45, including some trials which may be outside of the United States, we cannot be certain of the timely completion or outcome of our preclinical testing and studies for our other product candidates, such as TX2100, and cannot predict if the FDA will accept our proposed clinical programs or if the outcome of our preclinical testing and foreign clinical trials will ultimately support the further development of our other product candidates. As a result, we cannot be sure that we will be able to submit INDs or similar applications for our preclinical programs, such as TX2100, on the timelines we expect, if at all, and we cannot be sure that submission of INDs or similar applications will result in the FDA or comparable foreign regulatory authorities allowing clinical trials to begin.</w:t>
      </w:r>
    </w:p>
    <w:p>
      <w:pPr>
        <w:spacing w:after="0" w:line="188"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our business will be substantially harmed.</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960" w:hanging="51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960" w:right="660" w:hanging="514"/>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pure and potent for its proposed indication;</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7" w:right="339" w:bottom="1440" w:gutter="0" w:footer="0" w:header="0"/>
        </w:sectPr>
      </w:pPr>
    </w:p>
    <w:bookmarkStart w:id="39" w:name="page40"/>
    <w:bookmarkEnd w:id="39"/>
    <w:p>
      <w:pPr>
        <w:ind w:left="960" w:right="260" w:hanging="51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may not be sufficiently broad or representative to assure safety or efficacy in the population for which we seek approval;</w:t>
      </w:r>
    </w:p>
    <w:p>
      <w:pPr>
        <w:spacing w:after="0" w:line="53" w:lineRule="exact"/>
        <w:rPr>
          <w:rFonts w:ascii="Times New Roman" w:cs="Times New Roman" w:eastAsia="Times New Roman" w:hAnsi="Times New Roman"/>
          <w:sz w:val="18"/>
          <w:szCs w:val="18"/>
          <w:color w:val="auto"/>
        </w:rPr>
      </w:pPr>
    </w:p>
    <w:p>
      <w:pPr>
        <w:ind w:left="960" w:right="260" w:hanging="51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clinical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960" w:right="500" w:hanging="51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960" w:right="140" w:hanging="51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require additional preclinical studies or clinical trials beyond those that we currently anticipate;</w:t>
      </w:r>
    </w:p>
    <w:p>
      <w:pPr>
        <w:spacing w:after="0" w:line="53" w:lineRule="exact"/>
        <w:rPr>
          <w:rFonts w:ascii="Times New Roman" w:cs="Times New Roman" w:eastAsia="Times New Roman" w:hAnsi="Times New Roman"/>
          <w:sz w:val="18"/>
          <w:szCs w:val="18"/>
          <w:color w:val="auto"/>
        </w:rPr>
      </w:pPr>
    </w:p>
    <w:p>
      <w:pPr>
        <w:ind w:left="960" w:right="40" w:hanging="514"/>
        <w:spacing w:after="0" w:line="266"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Biologics License Application (“BLA”) as applicable, to the FDA or other submission or to obtain regulatory approval in the United States or elsewhere;</w:t>
      </w:r>
    </w:p>
    <w:p>
      <w:pPr>
        <w:spacing w:after="0" w:line="67" w:lineRule="exact"/>
        <w:rPr>
          <w:rFonts w:ascii="Times New Roman" w:cs="Times New Roman" w:eastAsia="Times New Roman" w:hAnsi="Times New Roman"/>
          <w:sz w:val="18"/>
          <w:szCs w:val="18"/>
          <w:color w:val="auto"/>
        </w:rPr>
      </w:pPr>
    </w:p>
    <w:p>
      <w:pPr>
        <w:ind w:left="960" w:right="120" w:hanging="51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960" w:right="440" w:hanging="51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any comparable foreign regulatory authorities or the laws they enforce may significantly change in a manner rendering our clinical data insufficient for approval.</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comparable foreign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or comparable foreign regulatory authorities.</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 for our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79"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any comparable foreign regulatory authorities may not accept data from trials conducted in locations outside of their jurisdiction.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presently conducting clinical development in the United States, Eastern Europe, the European Union, Australia, and New Zealand and will likely choose to conduct additional international clinical trials in the future. The acceptance of study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 (iii) the FDA is able to validate the data through an on-site inspection or other appropriate mean.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18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such product candidate.</w:t>
      </w:r>
    </w:p>
    <w:p>
      <w:pPr>
        <w:spacing w:after="0" w:line="6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40" w:name="page41"/>
    <w:bookmarkEnd w:id="40"/>
    <w:p>
      <w:pPr>
        <w:ind w:right="540"/>
        <w:spacing w:after="0" w:line="266" w:lineRule="auto"/>
        <w:rPr>
          <w:sz w:val="20"/>
          <w:szCs w:val="20"/>
          <w:color w:val="auto"/>
        </w:rPr>
      </w:pPr>
      <w:r>
        <w:rPr>
          <w:rFonts w:ascii="Times New Roman" w:cs="Times New Roman" w:eastAsia="Times New Roman" w:hAnsi="Times New Roman"/>
          <w:sz w:val="18"/>
          <w:szCs w:val="18"/>
          <w:color w:val="auto"/>
        </w:rPr>
        <w:t>submission of safety, efficacy and other post-market information, including both federal and state requirements in the United States and requirements of comparable foreign regulatory authorities. In addition, we will be subject to continued compliance with CGMPs and GCP requirements for any clinical trials that we conduct post-approval.</w:t>
      </w:r>
    </w:p>
    <w:p>
      <w:pPr>
        <w:spacing w:after="0" w:line="6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6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8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79" w:lineRule="exact"/>
        <w:rPr>
          <w:sz w:val="20"/>
          <w:szCs w:val="20"/>
          <w:color w:val="auto"/>
        </w:rPr>
      </w:pPr>
    </w:p>
    <w:p>
      <w:pPr>
        <w:ind w:left="960" w:right="740" w:hanging="514"/>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960" w:hanging="514"/>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w:t>
      </w:r>
    </w:p>
    <w:p>
      <w:pPr>
        <w:spacing w:after="0" w:line="8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holder of a BLA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policies of the FDA and of comparable foreign regulatory authorities may change and additional government regulations may be enacted that could prevent, limit or delay regulatory approval of our product candidates. We cannot predict the</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41" w:name="page42"/>
    <w:bookmarkEnd w:id="41"/>
    <w:p>
      <w:pPr>
        <w:ind w:right="40"/>
        <w:spacing w:after="0" w:line="261" w:lineRule="auto"/>
        <w:rPr>
          <w:sz w:val="20"/>
          <w:szCs w:val="20"/>
          <w:color w:val="auto"/>
        </w:rPr>
      </w:pPr>
      <w:r>
        <w:rPr>
          <w:rFonts w:ascii="Times New Roman" w:cs="Times New Roman" w:eastAsia="Times New Roman" w:hAnsi="Times New Roman"/>
          <w:sz w:val="18"/>
          <w:szCs w:val="18"/>
          <w:color w:val="auto"/>
        </w:rPr>
        <w:t>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approved, our investigational products may face competition from biosimilars approved through an abbreviated regulatory pathway.</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developing TX45 initially for the treatment of Group 2 Pulmonary Hypertension (“PH”) in HFpEF, which we anticipate will be regulated as a biological product. 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8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biotechnology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84" w:lineRule="exact"/>
        <w:rPr>
          <w:sz w:val="20"/>
          <w:szCs w:val="20"/>
          <w:color w:val="auto"/>
        </w:rPr>
      </w:pPr>
    </w:p>
    <w:p>
      <w:pPr>
        <w:ind w:left="960" w:hanging="51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due to negative public perception;</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or difficulties in recruiting new trial participants;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or settle the related litigation;</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42" w:name="page43"/>
    <w:bookmarkEnd w:id="42"/>
    <w:p>
      <w:pPr>
        <w:ind w:left="960" w:hanging="51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from product sales; and</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our product candidates, if approved.</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Should any of the events described above occur, this could have a material adverse effect on our business, financial condition and results of operations.</w:t>
      </w:r>
    </w:p>
    <w:p>
      <w:pPr>
        <w:spacing w:after="0" w:line="158"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we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p>
    <w:p>
      <w:pPr>
        <w:spacing w:after="0" w:line="6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biotechnology industry, in particular for our lead product candidate, TX45, TX2100, our business, financial condition and results of operations could be materially adversely affected.</w:t>
      </w:r>
    </w:p>
    <w:p>
      <w:pPr>
        <w:spacing w:after="0" w:line="18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product candidates we develop, and we may be unsuccessful or may be unable to maintain the benefits associated with orphan drug designation, including the potential for market exclusivity.</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any product candidates we develop, and we may be unsuccessful. While we have not made a determination on whether we intend to seek orphan drug designation for any of our product candidates at this time, we may do so in the future.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w:t>
      </w:r>
    </w:p>
    <w:p>
      <w:pPr>
        <w:spacing w:after="0" w:line="8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indication for seven years, except in limited circumstances.</w:t>
      </w:r>
    </w:p>
    <w:p>
      <w:pPr>
        <w:spacing w:after="0" w:line="6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Even if we obtain orphan drug exclusivity for any of our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w:t>
      </w:r>
    </w:p>
    <w:p>
      <w:pPr>
        <w:spacing w:after="0" w:line="19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commercialize any product candidate for which we receive regulatory approval, or experience significant delays in doing so, our business will be materially harmed.</w:t>
      </w:r>
    </w:p>
    <w:p>
      <w:pPr>
        <w:spacing w:after="0" w:line="5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we are successful in obtaining marketing approval from applicable regulatory authorities for TX45 or any other product candidate, our ability to generate revenues from any such products will depend on our success in:</w:t>
      </w:r>
    </w:p>
    <w:p>
      <w:pPr>
        <w:spacing w:after="0" w:line="54" w:lineRule="exact"/>
        <w:rPr>
          <w:sz w:val="20"/>
          <w:szCs w:val="20"/>
          <w:color w:val="auto"/>
        </w:rPr>
      </w:pPr>
    </w:p>
    <w:p>
      <w:pPr>
        <w:ind w:left="960" w:hanging="51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such products, whether alone or in collaboration with others;</w:t>
      </w:r>
    </w:p>
    <w:p>
      <w:pPr>
        <w:spacing w:after="0" w:line="117" w:lineRule="exact"/>
        <w:rPr>
          <w:rFonts w:ascii="Times New Roman" w:cs="Times New Roman" w:eastAsia="Times New Roman" w:hAnsi="Times New Roman"/>
          <w:sz w:val="18"/>
          <w:szCs w:val="18"/>
          <w:color w:val="auto"/>
        </w:rPr>
      </w:pPr>
    </w:p>
    <w:p>
      <w:pPr>
        <w:ind w:left="960" w:right="360" w:hanging="514"/>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approved labels with claims that are necessary or desirable for successful marketing, and that do not contain safety or other limitations that would impede our ability to market such products;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market demand for such products through marketing, sales and promotion activities;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training, and deploying a sales force or contracting with third parties to commercialize such products in the United States;</w:t>
      </w:r>
    </w:p>
    <w:p>
      <w:pPr>
        <w:spacing w:after="0" w:line="117" w:lineRule="exact"/>
        <w:rPr>
          <w:rFonts w:ascii="Times New Roman" w:cs="Times New Roman" w:eastAsia="Times New Roman" w:hAnsi="Times New Roman"/>
          <w:sz w:val="18"/>
          <w:szCs w:val="18"/>
          <w:color w:val="auto"/>
        </w:rPr>
      </w:pPr>
    </w:p>
    <w:p>
      <w:pPr>
        <w:ind w:left="960" w:right="420" w:hanging="514"/>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strategic collaborations with, or offering licenses to, third parties to promote and sell such products in foreign markets where we receive marketing approval;</w:t>
      </w:r>
    </w:p>
    <w:p>
      <w:pPr>
        <w:spacing w:after="0" w:line="53" w:lineRule="exact"/>
        <w:rPr>
          <w:rFonts w:ascii="Times New Roman" w:cs="Times New Roman" w:eastAsia="Times New Roman" w:hAnsi="Times New Roman"/>
          <w:sz w:val="18"/>
          <w:szCs w:val="18"/>
          <w:color w:val="auto"/>
        </w:rPr>
      </w:pPr>
    </w:p>
    <w:p>
      <w:pPr>
        <w:ind w:left="960" w:right="100" w:hanging="514"/>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such products (i) in sufficient quantities, (ii) at acceptable quality and cost and (iii) in a presentation that is practical and compatible with the intended clinical use to meet commercial demand at launch and thereafter;</w:t>
      </w:r>
    </w:p>
    <w:p>
      <w:pPr>
        <w:spacing w:after="0" w:line="53" w:lineRule="exact"/>
        <w:rPr>
          <w:rFonts w:ascii="Times New Roman" w:cs="Times New Roman" w:eastAsia="Times New Roman" w:hAnsi="Times New Roman"/>
          <w:sz w:val="18"/>
          <w:szCs w:val="18"/>
          <w:color w:val="auto"/>
        </w:rPr>
      </w:pPr>
    </w:p>
    <w:p>
      <w:pPr>
        <w:ind w:left="960" w:right="500" w:hanging="514"/>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agreements with wholesalers, distributors, and group purchasing organizations on commercially reasonable terms;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patent and trade secret protection and regulatory exclusivity for such products;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market acceptance of such products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coverage and adequate reimbursement from third-party payors for such products;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in the absence of such coverage and adequate reimbursement from third-party payors;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such products following launch.</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 the extent we are not able to do any of the foregoing, our business, financial condition, results of operations, stock price and prospects will be materially harmed.</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biotechnology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w:t>
      </w:r>
    </w:p>
    <w:p>
      <w:pPr>
        <w:spacing w:after="0" w:line="19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7" w:right="339" w:bottom="1440" w:gutter="0" w:footer="0" w:header="0"/>
        </w:sectPr>
      </w:pPr>
    </w:p>
    <w:bookmarkStart w:id="44" w:name="page45"/>
    <w:bookmarkEnd w:id="44"/>
    <w:p>
      <w:pPr>
        <w:ind w:right="140"/>
        <w:spacing w:after="0" w:line="254" w:lineRule="auto"/>
        <w:rPr>
          <w:sz w:val="20"/>
          <w:szCs w:val="20"/>
          <w:color w:val="auto"/>
        </w:rPr>
      </w:pPr>
      <w:r>
        <w:rPr>
          <w:rFonts w:ascii="Times New Roman" w:cs="Times New Roman" w:eastAsia="Times New Roman" w:hAnsi="Times New Roman"/>
          <w:sz w:val="18"/>
          <w:szCs w:val="18"/>
          <w:color w:val="auto"/>
        </w:rPr>
        <w:t>We compete in the segments of the biotechnology, pharmaceutical and other related industries that develop and market therapies for the treatment of Group 2 PH with HFpEF, Group 3 PH-ILD, and Hereditary Hemorrhagic Telangiectasia (“HHT”) disorders. Although there are no other companies who have commercialized therapies for Group 2 PH with HFpEF or HHT, there are many other companies, including large biotechnology and pharmaceutical companies, that are developing therapies for these therapeutic areas. For example, AstraZeneca, Merck and Tenax Therapeutics for the treatment of Group 2 PH and Diagonal Therapeutics and Vaderis Therapeutics for the treatment of HHT. For PH-ILD, United Therapeutics and Liquidia have commercialized therapies, while Insmed, Gossamar, Pulmovant, Halo Biosciences and Foresee Pharmaceuticals are developing therapies for PH-ILD. In addition, in January 2025, Eli Lilly terminated its Phase 2 trial of volenrelaxin, which has affected investor perception of relaxin product candidates in general.</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w:t>
      </w:r>
    </w:p>
    <w:p>
      <w:pPr>
        <w:spacing w:after="0" w:line="185"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have a sales or marketing infrastructure and have no experience in the sale or marketing of biotechnology products. To achieve commercial success for any approved product, we must develop or acquire a sales and marketing organization, outsource these functions to third parties or enter into strategic collaborations.</w:t>
      </w:r>
    </w:p>
    <w:p>
      <w:pPr>
        <w:spacing w:after="0" w:line="6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decide to establish our own sales and marketing capabilities and promote our product candidates if and when regulatory approval has been obtained in the United States or in other jurisdictions. There are risks involved if we decide to establish our own sales and marketing capabilities or enter into arrangements with third parties to perform these services. Even if we establish sales and marketing capabilities, we may fail to launch our products effectively or to market our products effectively since we have no experience in the sales and marketing of biotechnology products. In addition, recruiting and training a sales force is expensive and time-consuming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w:t>
      </w:r>
    </w:p>
    <w:p>
      <w:pPr>
        <w:spacing w:after="0" w:line="84" w:lineRule="exact"/>
        <w:rPr>
          <w:sz w:val="20"/>
          <w:szCs w:val="20"/>
          <w:color w:val="auto"/>
        </w:rPr>
      </w:pPr>
    </w:p>
    <w:p>
      <w:pPr>
        <w:ind w:left="960" w:hanging="51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educate adequate numbers of physicians on the benefits of our products;</w:t>
      </w:r>
    </w:p>
    <w:p>
      <w:pPr>
        <w:spacing w:after="0" w:line="117" w:lineRule="exact"/>
        <w:rPr>
          <w:rFonts w:ascii="Times New Roman" w:cs="Times New Roman" w:eastAsia="Times New Roman" w:hAnsi="Times New Roman"/>
          <w:sz w:val="18"/>
          <w:szCs w:val="18"/>
          <w:color w:val="auto"/>
        </w:rPr>
      </w:pPr>
    </w:p>
    <w:p>
      <w:pPr>
        <w:ind w:left="960" w:right="300" w:hanging="514"/>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and</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marketing and promotion above those anticipated by us.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and marketing services, our product revenues or the profitability of these product revenues to us could be lower than if we were to market and sell any products that we develop ourselves.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w:t>
      </w:r>
    </w:p>
    <w:p>
      <w:pPr>
        <w:spacing w:after="0" w:line="8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If we do not establish sales and marketing capabilities successfully, either on our own or in collaboration with third parties, we may not be successful in commercializing our products, if any, which in turn would have a material adverse effect on our business, financial condition and results of operations.</w:t>
      </w:r>
    </w:p>
    <w:p>
      <w:pPr>
        <w:spacing w:after="0" w:line="1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45" w:name="page46"/>
    <w:bookmarkEnd w:id="45"/>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 The revenues that we generate from our sales may be limited, and we may never become profitable.</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 candidates may require significant resources and may not be successful. If any of our product candidates are approved but do not achieve an adequate level of market acceptance, we could be prevented from or significantly delayed in achieving profitability. The degree of market acceptance of any product for which we receive marketing approval will depend on a number of factors, including:</w:t>
      </w:r>
    </w:p>
    <w:p>
      <w:pPr>
        <w:spacing w:after="0" w:line="72" w:lineRule="exact"/>
        <w:rPr>
          <w:sz w:val="20"/>
          <w:szCs w:val="20"/>
          <w:color w:val="auto"/>
        </w:rPr>
      </w:pPr>
    </w:p>
    <w:p>
      <w:pPr>
        <w:ind w:left="960" w:hanging="51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hospitals and patients considering our product candidates as a safe and effective treatment;</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comparable foreign regulatory authorities;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 or comparable foreign regulatory authorities;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candidates in relation to other potentially competitive products;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product candidates in relation to alternative treatments;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upfront costs or training required for physicians to administer our product candidates;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third-party payors and government authorities;</w:t>
      </w:r>
    </w:p>
    <w:p>
      <w:pPr>
        <w:spacing w:after="0" w:line="117" w:lineRule="exact"/>
        <w:rPr>
          <w:rFonts w:ascii="Times New Roman" w:cs="Times New Roman" w:eastAsia="Times New Roman" w:hAnsi="Times New Roman"/>
          <w:sz w:val="18"/>
          <w:szCs w:val="18"/>
          <w:color w:val="auto"/>
        </w:rPr>
      </w:pPr>
    </w:p>
    <w:p>
      <w:pPr>
        <w:ind w:left="960" w:right="20" w:hanging="514"/>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comprehensive coverage and reimbursement by third-party payors and government authorities;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including as compared to alternative treatments and competitive therapies;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distribution support; and</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or perceived risk of potential product liability claims.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may negatively impact our ability to profitably sell TX45 and any potential future product candidates, if approved.</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TX45 or any potential future product candidates, restrict or regulate post-approval activities and affect our ability to profitably sell any product for which we obtain marketing approval.</w:t>
      </w:r>
    </w:p>
    <w:p>
      <w:pPr>
        <w:spacing w:after="0" w:line="7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and amendments to certain aspects of the ACA. For example, on July 4, 2025, the annual reconciliation bill, the "One Big Beautiful Bill Act"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in 2025, which, among other provisions in the law, are anticipated to reduce the number of Americans with health insurance.</w:t>
      </w:r>
    </w:p>
    <w:p>
      <w:pPr>
        <w:spacing w:after="0" w:line="19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197" w:right="359" w:bottom="1440" w:gutter="0" w:footer="0" w:header="0"/>
        </w:sectPr>
      </w:pPr>
    </w:p>
    <w:bookmarkStart w:id="46" w:name="page47"/>
    <w:bookmarkEnd w:id="46"/>
    <w:p>
      <w:pPr>
        <w:spacing w:after="0" w:line="252" w:lineRule="auto"/>
        <w:rPr>
          <w:sz w:val="20"/>
          <w:szCs w:val="20"/>
          <w:color w:val="auto"/>
        </w:rPr>
      </w:pPr>
      <w:r>
        <w:rPr>
          <w:rFonts w:ascii="Times New Roman" w:cs="Times New Roman" w:eastAsia="Times New Roman" w:hAnsi="Times New Roman"/>
          <w:sz w:val="18"/>
          <w:szCs w:val="18"/>
          <w:color w:val="auto"/>
        </w:rPr>
        <w:t>On August 16, 2022, the Inflation Reduction Act (the “IRA”), was signed into law, which among other things, (1) directs the Department of Health and Human Services (the “HHS”), to negotiate the price of certain high expenditure, single-source biologics that have been on the market for 11 years covered under Medicare (the “Medicare Drug Price Negotiation Program”) and (2) imposes rebates under Medicare Part B and Medicare Part D to penalize price increases that outpace inflation. The IRA includes certain exemptions to the price negotiation program, including a limited exemption for products with orphan drug designation. This exemption applies only to products with one orphan drug designation that is (i) for a rare disease or condition and (ii) is approved for indication(s) for such rare disease or condition. By limiting price negotiation exemption to products with only one orphan drug designation, the IRA may decrease our interest in pursuing orphan drug designation for our product candidates in multiple indications. The IRA also,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These provisions began to take effect progressively in fiscal year 2023. On August 15, 2024, HHS announced the agreed-upon reimbursement prices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The IRA permits HHS to implement many of these provisions through guidance, as opposed to regulation, for the initial years. HHS has and will continue to issue and update guidance as these programs are implemented. It is possible that the ACA and IRA may be subject to judicial or Congressional challenges in the future. It is unclear how any additional healthcare reform measures of the second Trump administration may impact the ACA or IRA, increase the pressure on drug pricing or limit the availability of coverage and adequate reimbursement for TX45 and any potential future product candidates, which would adversely affect our business.</w:t>
      </w:r>
    </w:p>
    <w:p>
      <w:pPr>
        <w:spacing w:after="0" w:line="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and proposals include, for example: (1) reducing agency workforce; (2) directing program cuts; (3)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 (4) directing HHS and other agencies to lower prescription drug costs for Medicare through a variety of initiatives, including by improving upon the Medicare Drug Price Negotiation Program and establishing Most-Favored-Nation pricing for pharmaceutical products; (5) imposing tariffs of imported pharmaceutical products; and (6) directing certain federal agencies to enforce existing law regarding hospital and plan price transparency and by standardizing prices across hospitals and health plans.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spacing w:after="0" w:line="8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Such reforms could have an adverse effect on anticipated revenue from TX45 and any potential future product candidates that we may successfully develop and for which we may obtain regulatory approval and may affect our overall financial condition and ability to develop product candidates.</w:t>
      </w:r>
    </w:p>
    <w:p>
      <w:pPr>
        <w:spacing w:after="0" w:line="1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47" w:name="page48"/>
    <w:bookmarkEnd w:id="47"/>
    <w:p>
      <w:pPr>
        <w:ind w:right="20"/>
        <w:spacing w:after="0" w:line="256" w:lineRule="auto"/>
        <w:rPr>
          <w:sz w:val="20"/>
          <w:szCs w:val="20"/>
          <w:color w:val="auto"/>
        </w:rPr>
      </w:pPr>
      <w:r>
        <w:rPr>
          <w:rFonts w:ascii="Times New Roman" w:cs="Times New Roman" w:eastAsia="Times New Roman" w:hAnsi="Times New Roman"/>
          <w:sz w:val="18"/>
          <w:szCs w:val="18"/>
          <w:color w:val="auto"/>
        </w:rPr>
        <w:t>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countries implement health technology assessment (“HTA”), procedures that use formal economic metrics such as cost-effectiveness to determine prices, coverage and reimbursement of new therapies. These assessments are increasingly implemented in established and emerging markets. In the EU, Regulation (EU) 2021/2282 on Health Technology Assessment, which will become effective on January 12, 2025, will allow EU member states to use common HTA tools, methodologies and procedures to conduct joint clinical assessments and joint scientific consultations whereby HTA authorities may provide advice to health technology developers. Each EU member state will, however, remain exclusively competent for assessing the relative effectiveness of health technologies and making pricing and reimbursement decisions. Given that the extent to which pricing and reimbursement decisions are influenced by the HTA process currently varies between EU member states, it is possible that our products may be subject to favorable pricing and reimbursement status only in certain EU countries. If we are unable to maintain favorable pricing and reimbursement status in EU member states that represent significant markets, including following periodic review, our anticipated revenue from and growth prospects for our products in the EU could be negatively affected. Moreover, in order to obtain reimbursement for our products in some EU member states, we may be required to compile additional data comparing the cost-effectiveness of our products to other available therapies. Efforts to generate additional data for the HTA process will involve additional expenses which may substantially increase the cost of commercializing and marketing our products in certain EU member states.</w:t>
      </w:r>
    </w:p>
    <w:p>
      <w:pPr>
        <w:spacing w:after="0" w:line="7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We cannot predict the likelihood, nature or extent of healthcare reform initiatives that may arise from future legislation or administrative action. However, it is possible that countries will continue taking aggressive actions to seek to reduce expenditures on drugs. Similarly, fiscal constraints may also affect the extent to which countries are willing to approve new and innovative therapies and/or allow access to new technologies.</w:t>
      </w:r>
    </w:p>
    <w:p>
      <w:pPr>
        <w:spacing w:after="0" w:line="5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7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(including layoffs) may also slow the time necessary for new product candidates to be reviewed and/or approved by necessary government agencies, which would adversely affect our business. For example, many staff members from the FDA and other agencies have recently been laid off. If a prolonged government shutdown or disruption occurs, it could significantly impact the ability of the FDA to timely review and process our regulatory submissions, which could have a material adverse effect on our business. Further, future government shutdowns and/or disruptions could impact our ability to access the public markets and obtain necessary capital in order to properly capitalize and continue our operation.</w:t>
      </w:r>
    </w:p>
    <w:p>
      <w:pPr>
        <w:spacing w:after="0" w:line="18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w:t>
      </w:r>
    </w:p>
    <w:p>
      <w:pPr>
        <w:spacing w:after="0" w:line="1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48" w:name="page49"/>
    <w:bookmarkEnd w:id="48"/>
    <w:p>
      <w:pPr>
        <w:ind w:right="280"/>
        <w:spacing w:after="0" w:line="282" w:lineRule="auto"/>
        <w:rPr>
          <w:sz w:val="20"/>
          <w:szCs w:val="20"/>
          <w:color w:val="auto"/>
        </w:rPr>
      </w:pPr>
      <w:r>
        <w:rPr>
          <w:rFonts w:ascii="Times New Roman" w:cs="Times New Roman" w:eastAsia="Times New Roman" w:hAnsi="Times New Roman"/>
          <w:sz w:val="18"/>
          <w:szCs w:val="18"/>
          <w:color w:val="auto"/>
        </w:rPr>
        <w:t>research, market, sell and distribute our products for which we or our partner obtain marketing approval. Restrictions under applicable federal and state healthcare laws and regulations, include the following:</w:t>
      </w:r>
    </w:p>
    <w:p>
      <w:pPr>
        <w:spacing w:after="0" w:line="54" w:lineRule="exact"/>
        <w:rPr>
          <w:sz w:val="20"/>
          <w:szCs w:val="20"/>
          <w:color w:val="auto"/>
        </w:rPr>
      </w:pPr>
    </w:p>
    <w:p>
      <w:pPr>
        <w:ind w:left="960" w:hanging="514"/>
        <w:spacing w:after="0" w:line="271" w:lineRule="auto"/>
        <w:tabs>
          <w:tab w:leader="none" w:pos="9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(the “FCA”) or federal civil monetary penalties;</w:t>
      </w:r>
    </w:p>
    <w:p>
      <w:pPr>
        <w:spacing w:after="0" w:line="65" w:lineRule="exact"/>
        <w:rPr>
          <w:rFonts w:ascii="Times New Roman" w:cs="Times New Roman" w:eastAsia="Times New Roman" w:hAnsi="Times New Roman"/>
          <w:sz w:val="17"/>
          <w:szCs w:val="17"/>
          <w:color w:val="auto"/>
        </w:rPr>
      </w:pPr>
    </w:p>
    <w:p>
      <w:pPr>
        <w:ind w:left="960" w:right="200" w:hanging="514"/>
        <w:spacing w:after="0" w:line="255"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80" w:lineRule="exact"/>
        <w:rPr>
          <w:rFonts w:ascii="Times New Roman" w:cs="Times New Roman" w:eastAsia="Times New Roman" w:hAnsi="Times New Roman"/>
          <w:sz w:val="18"/>
          <w:szCs w:val="18"/>
          <w:color w:val="auto"/>
        </w:rPr>
      </w:pPr>
    </w:p>
    <w:p>
      <w:pPr>
        <w:ind w:left="960" w:hanging="514"/>
        <w:spacing w:after="0" w:line="258"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960" w:right="40" w:hanging="514"/>
        <w:spacing w:after="0" w:line="253"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86" w:lineRule="exact"/>
        <w:rPr>
          <w:rFonts w:ascii="Times New Roman" w:cs="Times New Roman" w:eastAsia="Times New Roman" w:hAnsi="Times New Roman"/>
          <w:sz w:val="18"/>
          <w:szCs w:val="18"/>
          <w:color w:val="auto"/>
        </w:rPr>
      </w:pPr>
    </w:p>
    <w:p>
      <w:pPr>
        <w:ind w:left="960" w:right="100" w:hanging="514"/>
        <w:spacing w:after="0" w:line="256"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auto"/>
        </w:rPr>
      </w:pPr>
    </w:p>
    <w:p>
      <w:pPr>
        <w:ind w:left="960" w:right="80" w:hanging="514"/>
        <w:spacing w:after="0" w:line="254"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federal consumer protection and unfair competition laws, which broadly regulate marketplace activities and activities that potentially harm consumers; and state and foreign laws that govern the privacy and security and other processing</w:t>
      </w:r>
    </w:p>
    <w:p>
      <w:pPr>
        <w:spacing w:after="0" w:line="18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49" w:name="page50"/>
    <w:bookmarkEnd w:id="49"/>
    <w:p>
      <w:pPr>
        <w:ind w:left="960" w:right="760"/>
        <w:spacing w:after="0" w:line="282" w:lineRule="auto"/>
        <w:rPr>
          <w:sz w:val="20"/>
          <w:szCs w:val="20"/>
          <w:color w:val="auto"/>
        </w:rPr>
      </w:pPr>
      <w:r>
        <w:rPr>
          <w:rFonts w:ascii="Times New Roman" w:cs="Times New Roman" w:eastAsia="Times New Roman" w:hAnsi="Times New Roman"/>
          <w:sz w:val="18"/>
          <w:szCs w:val="18"/>
          <w:color w:val="auto"/>
        </w:rPr>
        <w:t>of health information in certain circumstances, many of which differ from each other in significant ways and often are not preempted by HIPAA, thus complicating compliance efforts.</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in the future by political unrest in China.</w:t>
      </w:r>
    </w:p>
    <w:p>
      <w:pPr>
        <w:spacing w:after="0" w:line="12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are exposed to the possibility of product supply disruption and increased costs in the event of changes in the policies, laws, rules and regulations of the United States or Chinese governments, as well as political unrest or unstable economic conditions in China</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because our key manufacturer and supplier for TX45 is located in China. For example, trade tensions between the United States and China have been escalating in recent years. The U.S. government has indicated its intent to adopt a new approach to trade policy and in some cases to renegotiate, or potentially terminate, certain existing bilateral or multi-lateral trade agreements. For example, in April 2025, the U.S. government announced a new universal baseline tariff of 10%, plus additional country-specific tariffs for select trading partners, on all U.S. imports. The ultimate impact of any tariffs will depend on various factors, including how long such tariffs remain in place, the ultimate levels and application of such tariffs and the extent to which other countries impose retaliatory tariffs. In addition, these newly proposed and imposed tariffs have resulted in threatened and actual retaliatory tariffs against U.S. goods. Our components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 may not continue to provide us with battery components in our required quantities, to our required specifications and quality levels or at attractive prices. In addition, certain Chinese biotechnology companies and CDMOs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House of Representatives of the prior Congress (the 118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Congress) passed the BIOSECURE Act, which proposed targeting U.S. government contracts, grants, and loans for entities that use biotechnology equipment or services from certain named Chinese biotechnology companies, and potentially additional Chinese biotechnology companies designated in the future. The language of the proposed BIOSECURE Act would, among other things, prohibit U.S. federal agencies from entering into or renewing any contract with any entity that uses biotechnology equipment or services produced or provided by a “biotechnology company of concern.” The version of the bill passed by the prior House of Representatives included a grandfathering provision allowing biotechnology equipment and services provided or produced by named biotechnology companies of concern under a contract or agreement entered into before the effective date until January 1, 2032. The BIOSECURE Act did not become law in the 118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Congress. It is unclear whether the current Congress (the 119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Congress) will introduce the BIOSECURE Act or similar legislation in this congressional session and, if so, how the scope, prohibitions, or designated biotechnology companies of concern may differ from the version of the BIOSECURE Act passed by the House in the prior 118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Congress. If these bills become law, or similar laws are passed, they could severely restrict the ability of companies to work with certain Chinese biotechnology companies of concern without losing the ability to contract with, or otherwise receive funding from, the U.S. government. Such disruption could have adverse effects on the development of our product candidates and our business operations.</w:t>
      </w:r>
    </w:p>
    <w:p>
      <w:pPr>
        <w:spacing w:after="0" w:line="22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50" w:name="page51"/>
    <w:bookmarkEnd w:id="50"/>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spacing w:after="0" w:line="19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For example, WuXi Biologics manufactured TX45 for use in our Phase 1a, Phase 1b and Phase 2 clinical trials. We currently have a sole source relationship with WuXi Biologics for our supply of TX45.</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Current or future tariffs will result in increased research and development expenses, including with respect to increased costs associated with active pharmaceutical ingredients,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supply chain issues may be exacerbated during disease outbreaks, epidemics and pandemics and may also impact the ability of our clinical trial sites to obtain basic medical supplies used in our trials in a timely fashion, if at all.</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our contract development and manufacturing organizations (“CDMOs”)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TX45 or TX2100 on our anticipated development timelines. Likewise, the operations of our third-party manufacturers may be requisitioned, diverted or allocated by U.S. or foreign government orders. If any of our CDMOs or raw</w:t>
      </w:r>
    </w:p>
    <w:p>
      <w:pPr>
        <w:spacing w:after="0" w:line="1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1197" w:right="379" w:bottom="1440" w:gutter="0" w:footer="0" w:header="0"/>
        </w:sectPr>
      </w:pPr>
    </w:p>
    <w:bookmarkStart w:id="51" w:name="page52"/>
    <w:bookmarkEnd w:id="51"/>
    <w:p>
      <w:pPr>
        <w:ind w:right="100"/>
        <w:spacing w:after="0" w:line="261" w:lineRule="auto"/>
        <w:rPr>
          <w:sz w:val="20"/>
          <w:szCs w:val="20"/>
          <w:color w:val="auto"/>
        </w:rPr>
      </w:pPr>
      <w:r>
        <w:rPr>
          <w:rFonts w:ascii="Times New Roman" w:cs="Times New Roman" w:eastAsia="Times New Roman" w:hAnsi="Times New Roman"/>
          <w:sz w:val="18"/>
          <w:szCs w:val="18"/>
          <w:color w:val="auto"/>
        </w:rPr>
        <w:t>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w:t>
      </w:r>
    </w:p>
    <w:p>
      <w:pPr>
        <w:spacing w:after="0" w:line="17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meets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revenue will be dependent, in part, upon the size of the markets in the territories for which we gain regulatory approval, the accepted price for the product, the ability to obtain coverage and reimbursement, the ability to gain market share and whether we own the commercial rights for that territory. If the number of our addressable patients is not as significant as we estimate, the indication approved by regulatory authorities is narrower than our expects or the treatment population is narrowed by competition, physician choice or treatment guidelines, we may not generate significant revenue from sales of such products, even if approved.</w:t>
      </w:r>
    </w:p>
    <w:p>
      <w:pPr>
        <w:spacing w:after="0" w:line="17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approval to market TX45 or other potential future product candidates, these products may become subject to unfavorable pricing regulations, reimbursement practices from third-party payors or healthcare reform initiatives in the United States and abroad, which could harm our business.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obtains marketing approval.</w:t>
      </w:r>
    </w:p>
    <w:p>
      <w:pPr>
        <w:spacing w:after="0" w:line="8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In the United States and markets in other countries, governments and private insurers closely examine medical products to determine whether they should be covered by reimbursement and, if so, the level of reimbursement that will apply. In the United States, the principal decisions about reimbursement for new medicines are typically made by the CMS an agency within the HHS. CMS decides whether and to what extent a new medicine will be covered and reimbursed under Medicare and private payors tend to follow CMS to a substantial degree.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regulatory approval. If coverage and reimbursement are not available or reimbursement is available only to limited levels, we and our partners may not be able to successfully commercialize any product candidate for which marketing approval is obtained.</w:t>
      </w:r>
    </w:p>
    <w:p>
      <w:pPr>
        <w:spacing w:after="0" w:line="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w:t>
      </w:r>
    </w:p>
    <w:p>
      <w:pPr>
        <w:spacing w:after="0" w:line="1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52" w:name="page53"/>
    <w:bookmarkEnd w:id="52"/>
    <w:p>
      <w:pPr>
        <w:ind w:right="20"/>
        <w:spacing w:after="0" w:line="254" w:lineRule="auto"/>
        <w:rPr>
          <w:sz w:val="20"/>
          <w:szCs w:val="20"/>
          <w:color w:val="auto"/>
        </w:rPr>
      </w:pPr>
      <w:r>
        <w:rPr>
          <w:rFonts w:ascii="Times New Roman" w:cs="Times New Roman" w:eastAsia="Times New Roman" w:hAnsi="Times New Roman"/>
          <w:sz w:val="18"/>
          <w:szCs w:val="18"/>
          <w:color w:val="auto"/>
        </w:rPr>
        <w:t>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Our inability to promptly obtain coverage and profitable reimbursement rates from both government-funded and private payors for any approved products that we develop could have a material adverse effect on our operating results, ability to raise capital needed to commercialize products and overall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commercial success will depend in large part on obtaining and maintaining patent, trademark and trade secret protection of our proprietary technologies and our product candidates, their respective components, formulations, combination therapies, and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The patenting process is expensive and time-consuming, and we may not be able to file, prosecute and maintain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In addition, we cannot guarantee that patent applications or patents that we initially believe to be owned by the company will not be encumbered by third party ownership or other third party rights that may not have been evident to us at the time of preparation or filing. For instance, such rights could arise from the intellectual contributions of company employees who were previously employed by third parties, such as universities or other biopharmaceutical or pharmaceutical companies, including our competitors or potential competitors, or from the intellectual contributions of company consultants, advisors, or independent contractors with current or previous relationships with such third parties. Therefore, these patents and applications may not be prepared, filed, prosecuted or enforced in a manner consistent with the best interests of our business. Furthermore, licenses from such third parties may be required or desirable but may not be available on reasonable terms, or at all.</w:t>
      </w:r>
    </w:p>
    <w:p>
      <w:pPr>
        <w:spacing w:after="0" w:line="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strength of patents in the biotechnology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are successfully issued,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its claims. If the breadth or strength of protection provided by the patent applications we hold with respect to our product candidates is threatened, we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USPTO. There also may be prior art of which we are aware, but which we believe does not affect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w:t>
      </w:r>
    </w:p>
    <w:p>
      <w:pPr>
        <w:spacing w:after="0" w:line="19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1093" w:right="379" w:bottom="1440" w:gutter="0" w:footer="0" w:header="0"/>
        </w:sectPr>
      </w:pPr>
    </w:p>
    <w:bookmarkStart w:id="53" w:name="page54"/>
    <w:bookmarkEnd w:id="53"/>
    <w:p>
      <w:pPr>
        <w:ind w:right="360"/>
        <w:spacing w:after="0" w:line="261" w:lineRule="auto"/>
        <w:rPr>
          <w:sz w:val="20"/>
          <w:szCs w:val="20"/>
          <w:color w:val="auto"/>
        </w:rPr>
      </w:pPr>
      <w:r>
        <w:rPr>
          <w:rFonts w:ascii="Times New Roman" w:cs="Times New Roman" w:eastAsia="Times New Roman" w:hAnsi="Times New Roman"/>
          <w:sz w:val="18"/>
          <w:szCs w:val="18"/>
          <w:color w:val="auto"/>
        </w:rPr>
        <w:t>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7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(PTA) for patents in families where related patents have issued without PTA. Thus, it cannot be said with certainty how PTA will/will not be viewed in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June 1, 2023, which has and will continue to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it is still developing its case law,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8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4" w:lineRule="exact"/>
        <w:rPr>
          <w:sz w:val="20"/>
          <w:szCs w:val="20"/>
          <w:color w:val="auto"/>
        </w:rPr>
      </w:pPr>
    </w:p>
    <w:p>
      <w:pPr>
        <w:ind w:left="960" w:right="120" w:hanging="514"/>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or cells that are similar to the biological compositions of our product candidates but that are not covered by the claims of our patents;</w:t>
      </w:r>
    </w:p>
    <w:p>
      <w:pPr>
        <w:spacing w:after="0" w:line="53" w:lineRule="exact"/>
        <w:rPr>
          <w:rFonts w:ascii="Times New Roman" w:cs="Times New Roman" w:eastAsia="Times New Roman" w:hAnsi="Times New Roman"/>
          <w:sz w:val="18"/>
          <w:szCs w:val="18"/>
          <w:color w:val="auto"/>
        </w:rPr>
      </w:pPr>
    </w:p>
    <w:p>
      <w:pPr>
        <w:ind w:left="960" w:hanging="514"/>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53" w:lineRule="exact"/>
        <w:rPr>
          <w:rFonts w:ascii="Times New Roman" w:cs="Times New Roman" w:eastAsia="Times New Roman" w:hAnsi="Times New Roman"/>
          <w:sz w:val="18"/>
          <w:szCs w:val="18"/>
          <w:color w:val="auto"/>
        </w:rPr>
      </w:pPr>
    </w:p>
    <w:p>
      <w:pPr>
        <w:ind w:left="960" w:right="500" w:hanging="514"/>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might not have been the first to file patent applications for these inventions;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117" w:lineRule="exact"/>
        <w:rPr>
          <w:rFonts w:ascii="Times New Roman" w:cs="Times New Roman" w:eastAsia="Times New Roman" w:hAnsi="Times New Roman"/>
          <w:sz w:val="18"/>
          <w:szCs w:val="18"/>
          <w:color w:val="auto"/>
        </w:rPr>
      </w:pPr>
    </w:p>
    <w:p>
      <w:pPr>
        <w:ind w:left="960" w:right="140" w:hanging="514"/>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us or our licensors’ patents, as the case may be, or parts of ours or their patents;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117" w:lineRule="exact"/>
        <w:rPr>
          <w:rFonts w:ascii="Times New Roman" w:cs="Times New Roman" w:eastAsia="Times New Roman" w:hAnsi="Times New Roman"/>
          <w:sz w:val="18"/>
          <w:szCs w:val="18"/>
          <w:color w:val="auto"/>
        </w:rPr>
      </w:pPr>
    </w:p>
    <w:p>
      <w:pPr>
        <w:ind w:left="960" w:right="260" w:hanging="514"/>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products or technology similar to our own;</w:t>
      </w:r>
    </w:p>
    <w:p>
      <w:pPr>
        <w:spacing w:after="0" w:line="53" w:lineRule="exact"/>
        <w:rPr>
          <w:rFonts w:ascii="Times New Roman" w:cs="Times New Roman" w:eastAsia="Times New Roman" w:hAnsi="Times New Roman"/>
          <w:sz w:val="18"/>
          <w:szCs w:val="18"/>
          <w:color w:val="auto"/>
        </w:rPr>
      </w:pPr>
    </w:p>
    <w:p>
      <w:pPr>
        <w:ind w:left="960" w:right="120" w:hanging="514"/>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ours or our licensors’, as the case may be, proprietary rights to the same extent as the laws of the United States;</w:t>
      </w:r>
    </w:p>
    <w:p>
      <w:pPr>
        <w:spacing w:after="0" w:line="53" w:lineRule="exact"/>
        <w:rPr>
          <w:rFonts w:ascii="Times New Roman" w:cs="Times New Roman" w:eastAsia="Times New Roman" w:hAnsi="Times New Roman"/>
          <w:sz w:val="18"/>
          <w:szCs w:val="18"/>
          <w:color w:val="auto"/>
        </w:rPr>
      </w:pPr>
    </w:p>
    <w:p>
      <w:pPr>
        <w:ind w:left="960" w:right="660" w:hanging="514"/>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our product candidates;</w:t>
      </w:r>
    </w:p>
    <w:p>
      <w:pPr>
        <w:spacing w:after="0" w:line="53" w:lineRule="exact"/>
        <w:rPr>
          <w:rFonts w:ascii="Times New Roman" w:cs="Times New Roman" w:eastAsia="Times New Roman" w:hAnsi="Times New Roman"/>
          <w:sz w:val="18"/>
          <w:szCs w:val="18"/>
          <w:color w:val="auto"/>
        </w:rPr>
      </w:pPr>
    </w:p>
    <w:p>
      <w:pPr>
        <w:ind w:left="960" w:right="40" w:hanging="514"/>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54" w:name="page55"/>
    <w:bookmarkEnd w:id="54"/>
    <w:p>
      <w:pPr>
        <w:ind w:left="960" w:hanging="514"/>
        <w:spacing w:after="0" w:line="266"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67" w:lineRule="exact"/>
        <w:rPr>
          <w:rFonts w:ascii="Times New Roman" w:cs="Times New Roman" w:eastAsia="Times New Roman" w:hAnsi="Times New Roman"/>
          <w:sz w:val="18"/>
          <w:szCs w:val="18"/>
          <w:color w:val="auto"/>
        </w:rPr>
      </w:pPr>
    </w:p>
    <w:p>
      <w:pPr>
        <w:ind w:left="960" w:right="220" w:hanging="514"/>
        <w:spacing w:after="0" w:line="266"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67" w:lineRule="exact"/>
        <w:rPr>
          <w:rFonts w:ascii="Times New Roman" w:cs="Times New Roman" w:eastAsia="Times New Roman" w:hAnsi="Times New Roman"/>
          <w:sz w:val="18"/>
          <w:szCs w:val="18"/>
          <w:color w:val="auto"/>
        </w:rPr>
      </w:pPr>
    </w:p>
    <w:p>
      <w:pPr>
        <w:ind w:left="960" w:right="220" w:hanging="514"/>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we develop may be covered by third parties’ patents or other exclusive rights; or</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third parties and termination of any of these licenses could result in the loss of significant rights, which would harm our business.</w:t>
      </w:r>
    </w:p>
    <w:p>
      <w:pPr>
        <w:spacing w:after="0" w:line="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licensed from others including Harvard. Any termination of these licenses could result in the loss of significant rights and could harm our ability to commercialize our product candidates.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17" w:lineRule="exact"/>
        <w:rPr>
          <w:sz w:val="20"/>
          <w:szCs w:val="20"/>
          <w:color w:val="auto"/>
        </w:rPr>
      </w:pPr>
    </w:p>
    <w:p>
      <w:pPr>
        <w:ind w:left="960" w:right="80" w:hanging="514"/>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 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960" w:hanging="514"/>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53" w:lineRule="exact"/>
        <w:rPr>
          <w:rFonts w:ascii="Times New Roman" w:cs="Times New Roman" w:eastAsia="Times New Roman" w:hAnsi="Times New Roman"/>
          <w:sz w:val="18"/>
          <w:szCs w:val="18"/>
          <w:color w:val="auto"/>
        </w:rPr>
      </w:pPr>
    </w:p>
    <w:p>
      <w:pPr>
        <w:ind w:left="960" w:right="200" w:hanging="514"/>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the joint creation or use of intellectual property by our licensors and us and our partners.</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disputes over intellectual property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is described below. If we or our licensors fail to adequately protect this intellectual property, our ability to commercialize products could suffer.</w:t>
      </w:r>
    </w:p>
    <w:p>
      <w:pPr>
        <w:spacing w:after="0" w:line="1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patent licenses with a third party, we could lose license rights that are important to our business.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 party license agreements pursuant to which we in-license key patent and patent applications for our product candidates. These existing licenses impose various diligence, milestone payment, royalty, insurance and other obligations on us. If we fail to comply with these obligations, our licensors may have the right to terminate the license, in which event we would not be able to develop or market the products covered by such licensed intellectual property. Termination of these agreements or reduction or elimination of our rights under these agreements, or restrictions on our ability to freely assign or sublicense our rights under such agreements when it is in the interest of our business to do so, may impede, delay or prohibit the further development or commercialization of one or more product candidates that rely on such agreements.</w:t>
      </w:r>
    </w:p>
    <w:p>
      <w:pPr>
        <w:spacing w:after="0" w:line="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may have limited control over the maintenance and prosecution of these in-licensed patents and patent applications, activities or any other intellectual property that may be related to our in-licensed intellectual property. For example, we</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1093" w:right="379" w:bottom="1440" w:gutter="0" w:footer="0" w:header="0"/>
        </w:sectPr>
      </w:pPr>
    </w:p>
    <w:bookmarkStart w:id="55" w:name="page56"/>
    <w:bookmarkEnd w:id="55"/>
    <w:p>
      <w:pPr>
        <w:ind w:right="200"/>
        <w:spacing w:after="0" w:line="282" w:lineRule="auto"/>
        <w:rPr>
          <w:sz w:val="20"/>
          <w:szCs w:val="20"/>
          <w:color w:val="auto"/>
        </w:rPr>
      </w:pPr>
      <w:r>
        <w:rPr>
          <w:rFonts w:ascii="Times New Roman" w:cs="Times New Roman" w:eastAsia="Times New Roman" w:hAnsi="Times New Roman"/>
          <w:sz w:val="18"/>
          <w:szCs w:val="18"/>
          <w:color w:val="auto"/>
        </w:rPr>
        <w:t>cannot be certain that such activities by our licensor have been or will be conducted in compliance with applicable laws and regulations or will result in valid and enforceable patents and other intellectual property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our business and competitive position would be harmed.</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rely upon know-how,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by an employee or third party with authorized access, provide adequate protection for our proprietary information. Our security measures may not prevent an employee or consultant from misappropriating our proprietary information and providing them to a competitor, and recourse we take against such misconduct may not provide an adequate remedy to protect our interests fully. Enforcing a claim that a party illegally disclosed or misappropriated proprietary information can be difficult, expensive, and time-consuming, and the outcome is unpredictable. In addition, proprietary information may be independently developed by others in a manner that could prevent legal recourse by us. If any of our confidential or proprietary information were to be disclosed or misappropriated, or if any such information was independently developed by a competitor, our competitive position could be harmed.</w:t>
      </w:r>
    </w:p>
    <w:p>
      <w:pPr>
        <w:spacing w:after="0" w:line="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courts outside the United States are sometimes less willing to protect proprietary information. If we choose to go to court to stop a third party from using any of our proprietary information, we may incur substantial costs. These lawsuits may consume our time and other resources even if we are successful. Although we take steps to protect our proprietary information and techniques, including through contractual means with our employees and consultants, third parties may independently develop substantially equivalent proprietary information and techniques or otherwise gain access to, or disclose, our technology.</w:t>
      </w:r>
    </w:p>
    <w:p>
      <w:pPr>
        <w:spacing w:after="0" w:line="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Thus, we may not be able to meaningfully protect our proprietary information.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information by third parties. We have also adopted policies and conduct training that provides guidance on our expectations, and our advice for best practices, in protecting our proprietary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product discovery and development efforts.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third-party claims that we infringe its intellectual property rights, we may face a number of issues, including, but not limited to:</w:t>
      </w:r>
    </w:p>
    <w:p>
      <w:pPr>
        <w:spacing w:after="0" w:line="117" w:lineRule="exact"/>
        <w:rPr>
          <w:sz w:val="20"/>
          <w:szCs w:val="20"/>
          <w:color w:val="auto"/>
        </w:rPr>
      </w:pPr>
    </w:p>
    <w:p>
      <w:pPr>
        <w:ind w:left="960" w:hanging="514"/>
        <w:spacing w:after="0" w:line="282"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may divert our management’s attention from our core business;</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56" w:name="page57"/>
    <w:bookmarkEnd w:id="56"/>
    <w:p>
      <w:pPr>
        <w:ind w:left="960" w:right="40" w:hanging="514"/>
        <w:spacing w:after="0" w:line="266"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ind w:left="960" w:right="180" w:hanging="51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 party licenses its intellectual property rights to us, which it is not required to do;</w:t>
      </w:r>
    </w:p>
    <w:p>
      <w:pPr>
        <w:spacing w:after="0" w:line="53" w:lineRule="exact"/>
        <w:rPr>
          <w:rFonts w:ascii="Times New Roman" w:cs="Times New Roman" w:eastAsia="Times New Roman" w:hAnsi="Times New Roman"/>
          <w:sz w:val="18"/>
          <w:szCs w:val="18"/>
          <w:color w:val="auto"/>
        </w:rPr>
      </w:pPr>
    </w:p>
    <w:p>
      <w:pPr>
        <w:ind w:left="960" w:right="260" w:hanging="51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its products;</w:t>
      </w:r>
    </w:p>
    <w:p>
      <w:pPr>
        <w:spacing w:after="0" w:line="53" w:lineRule="exact"/>
        <w:rPr>
          <w:rFonts w:ascii="Times New Roman" w:cs="Times New Roman" w:eastAsia="Times New Roman" w:hAnsi="Times New Roman"/>
          <w:sz w:val="18"/>
          <w:szCs w:val="18"/>
          <w:color w:val="auto"/>
        </w:rPr>
      </w:pPr>
    </w:p>
    <w:p>
      <w:pPr>
        <w:ind w:left="960" w:right="480" w:hanging="51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 candidates or processes so they do not infringe, which may not be possible or may require substantial monetary expenditures and time; and</w:t>
      </w:r>
    </w:p>
    <w:p>
      <w:pPr>
        <w:spacing w:after="0" w:line="53" w:lineRule="exact"/>
        <w:rPr>
          <w:rFonts w:ascii="Times New Roman" w:cs="Times New Roman" w:eastAsia="Times New Roman" w:hAnsi="Times New Roman"/>
          <w:sz w:val="18"/>
          <w:szCs w:val="18"/>
          <w:color w:val="auto"/>
        </w:rPr>
      </w:pPr>
    </w:p>
    <w:p>
      <w:pPr>
        <w:ind w:left="960" w:right="80" w:hanging="514"/>
        <w:spacing w:after="0" w:line="261"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7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Generally, conducting clinical trials and other development activities in the United States is protected under the Safe Harbor exemption as set forth in 35 U.S.C. § 271. If and when TX45 or another one of our product candidates is approved by the FDA, certain third parties may seek to enforce their patents by filing a patent infringement lawsuit against us. While we do not believe that any claims of such patent that could otherwise materially adversely affect commercialization of our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9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8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Lastly, we may need to indemnify our customers and distributors against claims relating to the infringement of intellectual property rights of third parties related to our product candidates, including TX45. Third parties may assert infringement claims against our customers or distributors. These claims may require us to initiate or defend protracted and costly litigation</w:t>
      </w:r>
    </w:p>
    <w:p>
      <w:pPr>
        <w:spacing w:after="0" w:line="1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57" w:name="page58"/>
    <w:bookmarkEnd w:id="57"/>
    <w:p>
      <w:pPr>
        <w:ind w:right="220"/>
        <w:spacing w:after="0" w:line="261" w:lineRule="auto"/>
        <w:rPr>
          <w:sz w:val="20"/>
          <w:szCs w:val="20"/>
          <w:color w:val="auto"/>
        </w:rPr>
      </w:pPr>
      <w:r>
        <w:rPr>
          <w:rFonts w:ascii="Times New Roman" w:cs="Times New Roman" w:eastAsia="Times New Roman" w:hAnsi="Times New Roman"/>
          <w:sz w:val="18"/>
          <w:szCs w:val="18"/>
          <w:color w:val="auto"/>
        </w:rPr>
        <w:t>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or services.</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proprietary information.</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employed at universities or other biopharmaceutical or pharmaceutical companies, including our competitors or potential competitors. In addition, we have used and continue to use consultants, advisors, and/or independent contractors with relationships with third parties, including institutions and/or other companies. We try to ensure that our employees, consultants, advisors, and/or independent contractors have the right to assign to us intellectual property generated during their engagement with us, and that they do not use the proprietary information or know-how of others in their work for us. Although no claims against us are currently pending, there is no guarantee that in the future we may not be subject to claims that we or our employees, consultants, advisors, or independent contractors have inadvertently or otherwise used or disclosed intellectual property, including trade secrets or other proprietary information, of a former employer or other third parties, or improperly assign intellectual property rights to us.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p>
    <w:p>
      <w:pPr>
        <w:spacing w:after="0" w:line="8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Uncertainties resulting from the initiation and continuation of patent litigation or other intellectual property related proceedings could adversely affect our ability to compete in the marketplace.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develop any future product candidates on acceptable terms.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product candidates may also require specific formulations to work effectively and efficiently and these rights may be held by others. We may develop products containing pre-existing 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it.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w:t>
      </w:r>
    </w:p>
    <w:p>
      <w:pPr>
        <w:spacing w:after="0" w:line="1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58" w:name="page59"/>
    <w:bookmarkEnd w:id="58"/>
    <w:p>
      <w:pPr>
        <w:ind w:right="80"/>
        <w:spacing w:after="0" w:line="282" w:lineRule="auto"/>
        <w:rPr>
          <w:sz w:val="20"/>
          <w:szCs w:val="20"/>
          <w:color w:val="auto"/>
        </w:rPr>
      </w:pPr>
      <w:r>
        <w:rPr>
          <w:rFonts w:ascii="Times New Roman" w:cs="Times New Roman" w:eastAsia="Times New Roman" w:hAnsi="Times New Roman"/>
          <w:sz w:val="18"/>
          <w:szCs w:val="18"/>
          <w:color w:val="auto"/>
        </w:rPr>
        <w:t>such negotiations and ultimately acquire the rights to the intellectual property surrounding the additional product candidates that we may seek to acquire.</w:t>
      </w:r>
    </w:p>
    <w:p>
      <w:pPr>
        <w:spacing w:after="0" w:line="158"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related to our patents or the patents of our licensors, which could be expensive, time-consuming and unsuccessful.</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its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8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8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proprietary or confidential information, particularly in countries where the laws may not protect those rights as fully as in the United States.</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8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or the USPTO.</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8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Moreover, the patents included in our patent portfolio may expire before, or soon after, our first product achieves marketing approval in the United States or foreign jurisdictions. Upon the expiration of our current or future owned or licensed patents, we may lose the right to exclude others from practicing these inventions. The expiration of these patents could also have a similar material adverse effect on our business, results of operations, financial condition and prospects. We own or have exclusively in-licensed pending patent applications that relate to our proprietary technologies or our product candidates that if issued as patents are expected to expire from 2041 through 2044, without taking into account any possible patent term adjustments or extensions. However, we cannot be assured that the USPTO or relevant foreign patent offices will grant any of these patent applications.</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U.S. and in ex-U.S. jurisdictions could diminish the value of patents in general, thereby impairing our ability to protect our products.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recently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case </w:t>
      </w:r>
      <w:r>
        <w:rPr>
          <w:rFonts w:ascii="Times New Roman" w:cs="Times New Roman" w:eastAsia="Times New Roman" w:hAnsi="Times New Roman"/>
          <w:sz w:val="18"/>
          <w:szCs w:val="18"/>
          <w:i w:val="1"/>
          <w:iCs w:val="1"/>
          <w:color w:val="auto"/>
        </w:rPr>
        <w:t>Amgen Inc. v. Sanofi,</w:t>
      </w:r>
      <w:r>
        <w:rPr>
          <w:rFonts w:ascii="Times New Roman" w:cs="Times New Roman" w:eastAsia="Times New Roman" w:hAnsi="Times New Roman"/>
          <w:sz w:val="18"/>
          <w:szCs w:val="18"/>
          <w:color w:val="auto"/>
        </w:rPr>
        <w:t xml:space="preserve"> the Federal Circuit held that a well-characterized antigen is insufficient to satisfy the written description requirement of certain claims directed to a genus of antibodies that are solely defined by function; and in the case of </w:t>
      </w:r>
      <w:r>
        <w:rPr>
          <w:rFonts w:ascii="Times New Roman" w:cs="Times New Roman" w:eastAsia="Times New Roman" w:hAnsi="Times New Roman"/>
          <w:sz w:val="18"/>
          <w:szCs w:val="18"/>
          <w:i w:val="1"/>
          <w:iCs w:val="1"/>
          <w:color w:val="auto"/>
        </w:rPr>
        <w:t>Assoc. for Molecular Pathology v. Myriad Genetics, Inc.,</w:t>
      </w:r>
      <w:r>
        <w:rPr>
          <w:rFonts w:ascii="Times New Roman" w:cs="Times New Roman" w:eastAsia="Times New Roman" w:hAnsi="Times New Roman"/>
          <w:sz w:val="18"/>
          <w:szCs w:val="18"/>
          <w:color w:val="auto"/>
        </w:rPr>
        <w:t xml:space="preserve"> the Supreme Court held that certain claims to DNA molecules are not patentable. We cannot predict how these decisions or any future decisions by the courts, the U.S. Congress or the USPTO may impact the value of our patents. Similarly, any adverse changes in the patent laws of other jurisdictions could have a material adverse effect on our business and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Consequently, we may not be able to prevent third parties from practicing our inventions in all countries outside the United States, or from selling or importing products made using our inventions in and into the United States or other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its business, our competitive position may be impaired, and our business, financial condition, results of operations and prospects may be adversely affected. Also, competitors may use our technologies in</w:t>
      </w:r>
    </w:p>
    <w:p>
      <w:pPr>
        <w:spacing w:after="0" w:line="18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197" w:right="359" w:bottom="1440" w:gutter="0" w:footer="0" w:header="0"/>
        </w:sectPr>
      </w:pPr>
    </w:p>
    <w:bookmarkStart w:id="60" w:name="page61"/>
    <w:bookmarkEnd w:id="60"/>
    <w:p>
      <w:pPr>
        <w:ind w:right="20"/>
        <w:spacing w:after="0" w:line="261" w:lineRule="auto"/>
        <w:rPr>
          <w:sz w:val="20"/>
          <w:szCs w:val="20"/>
          <w:color w:val="auto"/>
        </w:rPr>
      </w:pPr>
      <w:r>
        <w:rPr>
          <w:rFonts w:ascii="Times New Roman" w:cs="Times New Roman" w:eastAsia="Times New Roman" w:hAnsi="Times New Roman"/>
          <w:sz w:val="18"/>
          <w:szCs w:val="18"/>
          <w:color w:val="auto"/>
        </w:rPr>
        <w:t>jurisdictions where we have not obtained patent protection to develop our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7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patents, and we may be unable to protect our rights to our products and technology.</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is also the risk that, even if the validity of these patents is upheld, the court will refuse to stop the third party on the ground that such third party’s activities do not infringe our owned or in-licensed patents. In addition, the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7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w:t>
      </w:r>
    </w:p>
    <w:p>
      <w:pPr>
        <w:spacing w:after="0" w:line="8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If another party questions the patentability of any of our claims in our owned or in-licensed U.S. patents, the third-party can request that the USPTO review the patent claims such as in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foreign patent offices, where either our owned or in-licensed foreign patents are challenged.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our right to exclude others from practicing one or more of our inventions in the relevant country or jurisdiction, which could have a material adverse effect on our business.</w:t>
      </w:r>
    </w:p>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the future, we may be involved in similar proceedings challenging the patent rights of others, and the outcome of such proceedings is highly uncertain. We may choose to challenge the patentability of claims in a third party’s U.S. patent by requesting that the USPTO review the patent claims in an </w:t>
      </w:r>
      <w:r>
        <w:rPr>
          <w:rFonts w:ascii="Times New Roman" w:cs="Times New Roman" w:eastAsia="Times New Roman" w:hAnsi="Times New Roman"/>
          <w:sz w:val="18"/>
          <w:szCs w:val="18"/>
          <w:i w:val="1"/>
          <w:iCs w:val="1"/>
          <w:color w:val="auto"/>
        </w:rPr>
        <w:t>ex-parte</w:t>
      </w:r>
      <w:r>
        <w:rPr>
          <w:rFonts w:ascii="Times New Roman" w:cs="Times New Roman" w:eastAsia="Times New Roman" w:hAnsi="Times New Roman"/>
          <w:sz w:val="18"/>
          <w:szCs w:val="18"/>
          <w:color w:val="auto"/>
        </w:rPr>
        <w:t xml:space="preserve"> re-exam,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 party’s patent in patent opposition proceedings in the foreign patent offices. The costs of these opposition proceedings</w:t>
      </w:r>
    </w:p>
    <w:p>
      <w:pPr>
        <w:spacing w:after="0" w:line="1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61" w:name="page62"/>
    <w:bookmarkEnd w:id="61"/>
    <w:p>
      <w:pPr>
        <w:ind w:right="20"/>
        <w:spacing w:after="0" w:line="312" w:lineRule="auto"/>
        <w:rPr>
          <w:sz w:val="20"/>
          <w:szCs w:val="20"/>
          <w:color w:val="auto"/>
        </w:rPr>
      </w:pPr>
      <w:r>
        <w:rPr>
          <w:rFonts w:ascii="Times New Roman" w:cs="Times New Roman" w:eastAsia="Times New Roman" w:hAnsi="Times New Roman"/>
          <w:sz w:val="17"/>
          <w:szCs w:val="17"/>
          <w:color w:val="auto"/>
        </w:rPr>
        <w:t>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product candidates we may develop, our business may be materially harmed.</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Further, for our licensed patents, we may not have the right to control prosecution, including filing with the USPTO, of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9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 names or trademarks that incorporate variations of our unregistered trade names or trademarks. If we are unable to establish name recognition based on our trademarks and trade names, we may not be able to compete effectively, and our business may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rely in the future on the use of manufacturing suites in third-party facilities or on third parties to manufacture TX45, TX2100 and any other product candidates, and we may rely on third parties to produce and process our products, if approved. Our business could be adversely affected if we are unable to use third-party manufacturing suites or if the third-party manufacturers encounter difficulties in production.</w:t>
      </w:r>
    </w:p>
    <w:p>
      <w:pPr>
        <w:spacing w:after="0" w:line="7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do not currently lease or own any facility that may be used as our clinical-scale manufacturing and processing facility and currently rely on contract development and manufacturing organizations (“CDMO”), including WuXi Biologics (Hong Kong) Limited (“WuXi Biologics”), to manufacture TX45 for use in our Phase 1a, Phase 1b and Phase 2 clinical trials. We currently have a sole source relationship with WuXi Biologics for our supply of TX45. If there should be any disruption in such supply arrangement or the supply arrangement with our CDMO for TX2100, including any adverse events affecting our sole supplier for TX45, Wuxi Biologics, it could have a negative effect on the clinical development of our product candidates</w:t>
      </w:r>
    </w:p>
    <w:p>
      <w:pPr>
        <w:spacing w:after="0" w:line="1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62" w:name="page63"/>
    <w:bookmarkEnd w:id="62"/>
    <w:p>
      <w:pPr>
        <w:ind w:right="20"/>
        <w:spacing w:after="0" w:line="252" w:lineRule="auto"/>
        <w:rPr>
          <w:sz w:val="20"/>
          <w:szCs w:val="20"/>
          <w:color w:val="auto"/>
        </w:rPr>
      </w:pPr>
      <w:r>
        <w:rPr>
          <w:rFonts w:ascii="Times New Roman" w:cs="Times New Roman" w:eastAsia="Times New Roman" w:hAnsi="Times New Roman"/>
          <w:sz w:val="18"/>
          <w:szCs w:val="18"/>
          <w:color w:val="auto"/>
        </w:rPr>
        <w:t>and other operations while we work to identify and qualify an alternate supply source. We may not control the manufacturing process of, and may be completely dependent on, our contract manufacturing partners for compliance with CGMP requirements and any other regulatory requirements of the FDA or comparable foreign regulatory authorities for the manufacture of a product candidate. We perform periodic audits of each CDMO facility that supports our supply of TX45 and TX 2100 and reviews and approves all TX45 and TX2100 CGMP-related documentation. We also have quality agreements with our CDMOs that document our mutual agreement on compliance with CGMPs and expectations on quality-required communications to us. Beyond this, we have no control over the ability of our CDMOs to maintain adequate quality control, quality assurance and qualified personnel. If the FDA or a comparable foreign regulatory authority does not approve these facilities and the associated Quality Management System for the manufacture of a product candidate or if it withdraws any approval in the future, we may need to find alternative manufacturing facilities, which would require the incurrence of significant additional costs and materially and adversely affect our ability to develop, obtain regulatory approval for or market such product candidate, if approved. Similarly, our failure, or the failure of our CDMOs,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a product candidate or drug and harm our business and results of operations. In addition, we have not yet caused any product candidates to be manufactured on a commercial scale and may not be able to do so for any of our product candidates, if approved.</w:t>
      </w:r>
    </w:p>
    <w:p>
      <w:pPr>
        <w:spacing w:after="0" w:line="8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Moreover, our CDMOs may experience manufacturing difficulties due to resource constraints, governmental restrictions or as a result of labor disputes or unstable political environments. Supply chain issues, including those resulting from the a health pandemic and the ongoing military conflict between Russia and Ukraine, may affect our third-party vendors and cause delays. Furthermore, since we have engaged WuXi Biologics, a manufacturer located in China, we are exposed to the possibility of product supply disruption and increased costs in the event of changes in the policies of the United States or Chinese governments or political unrest or unstable economic conditions in China. For example, the U.S. House of Representatives of the prior Congress (the 118th Congress) passed the BIOSECURE Act, which proposed targeting U.S. government contracts, loans, and grants to entities that use biotechnology equipment or services from certain Chinese biotechnology companies, including Wuxi Biologics, and would authorize the U.S. government to name other Chinese biotechnology companies of concern. The version of the BIOSECURE Act passed by the prior House of Representatives included a grandfathering provision allowing biotechnology equipment and services provided or produced by WuXi Biologics and other named biotechnology companies of concern under a contract or agreement entered into before the effective date until January 1, 2032. The BIOSECURE Act did not become law in the 118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Congress. It is unclear whether the current Congress (the 119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Congress) will introduce the BIOSECURE Act or similar legislation in this congressional session and, if so, how the scope, prohibitions, or designated biotechnology companies of concern may differ from the version of the BIOSECURE Act passed by the House in the prior 118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Congress. In addition to the BIOSECURE Act, any additional U.S. executive action, legislative action, or potential sanctions with China could materially impact our work with WuXi Biologics. U.S. executive agencies have the ability to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If we are required to change manufacturers for any reason, we will be required to verify that the new manufacturer maintains facilities and procedures that comply with quality standards and with all applicable regulations and guidelines. For example, in the event that we need to transfer from WuXi Biologics, which is our sole manufacturing source for TX45, we anticipate that the complexity of the manufacturing process may materially impact the amount of time it would take to secure a replacement manufacturer. The delays associated with the verification of a new manufacturer, if we are able to identify an alternative source, could negatively affect our ability to supply product candidates, including TX45, in a timely manner or within budget. If any CDMO on which we will rely fails to manufacture quantities of a product candidate at quality levels necessary to meet regulatory requirements and at a scale sufficient to meet anticipated demand at a cost that allows us to achieve profitability, our business, financial condition, cash flows, and prospects could be materially and adversely affected. In addition, our CDMO and/or distribution partners are responsible for transporting temperature-controlled materials that can be inadvertently degraded during transport due to several factors, rendering certain batches unsuitable for trial use for failure to meet, among others, our integrity and purity specifications. We and our CDMO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products.</w:t>
      </w:r>
    </w:p>
    <w:p>
      <w:pPr>
        <w:spacing w:after="0" w:line="19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63" w:name="page64"/>
    <w:bookmarkEnd w:id="63"/>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including independent clinical investigators, contracted laboratories and third-party CROs, to conduct our preclinical studies and clinical trials in accordance with applicable regulatory requirements, to validate our assays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w:t>
      </w:r>
    </w:p>
    <w:p>
      <w:pPr>
        <w:spacing w:after="0" w:line="8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79"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Our CROs have the right to terminate their agreements with us in the event of an uncured material breach. In addition, some of our CROs have an ability to terminate their respective agreements with us if we can be reasonably demonstrated that the safety of the subjects participating in our clinical trials warrants such termination, if we make a general assignment for the benefit of our creditors or if we are liquidated.</w:t>
      </w:r>
    </w:p>
    <w:p>
      <w:pPr>
        <w:spacing w:after="0" w:line="5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6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w:t>
      </w:r>
    </w:p>
    <w:p>
      <w:pPr>
        <w:spacing w:after="0" w:line="1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197" w:right="359" w:bottom="1440" w:gutter="0" w:footer="0" w:header="0"/>
        </w:sectPr>
      </w:pPr>
    </w:p>
    <w:bookmarkStart w:id="64" w:name="page65"/>
    <w:bookmarkEnd w:id="64"/>
    <w:p>
      <w:pPr>
        <w:ind w:right="120"/>
        <w:spacing w:after="0" w:line="282" w:lineRule="auto"/>
        <w:rPr>
          <w:sz w:val="20"/>
          <w:szCs w:val="20"/>
          <w:color w:val="auto"/>
        </w:rPr>
      </w:pPr>
      <w:r>
        <w:rPr>
          <w:rFonts w:ascii="Times New Roman" w:cs="Times New Roman" w:eastAsia="Times New Roman" w:hAnsi="Times New Roman"/>
          <w:sz w:val="18"/>
          <w:szCs w:val="18"/>
          <w:color w:val="auto"/>
        </w:rPr>
        <w:t>could result in the delay or rejection by the FDA. Any such delay or rejection could prevent us from commercializing our clinical-stage product candidate or any future product candidates.</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collaborations will be important to our business. If we are unable to enter into new collaborations, or if these collaborations are not successful, our business could be adversely affected.</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 part of our strategy is to strategically evaluate and, as deemed appropriate, enter into additional strategic collaborations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future collaborations we enter into may pose a number of risks, including, but not limited to, the following:</w:t>
      </w:r>
    </w:p>
    <w:p>
      <w:pPr>
        <w:spacing w:after="0" w:line="117" w:lineRule="exact"/>
        <w:rPr>
          <w:sz w:val="20"/>
          <w:szCs w:val="20"/>
          <w:color w:val="auto"/>
        </w:rPr>
      </w:pPr>
    </w:p>
    <w:p>
      <w:pPr>
        <w:ind w:left="960" w:hanging="51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960" w:hanging="514"/>
        <w:spacing w:after="0" w:line="261"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71" w:lineRule="exact"/>
        <w:rPr>
          <w:rFonts w:ascii="Times New Roman" w:cs="Times New Roman" w:eastAsia="Times New Roman" w:hAnsi="Times New Roman"/>
          <w:sz w:val="18"/>
          <w:szCs w:val="18"/>
          <w:color w:val="auto"/>
        </w:rPr>
      </w:pPr>
    </w:p>
    <w:p>
      <w:pPr>
        <w:jc w:val="both"/>
        <w:ind w:left="960" w:right="340" w:hanging="514"/>
        <w:spacing w:after="0" w:line="312" w:lineRule="auto"/>
        <w:tabs>
          <w:tab w:leader="none" w:pos="9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1" w:lineRule="exact"/>
        <w:rPr>
          <w:rFonts w:ascii="Times New Roman" w:cs="Times New Roman" w:eastAsia="Times New Roman" w:hAnsi="Times New Roman"/>
          <w:sz w:val="17"/>
          <w:szCs w:val="17"/>
          <w:color w:val="auto"/>
        </w:rPr>
      </w:pPr>
    </w:p>
    <w:p>
      <w:pPr>
        <w:ind w:left="960" w:right="460" w:hanging="514"/>
        <w:spacing w:after="0" w:line="266"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960" w:right="20" w:hanging="514"/>
        <w:spacing w:after="0" w:line="266"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ours may be viewed by our collaborators as competitive with their own product candidates or products, which may cause collaborators to cease to devote resources to the commercialization of our product candidates;</w:t>
      </w:r>
    </w:p>
    <w:p>
      <w:pPr>
        <w:spacing w:after="0" w:line="67" w:lineRule="exact"/>
        <w:rPr>
          <w:rFonts w:ascii="Times New Roman" w:cs="Times New Roman" w:eastAsia="Times New Roman" w:hAnsi="Times New Roman"/>
          <w:sz w:val="18"/>
          <w:szCs w:val="18"/>
          <w:color w:val="auto"/>
        </w:rPr>
      </w:pPr>
    </w:p>
    <w:p>
      <w:pPr>
        <w:ind w:left="960" w:right="160" w:hanging="514"/>
        <w:spacing w:after="0" w:line="282"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comply with applicable regulatory requirements regarding the development, manufacture, distribution or marketing of a product candidate or product;</w:t>
      </w:r>
    </w:p>
    <w:p>
      <w:pPr>
        <w:spacing w:after="0" w:line="53" w:lineRule="exact"/>
        <w:rPr>
          <w:rFonts w:ascii="Times New Roman" w:cs="Times New Roman" w:eastAsia="Times New Roman" w:hAnsi="Times New Roman"/>
          <w:sz w:val="18"/>
          <w:szCs w:val="18"/>
          <w:color w:val="auto"/>
        </w:rPr>
      </w:pPr>
    </w:p>
    <w:p>
      <w:pPr>
        <w:ind w:left="960" w:right="100" w:hanging="514"/>
        <w:spacing w:after="0" w:line="282"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960" w:right="60" w:hanging="514"/>
        <w:spacing w:after="0" w:line="261"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960" w:right="100" w:hanging="514"/>
        <w:spacing w:after="0" w:line="266"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17" w:lineRule="exact"/>
        <w:rPr>
          <w:rFonts w:ascii="Times New Roman" w:cs="Times New Roman" w:eastAsia="Times New Roman" w:hAnsi="Times New Roman"/>
          <w:sz w:val="18"/>
          <w:szCs w:val="18"/>
          <w:color w:val="auto"/>
        </w:rPr>
      </w:pPr>
    </w:p>
    <w:p>
      <w:pPr>
        <w:ind w:left="960" w:right="40" w:hanging="514"/>
        <w:spacing w:after="0" w:line="282"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53" w:lineRule="exact"/>
        <w:rPr>
          <w:rFonts w:ascii="Times New Roman" w:cs="Times New Roman" w:eastAsia="Times New Roman" w:hAnsi="Times New Roman"/>
          <w:sz w:val="18"/>
          <w:szCs w:val="18"/>
          <w:color w:val="auto"/>
        </w:rPr>
      </w:pPr>
    </w:p>
    <w:p>
      <w:pPr>
        <w:ind w:left="960" w:right="160" w:hanging="514"/>
        <w:spacing w:after="0" w:line="282"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65" w:name="page66"/>
    <w:bookmarkEnd w:id="65"/>
    <w:p>
      <w:pPr>
        <w:spacing w:after="0" w:line="261" w:lineRule="auto"/>
        <w:rPr>
          <w:sz w:val="20"/>
          <w:szCs w:val="20"/>
          <w:color w:val="auto"/>
        </w:rPr>
      </w:pPr>
      <w:r>
        <w:rPr>
          <w:rFonts w:ascii="Times New Roman" w:cs="Times New Roman" w:eastAsia="Times New Roman" w:hAnsi="Times New Roman"/>
          <w:sz w:val="18"/>
          <w:szCs w:val="18"/>
          <w:color w:val="auto"/>
        </w:rPr>
        <w:t>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Quarterly Report also apply to the activities of our therapeutic collaborators.</w:t>
      </w:r>
    </w:p>
    <w:p>
      <w:pPr>
        <w:spacing w:after="0" w:line="7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Additionally, if one of our collaborators terminates its agreement with us, we may find it more difficult to attract new collaborators and our perception in the business and financial communities could be adversely affected.</w:t>
      </w:r>
    </w:p>
    <w:p>
      <w:pPr>
        <w:spacing w:after="0" w:line="5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collaborative partners. Our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Nonclinical research requires the use of Non-Human Primates (“NHP”), the supply of which could delay or prevent development of product candidates.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Consistent with various rules, regulations and CGMP requirements, our ability to advance our pre-clinical programs and successfully develop our product candidates requires access to animal research models sufficient to assess safety and in some cases to establish the rationale for therapeutic use. Failure to access or a significant delay in accessing animal research models that meet our needs or that fulfil regulatory requirements may materially adversely affect our ability to advance our pre-clinical programs and successfully develop our product candidates and this could result in significant harm to our business. During the COVID-19 pandemic, researchers and CROs experienced significant limitations in their access to animal research models, specifically including a sharp reduction in the availability of NHPs originating from breeding farms in Southeast Asia and limited access to the generation of genetically-modified rodent models used in efficacy evaluations. If we are unable to obtain NHPs in sufficient quantities and in a timely manner to meet the needs of our pre-clinical research programs, if the price of NHPs that are available increases significantly, or if our suppliers are unable to ship the NHPs in their possession that are reserved for them, our ability to advance our pre-clinical programs and successfully develop our pre-clinical candidates may be materially adversely affected or significantly delayed.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Employee Matters and Managing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highly dependent on our management team, including Alise Reicin, M.D., our President and Chief Executive Officer, Daniel Lochner, our Chief Financial Officer, Peter McNamara, Ph.D., our Chief Scientific Officer and Marcella K. Ruddy, M.D., our Chief Medical Officer. Each of them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w:t>
      </w:r>
    </w:p>
    <w:p>
      <w:pPr>
        <w:spacing w:after="0" w:line="75"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w:t>
      </w:r>
    </w:p>
    <w:p>
      <w:pPr>
        <w:spacing w:after="0" w:line="17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66" w:name="page67"/>
    <w:bookmarkEnd w:id="66"/>
    <w:p>
      <w:pPr>
        <w:ind w:right="240"/>
        <w:spacing w:after="0" w:line="258" w:lineRule="auto"/>
        <w:rPr>
          <w:sz w:val="20"/>
          <w:szCs w:val="20"/>
          <w:color w:val="auto"/>
        </w:rPr>
      </w:pPr>
      <w:r>
        <w:rPr>
          <w:rFonts w:ascii="Times New Roman" w:cs="Times New Roman" w:eastAsia="Times New Roman" w:hAnsi="Times New Roman"/>
          <w:sz w:val="18"/>
          <w:szCs w:val="18"/>
          <w:color w:val="auto"/>
        </w:rPr>
        <w:t>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17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72"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a product candidate in the clinical or at the commercial stage, and our product liability insurance may not cover all damages from such claims.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believe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Our operations, and those of our CROs, CDMOs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health-related data protection laws and regulations could lead to government enforcement actions, including civil or criminal penalties, private litigation, and adverse publicity and could negatively affect our operating results and business.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and any current and future collaborators are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w:t>
      </w:r>
    </w:p>
    <w:p>
      <w:pPr>
        <w:spacing w:after="0" w:line="1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67" w:name="page68"/>
    <w:bookmarkEnd w:id="67"/>
    <w:p>
      <w:pPr>
        <w:ind w:right="260"/>
        <w:spacing w:after="0" w:line="282" w:lineRule="auto"/>
        <w:rPr>
          <w:sz w:val="20"/>
          <w:szCs w:val="20"/>
          <w:color w:val="auto"/>
        </w:rPr>
      </w:pPr>
      <w:r>
        <w:rPr>
          <w:rFonts w:ascii="Times New Roman" w:cs="Times New Roman" w:eastAsia="Times New Roman" w:hAnsi="Times New Roman"/>
          <w:sz w:val="18"/>
          <w:szCs w:val="18"/>
          <w:color w:val="auto"/>
        </w:rPr>
        <w:t>privacy and security requirements under HIPAA, as amended by HITECH. Depending on the facts and circumstances, we could be subject to civil, criminal, and administrative penalties if we violate HIPAA.</w:t>
      </w:r>
    </w:p>
    <w:p>
      <w:pPr>
        <w:spacing w:after="0" w:line="5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8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18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the information technology systems of our CROs, our CDMOs, service providers, our current and potential future partners or other third parties with whom we work fail or suffer security breaches, we could experience adverse consequences, including but not limited to material disruptions to our business operations and product development programs, regulatory investigations or actions, litigation, fines and penalties, reputational harm, loss of revenue or profits, or other adverse consequences.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collect, store, receive, process, generate, use, transfer, disclose, make accessible, protect, secure, dispose of, share, and transmit (collectively, process) proprietary, confidential and sensitive information, including personal information (such as health-related data of clinical trial participants and employee information), in the course of our business. Similarly, third-parties with whom we work process certain of that information on our behalf.</w:t>
      </w:r>
    </w:p>
    <w:p>
      <w:pPr>
        <w:spacing w:after="0" w:line="7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collaborators and other contractors or consultants are vulnerable to damage from cyber-attacks, malicious internet-based activity, online and offline fraud, and other similar activities that threaten the confidentiality, integrity, and availability of our sensitive information and information technology systems, and those of the third parties upon which we rely. Such threats are constantly evolving and growing in frequency, sophistication, and intensity. For example, these threats may include (without limitation) malware, viruses, software vulnerabilities and bugs, software or hardware failure, hacking, denial of service attacks, social engineering (including through deep fakes, which may be increasingly more difficult to identify as fake, and phishing), ransomware, insider threats (such as theft of misuse by personnel), credential stuffing, telecommunications failures, loss or theft of devices, data or other information technology assets, attacks enhanced or facilitated by AI, earthquakes, fires, floods and similar threats. Threats such as ransomware attacks, for example, are becoming increasingly prevalent and severe, and attackers are increasingly leveraging multiple attack methods to extort payment from victims, such as data theft and disabling systems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9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1093" w:right="379" w:bottom="1440" w:gutter="0" w:footer="0" w:header="0"/>
        </w:sectPr>
      </w:pPr>
    </w:p>
    <w:bookmarkStart w:id="68" w:name="page69"/>
    <w:bookmarkEnd w:id="68"/>
    <w:p>
      <w:pPr>
        <w:ind w:right="120"/>
        <w:spacing w:after="0" w:line="258" w:lineRule="auto"/>
        <w:rPr>
          <w:sz w:val="20"/>
          <w:szCs w:val="20"/>
          <w:color w:val="auto"/>
        </w:rPr>
      </w:pPr>
      <w:r>
        <w:rPr>
          <w:rFonts w:ascii="Times New Roman" w:cs="Times New Roman" w:eastAsia="Times New Roman" w:hAnsi="Times New Roman"/>
          <w:sz w:val="18"/>
          <w:szCs w:val="18"/>
          <w:color w:val="auto"/>
        </w:rPr>
        <w:t>Security incidents may result from the actions of a wide variety of actors with a wide range of motives and expertise, including traditional hackers, our personnel or the personnel of the third parties with whom we work, organized criminal threat actors, hacktivists, sophisticated nation-states and nation-state-supported actors. During times of war and other major conflicts, we, the third parties upon which we rely, and our customers may be vulnerable to a heightened risk of these attacks, including retaliatory cyber- attacks, that could materially disrupt our systems and operations, supply chain, and ability to conduct our clinical trials.</w:t>
      </w:r>
    </w:p>
    <w:p>
      <w:pPr>
        <w:spacing w:after="0" w:line="7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our reliance on third-party service providers could introduce new cybersecurity risks and vulnerabilities, and other threats to our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our research activities. Our ability to monitor these third parties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w:t>
      </w:r>
    </w:p>
    <w:p>
      <w:pPr>
        <w:spacing w:after="0" w:line="8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Certain functional areas of our workforce work remotely on a full- or part-time basis or otherwise utilize network connections, computers and devices outside of our premises or network, which imposes additional risks to our business.</w:t>
      </w:r>
    </w:p>
    <w:p>
      <w:pPr>
        <w:spacing w:after="0" w:line="5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 In the future we may be required to or choose to,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require us to implement and maintain certain security measures or industry-standard or reasonable security measures to protect our information technology systems and sensitive information.</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If our information systems or data, or that of the third parties on which we rely, are compromised, it could interrupt our operations, disrupt our development programs and have a material adverse effect on our business, financial condition and results of operations, whether due to a loss of our trade secrets or other proprietary information or similar disruptions. For example, the loss or corruption of clinical trial data from completed or future clinical trials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applicable federal and/or state breach notification laws and foreign law equivalents and otherwise subject us to liability under applicable laws and regulations that protect the privacy and security of personal information.</w:t>
      </w:r>
    </w:p>
    <w:p>
      <w:pPr>
        <w:spacing w:after="0" w:line="8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Likewise, we rely on third parties for the manufacture of TX45, to analyze clinical trial samples and to conduct clinical trials, and security incidents experienced by these third parties could have a material adverse effect on our business. Security incidents affecting us or the third parties we rely on or partners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diversion of management attention, interruptions in our operations (including availability of data), financial loss and other liabilities and harms. Additionally, such incidents may trigger data privacy and security obligations requiring us to notify relevant stockholders, including affected individuals, customers, regulators, and investors. Such disclosures may be costly, and related requirements or the failure to comply with</w:t>
      </w:r>
    </w:p>
    <w:p>
      <w:pPr>
        <w:spacing w:after="0" w:line="19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69" w:name="page70"/>
    <w:bookmarkEnd w:id="69"/>
    <w:p>
      <w:pPr>
        <w:ind w:right="60"/>
        <w:spacing w:after="0" w:line="282" w:lineRule="auto"/>
        <w:rPr>
          <w:sz w:val="20"/>
          <w:szCs w:val="20"/>
          <w:color w:val="auto"/>
        </w:rPr>
      </w:pPr>
      <w:r>
        <w:rPr>
          <w:rFonts w:ascii="Times New Roman" w:cs="Times New Roman" w:eastAsia="Times New Roman" w:hAnsi="Times New Roman"/>
          <w:sz w:val="18"/>
          <w:szCs w:val="18"/>
          <w:color w:val="auto"/>
        </w:rPr>
        <w:t>them could lead to adverse consequences. Even a perceived security incident or failure in compliance by us or a third-party partner may result in negative publicity, harm to our reputation, or other adverse effects.</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Additionally, sensitive information of ours could be leaked, disclosed, or revealed as a result of or in connection with our employees’, personnel’s, or vendors’ use of generative AI technologies.</w:t>
      </w:r>
    </w:p>
    <w:p>
      <w:pPr>
        <w:spacing w:after="0" w:line="176"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rapidly changing and increasingly stringent U.S. and foreign laws, regulations, and rules, contractual obligations, industry standards, policies and other obligations relating to privacy, data protection and information security. Our actual or perceived failure to comply with these obligations could lead to regulatory investigations or actions; litigation (including class claims) and mass arbitration demands; fines and penalties; disruptions of business operations; reputational harm; loss of revenue or profits; loss of customers or sales; and otherwise harm our business.</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and the third parties with whom we work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in connection with our business.</w:t>
      </w:r>
    </w:p>
    <w:p>
      <w:pPr>
        <w:spacing w:after="0" w:line="7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the European Union’s General Data Protection Regulation, (“EU GDPR”) and the United Kingdom’s GDPR (“UK GDPR”) and the Swiss Federal Data Protection Act (collectively, “European Data Protection Laws”) impose strict requirements for processing personal information, including relating to transfer of personal information to countries like the United States. European Data Protection Laws and other relevant laws govern patient confidentiality and storage of personal health data, including personal information from clinical trial participants and other individuals located in the EEA, the United Kingdom (the “UK”), or Switzerland Companies that violate the EU or UK GDPR can face private litigation, regulatory investigations and enforcement actions, prohibitions on data processing, other administrative measures, reputational damage and fines of up to the greater of 20 million Euros /17.5 million pounds sterling or 4% of their worldwide annual revenue, in either case, whichever is greater. Certain jurisdictions have enacted data localization restrictions or laws and regulations restricting cross-border transfers of personal information, except in limited circumstances where adequate safeguards are in place. In particular, regulators and courts in the EEA, the UK, and Switzerland have significantly restricted the transfer of personal information to the United States and other countries whose privacy laws they generally believe are inadequate. Other jurisdictions have in the past and may continue to adopt similarly stringent data localization and cross-border data transfer laws. Although there are currently various mechanisms that may be used to transfer personal information from the EEA, the UK, or Switzerland to the United States, such as the EEA standard contractual clauses, the UK’s International Data Transfer Agreement / Addendum, and the EU-U.S. Data Privacy Framework (the “Framework”) and the UK extension thereto (which allows for transfers for to relevant U.S.-based organizations who self-certify compliance and participate in the Framework), these mechanisms are subject to legal challenges and there is no assurance that we can satisfy or rely on these measures to lawfully transfer personal data to the United States. If we are unable to implement a valid compliance solution for cross-border transfers of personal information, or if the requirements for a legally-compliant transfer are too onerous, we may face increased exposure to significant adverse consequences, including substantial fines, regulatory actions, as well as injunctions against the export and processing of personal information from the EEA, UK, Switzerland, or other countries that implement cross-border data transfer restrictions. Our inability to import personal information from the EEA, UK or Switzerland or 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Depending on how these laws are interpreted, we may have to make changes to our business practices and products to comply with such obligations.</w:t>
      </w:r>
    </w:p>
    <w:p>
      <w:pPr>
        <w:spacing w:after="0" w:line="9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other countries have enacted or are considering enacting similar cross-border data transfer restrictions and laws requiring local data residency, which could increase the cost and complexity of delivering our services and operating our business.</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70" w:name="page71"/>
    <w:bookmarkEnd w:id="70"/>
    <w:p>
      <w:pPr>
        <w:ind w:right="80"/>
        <w:spacing w:after="0" w:line="252" w:lineRule="auto"/>
        <w:rPr>
          <w:sz w:val="20"/>
          <w:szCs w:val="20"/>
          <w:color w:val="auto"/>
        </w:rPr>
      </w:pPr>
      <w:r>
        <w:rPr>
          <w:rFonts w:ascii="Times New Roman" w:cs="Times New Roman" w:eastAsia="Times New Roman" w:hAnsi="Times New Roman"/>
          <w:sz w:val="18"/>
          <w:szCs w:val="18"/>
          <w:color w:val="auto"/>
        </w:rPr>
        <w:t>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Many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if we become subject to these laws. For example, the California Consumer Rights Act (“CCPA”), as amended by the California Privacy Rights Act of 2020 (“CPRA”) applies to personal information data of consumers, business representatives, and employees who are California residents and requires businesses to provide specific disclosures in privacy notices and honor requests of such individuals to exercise certain rights concerning their personal data. The CCPA provides fines for noncompliance and a limited private right of action in connection with certain data breaches. While the CCPA and other state privacy laws contain an exemption for certain personal information processed in connection with clinical trials, , these developments further complicate compliance efforts, and increase legal risk and compliance costs for us and the third parties with whom we work. Similar laws have been passed or are being considered in several other states, as well as at the federal and local levels. The evolving patchwork of differing state and federal privacy and data security laws increases the cost and complexity of operating our business and increases our exposure to liability, including from third party litigation and regulatory investigations, enforcement, fines, and penalties.</w:t>
      </w:r>
    </w:p>
    <w:p>
      <w:pPr>
        <w:spacing w:after="0" w:line="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bound by contractual obligations and our efforts to comply with such obligations may not be successful. We publish privacy policies, marketing materials and other statements, such as compliance with certain certifications or self-regulatory principles, regarding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obligations related to data privacy and security (and consumers’ data privacy obligations) are quickly changing in an increasingly stringent fashion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have in the past and may in the future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we (or third parties with whom we work)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and/or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w:t>
      </w:r>
    </w:p>
    <w:p>
      <w:pPr>
        <w:spacing w:after="0" w:line="19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71" w:name="page72"/>
    <w:bookmarkEnd w:id="71"/>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anti-corruption laws and regulations, export and import controls, sanctions and embargoes. We could face liability and other serious consequences for violations which can harm our business.</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subject to anti-corruption laws and regulations, including the FCPA, the U.S. domestic bribery statute contained in 18 U.S.C. § 201, the U.S. Travel Act and other state and national anti-bribery laws in the countries in which we may conduct activities in the future. Anti-corruption laws are interpreted broadly and generally prohibit companies and their employees, agents, contractors and other third-party collaborators from offering, promising, giving, or authorizing others to give anything of value, either directly or indirectly through third parties, to any person in the public or private sector to obtain or retain business. The FCPA also requires public companies to make and keep books and records that accurately and fairly reflect the transactions of the corporation and to devise and maintain an adequate system of internal accounting controls. We may engage third parties to sell our products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9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There is no certainty that all of our employees, agents, suppliers, manufacturers, contractors or collaborators, or those of our affiliates, will comply with all applicable anti-corruption, export and import control, and sanctions laws and regulations.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18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fires or other natural disasters and our business continuity and disaster recovery plans may not adequately protect us from a serious disaster.</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earthquakes, fires, other natural disasters, terrorism and similar unforeseen events beyond our control prevent us from using all or a significant portion of our headquarters or other facilities,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could have a material adverse effect on our business. In addition,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raw materials and other natural resources, necessary to run our business. If such an event were to affect our supply chain, it could have a material adverse effect on our ability to conduct our clinical trials, our development plans and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Legislation or other changes in U.S. tax law could adversely affect our business and financial condition.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In recent years, many changes have been made to applicable tax laws and changes are likely to continue to occur in the future.</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tax liability or require changes in the manner in which we operate in order to minimize or mitigate any adverse effects of changes in tax law or in the interpretation thereof.</w:t>
      </w:r>
    </w:p>
    <w:p>
      <w:pPr>
        <w:spacing w:after="0" w:line="1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197"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U.S. net operating loss carryforwards and certain other U.S. tax attributes may be limited.</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2024, we had U.S. federal net operating loss carryforwards of $399.3 million. The amount of net operating loss carryforwards that we are permitted to deduct is limited to 80% of taxable income in each such taxable year to which the net operating loss carryforwards are applied. In addition, our U.S. federal net operating losses and tax credits may be subject to limitations under Sections 382 and 383 of the Code, if we have undergone or undergo an “ownership change,” generally defined as a greater than 50 percentage point change (by value) in our equity ownership by certain stockholders over a rolling three-year period. We may have experienced such ownership changes in the past and may experience ownership changes in the future as a result of shifts in our stock ownership, some of which are outside our control. Our net operating losses and tax credits may also be impaired or restricted under state law.</w:t>
      </w:r>
    </w:p>
    <w:p>
      <w:pPr>
        <w:spacing w:after="0" w:line="8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ability to utilize our net operating loss carryforwards could be limited by an “ownership change” as described above, which could result in increased tax liability to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any necessary debt or equity financing that we undertake may be more difficult, more costly and more dilutive than it would be otherwise. Failure to secure any necessary financing in a timely manner and on favorable terms could have a material adverse effect on our growth strategy and financial performance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86"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Geopolitical developments, such as the Russian invasion of Ukraine, the conflict in the Middle East or deterioration in the bilateral relationship between the United States and China, may impact government spending, international trade and market stability, and cause weaker macro-economic conditions. Certain political developments may also lead to regulatory uncertainty and to rules that may adversely affect our business.</w:t>
      </w:r>
    </w:p>
    <w:p>
      <w:pPr>
        <w:spacing w:after="0" w:line="15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CDMOs and suppliers we engage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and any CDMOs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could also incur significant costs associated with civil or criminal fines and penalties.</w:t>
      </w:r>
    </w:p>
    <w:p>
      <w:pPr>
        <w:spacing w:after="0" w:line="18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1197" w:right="379" w:bottom="1440" w:gutter="0" w:footer="0" w:header="0"/>
        </w:sectPr>
      </w:pPr>
    </w:p>
    <w:bookmarkStart w:id="73" w:name="page74"/>
    <w:bookmarkEnd w:id="73"/>
    <w:p>
      <w:pPr>
        <w:spacing w:after="0" w:line="254"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5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Any third-party CDMOs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172"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significantly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As a public company, we incur significant legal, accounting and other expenses that Legacy Tectonic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costlier. For example, we expect these rules and regulations to make it more difficult and more expensive for us to obtain director and officer liability insurance and we may be required to incur substantial costs to maintain our current levels of such coverage.</w:t>
      </w:r>
    </w:p>
    <w:p>
      <w:pPr>
        <w:spacing w:after="0" w:line="17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We currently qualify as a “smaller reporting company,” as such term is defined in Rule 12b-2 under the Exchange Act, which allows the us to take advantage of many of the same exemptions from disclosure requirements, including not being required to comply with the auditor attestation requirements of Section 404 of the Sarbanes-Oxley Act and reduced disclosure obligations regarding executive compensation in this Quarterly Report and in our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p>
    <w:p>
      <w:pPr>
        <w:spacing w:after="0" w:line="18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5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a public company, we operate in an increasingly demanding regulatory environment, which requires us to comply with the Sarbanes-Oxley Act, the regulations of Nasdaq, the rules and regulations of the SEC, expanded disclosure requirements,</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74" w:name="page75"/>
    <w:bookmarkEnd w:id="74"/>
    <w:p>
      <w:pPr>
        <w:spacing w:after="0" w:line="253" w:lineRule="auto"/>
        <w:rPr>
          <w:sz w:val="20"/>
          <w:szCs w:val="20"/>
          <w:color w:val="auto"/>
        </w:rPr>
      </w:pPr>
      <w:r>
        <w:rPr>
          <w:rFonts w:ascii="Times New Roman" w:cs="Times New Roman" w:eastAsia="Times New Roman" w:hAnsi="Times New Roman"/>
          <w:sz w:val="18"/>
          <w:szCs w:val="18"/>
          <w:color w:val="auto"/>
        </w:rPr>
        <w:t>accelerated reporting requirements and more complex accounting rules. The Sarbanes-Oxley Act requires us to, among other things, establish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the year after the Merger is completed, we must perform system and process evaluation and testing of our internal controls over financial reporting to allow management to report on the effectiveness of our internal controls over financial reporting in our Annual Report on Form 10-K filing for that year, as required by Section 404 of the Sarbanes-Oxley Act. Prior to the closing of the Merger, we were never required to test our internal controls within a specified period and, as a result, we may experience difficulty in meeting these reporting requirements in a timely manner. 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7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Stockholders previously filed lawsuits, which were subsequently dismissed, relating to the Merger; however, additional lawsuits could be filed.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Merger, three actions were filed by purported stockholders of AVROBIO in connection with the Merger. One action has been filed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United States District Court for the Southern District of New York captioned </w:t>
      </w:r>
      <w:r>
        <w:rPr>
          <w:rFonts w:ascii="Times New Roman" w:cs="Times New Roman" w:eastAsia="Times New Roman" w:hAnsi="Times New Roman"/>
          <w:sz w:val="18"/>
          <w:szCs w:val="18"/>
          <w:i w:val="1"/>
          <w:iCs w:val="1"/>
          <w:color w:val="auto"/>
        </w:rPr>
        <w:t>Garofalo v. Avrobio, Inc. et al.</w:t>
      </w:r>
      <w:r>
        <w:rPr>
          <w:rFonts w:ascii="Times New Roman" w:cs="Times New Roman" w:eastAsia="Times New Roman" w:hAnsi="Times New Roman"/>
          <w:sz w:val="18"/>
          <w:szCs w:val="18"/>
          <w:color w:val="auto"/>
        </w:rPr>
        <w:t>, 24-cv-1493 (filed February 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2024). Two actions have been filed in the Supreme Court of New York, captioned </w:t>
      </w:r>
      <w:r>
        <w:rPr>
          <w:rFonts w:ascii="Times New Roman" w:cs="Times New Roman" w:eastAsia="Times New Roman" w:hAnsi="Times New Roman"/>
          <w:sz w:val="18"/>
          <w:szCs w:val="18"/>
          <w:i w:val="1"/>
          <w:iCs w:val="1"/>
          <w:color w:val="auto"/>
        </w:rPr>
        <w:t>Price v. Avrobio, Inc., et al.</w:t>
      </w:r>
      <w:r>
        <w:rPr>
          <w:rFonts w:ascii="Times New Roman" w:cs="Times New Roman" w:eastAsia="Times New Roman" w:hAnsi="Times New Roman"/>
          <w:sz w:val="18"/>
          <w:szCs w:val="18"/>
          <w:color w:val="auto"/>
        </w:rPr>
        <w:t>, No. 652555/2024 (filed May 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2024) and </w:t>
      </w:r>
      <w:r>
        <w:rPr>
          <w:rFonts w:ascii="Times New Roman" w:cs="Times New Roman" w:eastAsia="Times New Roman" w:hAnsi="Times New Roman"/>
          <w:sz w:val="18"/>
          <w:szCs w:val="18"/>
          <w:i w:val="1"/>
          <w:iCs w:val="1"/>
          <w:color w:val="auto"/>
        </w:rPr>
        <w:t>Keller v. Avrobio, Inc., et al.</w:t>
      </w:r>
      <w:r>
        <w:rPr>
          <w:rFonts w:ascii="Times New Roman" w:cs="Times New Roman" w:eastAsia="Times New Roman" w:hAnsi="Times New Roman"/>
          <w:sz w:val="18"/>
          <w:szCs w:val="18"/>
          <w:color w:val="auto"/>
        </w:rPr>
        <w:t>, No. 652597/2024 (filed May 21, 2024). The foregoing actions are referred to as the “Merger Actions.”</w:t>
      </w:r>
    </w:p>
    <w:p>
      <w:pPr>
        <w:spacing w:after="0" w:line="99" w:lineRule="exact"/>
        <w:rPr>
          <w:sz w:val="20"/>
          <w:szCs w:val="20"/>
          <w:color w:val="auto"/>
        </w:rPr>
      </w:pPr>
    </w:p>
    <w:p>
      <w:pPr>
        <w:jc w:val="both"/>
        <w:ind w:right="380"/>
        <w:spacing w:after="0" w:line="258" w:lineRule="auto"/>
        <w:rPr>
          <w:sz w:val="20"/>
          <w:szCs w:val="20"/>
          <w:color w:val="auto"/>
        </w:rPr>
      </w:pPr>
      <w:r>
        <w:rPr>
          <w:rFonts w:ascii="Times New Roman" w:cs="Times New Roman" w:eastAsia="Times New Roman" w:hAnsi="Times New Roman"/>
          <w:sz w:val="18"/>
          <w:szCs w:val="18"/>
          <w:color w:val="auto"/>
        </w:rPr>
        <w:t xml:space="preserve">The Merger Actions generally allege that the Registration Statement misrepresents and/or omits certain purportedly material information in connection with the Merger, potential conflicts of interest of AVROBIO’s officers and directors, and the events that led to the signing of the Merger Agreement. The </w:t>
      </w:r>
      <w:r>
        <w:rPr>
          <w:rFonts w:ascii="Times New Roman" w:cs="Times New Roman" w:eastAsia="Times New Roman" w:hAnsi="Times New Roman"/>
          <w:sz w:val="18"/>
          <w:szCs w:val="18"/>
          <w:i w:val="1"/>
          <w:iCs w:val="1"/>
          <w:color w:val="auto"/>
        </w:rPr>
        <w:t>Price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Keller</w:t>
      </w:r>
      <w:r>
        <w:rPr>
          <w:rFonts w:ascii="Times New Roman" w:cs="Times New Roman" w:eastAsia="Times New Roman" w:hAnsi="Times New Roman"/>
          <w:sz w:val="18"/>
          <w:szCs w:val="18"/>
          <w:color w:val="auto"/>
        </w:rPr>
        <w:t xml:space="preserve"> actions assert claims for breach of fiduciary duty against all defendants. The Merger Actions seek, among other things, an injunction enjoining the consummation of the Merger, rescission of the Merger if consummated, costs of the action, including plaintiff’s attorneys’ fees and experts’ fees and other relief the court may deem just and proper.</w:t>
      </w:r>
    </w:p>
    <w:p>
      <w:pPr>
        <w:spacing w:after="0" w:line="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AVROBIO also received demand letters from eleven purported AVROBIO stockholders (the “Demands”). The Demands generally assert that the Registration Statement misrepresents and/or omits certain purportedly material information relating to the Merger.</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AVROBIO believed that the disclosures set forth in the Registration Statement complied fully with all applicable law, that no supplemental disclosures were required under applicable law, and that the allegations in the Merger Actions and Demands were without merit. However, in order to moot the claims in the Merger Actions and Demands, avoid nuisance and possible expense and business delays, and provide additional information to its stockholders, and without admitting any liability or wrongdoing, AVROBIO decided voluntarily to supplement certain disclosures in the Registration Statement (the “Supplemental Disclosures”). On June 4, 2024, AVROBIO made certain Supplemental Disclosures on Form 8-K filed with the Securities and Exchange Commission. Following the issuance of the Supplemental Disclosures, each of the Merger Actions was voluntarily dismissed and each of the Demands were withdrawn.</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 potential plaintiffs may file lawsuits challenging the Merger. The outcome of any current or future litigation is uncertain. Such litigation, if not resolved, could result in substantial costs to us, including any costs associated with the indemnification of directors and officers. If a plaintiff were successful in obtaining an injunction obtaining a rescission of the Merger, then such injunction may rescind the Merger after its consummation. Regardless of the outcome, litigation can have</w:t>
      </w:r>
    </w:p>
    <w:p>
      <w:pPr>
        <w:spacing w:after="0" w:line="1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a material and adverse impact on us because of defense and settlement costs, diversion of management resources and other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is likely to continue to be volatile and fluctuate substantially.</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Furthermore, the stock market in general and the market for biopharmaceutical and pharmaceutical companies in particular have experienced extreme volatility that has often been unrelated to the operating performance of particular companies. As a result of this volatility, our stockholders may not be able to sell their shares at or above the price they paid for their shares. The market price of our common stock may be influenced by many factors, including:</w:t>
      </w:r>
    </w:p>
    <w:p>
      <w:pPr>
        <w:spacing w:after="0" w:line="72" w:lineRule="exact"/>
        <w:rPr>
          <w:sz w:val="20"/>
          <w:szCs w:val="20"/>
          <w:color w:val="auto"/>
        </w:rPr>
      </w:pPr>
    </w:p>
    <w:p>
      <w:pPr>
        <w:ind w:left="960" w:right="780" w:hanging="514"/>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existing or future collaborators;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the perceived benefits of the Merger as rapidly or to the extent anticipated by financial or industry analysts;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significant acquisitions, strategic collaborations, joint ventures or capital commitments by us or our competitors;</w:t>
      </w:r>
    </w:p>
    <w:p>
      <w:pPr>
        <w:spacing w:after="0" w:line="128" w:lineRule="exact"/>
        <w:rPr>
          <w:rFonts w:ascii="Times New Roman" w:cs="Times New Roman" w:eastAsia="Times New Roman" w:hAnsi="Times New Roman"/>
          <w:sz w:val="17"/>
          <w:szCs w:val="17"/>
          <w:color w:val="auto"/>
        </w:rPr>
      </w:pPr>
    </w:p>
    <w:p>
      <w:pPr>
        <w:ind w:left="960" w:right="280" w:hanging="514"/>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53" w:lineRule="exact"/>
        <w:rPr>
          <w:rFonts w:ascii="Times New Roman" w:cs="Times New Roman" w:eastAsia="Times New Roman" w:hAnsi="Times New Roman"/>
          <w:sz w:val="18"/>
          <w:szCs w:val="18"/>
          <w:color w:val="auto"/>
        </w:rPr>
      </w:pPr>
    </w:p>
    <w:p>
      <w:pPr>
        <w:ind w:left="960" w:right="200" w:hanging="514"/>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960" w:right="560" w:hanging="514"/>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the selling stockholders or other securityholders in the future;</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or continued development of our product candidates;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960" w:right="280" w:hanging="514"/>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 candidates;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 and</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w:t>
      </w:r>
    </w:p>
    <w:p>
      <w:pPr>
        <w:spacing w:after="0" w:line="1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080" w:top="1093" w:right="399" w:bottom="1440" w:gutter="0" w:footer="0" w:header="0"/>
        </w:sectPr>
      </w:pPr>
    </w:p>
    <w:bookmarkStart w:id="76" w:name="page77"/>
    <w:bookmarkEnd w:id="76"/>
    <w:p>
      <w:pPr>
        <w:ind w:right="300"/>
        <w:spacing w:after="0" w:line="282" w:lineRule="auto"/>
        <w:rPr>
          <w:sz w:val="20"/>
          <w:szCs w:val="20"/>
          <w:color w:val="auto"/>
        </w:rPr>
      </w:pPr>
      <w:r>
        <w:rPr>
          <w:rFonts w:ascii="Times New Roman" w:cs="Times New Roman" w:eastAsia="Times New Roman" w:hAnsi="Times New Roman"/>
          <w:sz w:val="18"/>
          <w:szCs w:val="18"/>
          <w:color w:val="auto"/>
        </w:rPr>
        <w:t>of litigation, there could be negative public announcements of the results of hearings, motions or other interim proceedings or developments, which could have a negative effect on the market price of our common stock.</w:t>
      </w:r>
    </w:p>
    <w:p>
      <w:pPr>
        <w:spacing w:after="0" w:line="158"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of our common stock or the perception of such sales, by us or selling stockholders, in the public market or otherwise, could cause the market price for our securities to decline, even though selling stockholders would still realize a profit on sales at lower prices. Resales of the securities offered may cause the market price of such securities to drop significantly, even if our business is doing well.</w:t>
      </w:r>
    </w:p>
    <w:p>
      <w:pPr>
        <w:spacing w:after="0" w:line="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sale of our common stock in the public market or otherwise,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Certain selling stockholders acquired securities at prices that are significantly less than the current trading price of our common stock. Accordingly, certain selling stockholders could still realize a profit on sales at lower prices. Even if the trading price of our common stock falls to or significantly below the current trading price, selling stockholders may still have an incentive to sell and profit due to the nominal purchase prices paid by such selling stockholders, which are significantly lower than the purchase prices paid by the public stockholders.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the Subscription Agreement, we filed a resale shelf registration statement covering the resale of up to an aggregate of 2,969,583 shares of our common stock, which was declared effective on July 30, 2024. In addition, in connection with the private placement we completed in February 2025 (the “Private Placement”), we filed a resale shelf registration statement covering the resale of up to an aggregate of 3,689,465 shares of our common stock. Given the substantial number of shares available for resale, the sale of shares by such stockholders, or the perception in the market that the stockholders of a large number of shares intend to sell shares, could increase the volatility of the market price of our common stock or result in a significant decline in the public trading price of our common stock.</w:t>
      </w:r>
    </w:p>
    <w:p>
      <w:pPr>
        <w:spacing w:after="0" w:line="7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addition, common stock that is issued in connection with stock options and restricted stock units will also become eligible for sale in the public market, to the extent permitted by the provisions of various vesting agreements and Rules 144 and 701 under the Securities Act. If our stockholders sell, or indicate an intention to sell, substantial amounts of our common stock in the public market after any legal restrictions on resale lapse, the trading price of our common stock could decline.</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Based on the number of shares outstanding as of June 30, 2025, our executive officers, directors and principal stockholders, in the aggregate, beneficially own approximately 70%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18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cash equivalents and may invest or spend the proceeds in ways with which you do not agree and in ways that may not increase the value of your investment.</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broad discretion over the use of our cash and cash equivalents. You may not agree with our decisions, and our use of the proceeds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our cash resources.</w:t>
      </w:r>
    </w:p>
    <w:p>
      <w:pPr>
        <w:spacing w:after="0" w:line="1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1093" w:right="379" w:bottom="1440" w:gutter="0" w:footer="0" w:header="0"/>
        </w:sectPr>
      </w:pPr>
    </w:p>
    <w:bookmarkStart w:id="77" w:name="page78"/>
    <w:bookmarkEnd w:id="77"/>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share capital in the foreseeable future, capital appreciation, if any, will be your sole source of gain.</w:t>
      </w:r>
    </w:p>
    <w:p>
      <w:pPr>
        <w:spacing w:after="0" w:line="51"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7"/>
          <w:szCs w:val="17"/>
          <w:color w:val="auto"/>
        </w:rPr>
        <w:t>You should not rely on an investment in our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shares.</w:t>
      </w:r>
    </w:p>
    <w:p>
      <w:pPr>
        <w:spacing w:after="0" w:line="16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and bylaws, as well as provisions of Delaware law, could make it more difficult for a third party to acquire us or increase the cost of acquiring us, even if doing so would benefit our stockholders or remove our current management.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and bylaws and Delaware law contain provisions that may have the effect of delaying or preventing a change in control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changes in our management. Our charter and bylaws, include provisions that:</w:t>
      </w:r>
    </w:p>
    <w:p>
      <w:pPr>
        <w:spacing w:after="0" w:line="99" w:lineRule="exact"/>
        <w:rPr>
          <w:sz w:val="20"/>
          <w:szCs w:val="20"/>
          <w:color w:val="auto"/>
        </w:rPr>
      </w:pPr>
    </w:p>
    <w:p>
      <w:pPr>
        <w:ind w:left="720" w:right="260" w:hanging="514"/>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the Board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720" w:hanging="514"/>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ind w:left="720" w:right="220" w:hanging="514"/>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the Board, the chairperson of the Board, our Chief Executive Officer or our President;</w:t>
      </w:r>
    </w:p>
    <w:p>
      <w:pPr>
        <w:spacing w:after="0" w:line="53" w:lineRule="exact"/>
        <w:rPr>
          <w:rFonts w:ascii="Times New Roman" w:cs="Times New Roman" w:eastAsia="Times New Roman" w:hAnsi="Times New Roman"/>
          <w:sz w:val="18"/>
          <w:szCs w:val="18"/>
          <w:color w:val="auto"/>
        </w:rPr>
      </w:pPr>
    </w:p>
    <w:p>
      <w:pPr>
        <w:ind w:left="720" w:hanging="514"/>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720" w:right="40" w:hanging="514"/>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the Board;</w:t>
      </w:r>
    </w:p>
    <w:p>
      <w:pPr>
        <w:spacing w:after="0" w:line="53" w:lineRule="exact"/>
        <w:rPr>
          <w:rFonts w:ascii="Times New Roman" w:cs="Times New Roman" w:eastAsia="Times New Roman" w:hAnsi="Times New Roman"/>
          <w:sz w:val="18"/>
          <w:szCs w:val="18"/>
          <w:color w:val="auto"/>
        </w:rPr>
      </w:pPr>
    </w:p>
    <w:p>
      <w:pPr>
        <w:ind w:left="720" w:hanging="514"/>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17" w:lineRule="exact"/>
        <w:rPr>
          <w:rFonts w:ascii="Times New Roman" w:cs="Times New Roman" w:eastAsia="Times New Roman" w:hAnsi="Times New Roman"/>
          <w:sz w:val="18"/>
          <w:szCs w:val="18"/>
          <w:color w:val="auto"/>
        </w:rPr>
      </w:pPr>
    </w:p>
    <w:p>
      <w:pPr>
        <w:ind w:left="720" w:hanging="514"/>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720" w:hanging="514"/>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17" w:lineRule="exact"/>
        <w:rPr>
          <w:rFonts w:ascii="Times New Roman" w:cs="Times New Roman" w:eastAsia="Times New Roman" w:hAnsi="Times New Roman"/>
          <w:sz w:val="18"/>
          <w:szCs w:val="18"/>
          <w:color w:val="auto"/>
        </w:rPr>
      </w:pPr>
    </w:p>
    <w:p>
      <w:pPr>
        <w:ind w:left="720" w:hanging="514"/>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 the Board to modify, alter or repeal our amended and restated by-laws; and</w:t>
      </w:r>
    </w:p>
    <w:p>
      <w:pPr>
        <w:spacing w:after="0" w:line="117" w:lineRule="exact"/>
        <w:rPr>
          <w:rFonts w:ascii="Times New Roman" w:cs="Times New Roman" w:eastAsia="Times New Roman" w:hAnsi="Times New Roman"/>
          <w:sz w:val="18"/>
          <w:szCs w:val="18"/>
          <w:color w:val="auto"/>
        </w:rPr>
      </w:pPr>
    </w:p>
    <w:p>
      <w:pPr>
        <w:ind w:left="720" w:hanging="514"/>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charter and bylaws.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DGCL, which limits the ability of stockholders owning in excess of 15% of our outstanding voting stock to merge or combine with us.</w:t>
      </w:r>
    </w:p>
    <w:p>
      <w:pPr>
        <w:spacing w:after="0" w:line="5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Any provision of our charter,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AVROBIO consents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Watertown, Massachusetts. In addition, our amended and restated bylaws provide that any person or entity purchasing or otherwise acquiring any interest in shares of</w:t>
      </w:r>
    </w:p>
    <w:p>
      <w:pPr>
        <w:spacing w:after="0" w:line="19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1197" w:right="379" w:bottom="1440" w:gutter="0" w:footer="0" w:header="0"/>
        </w:sectPr>
      </w:pPr>
    </w:p>
    <w:bookmarkStart w:id="78" w:name="page79"/>
    <w:bookmarkEnd w:id="78"/>
    <w:p>
      <w:pPr>
        <w:ind w:left="760" w:right="40"/>
        <w:spacing w:after="0" w:line="266" w:lineRule="auto"/>
        <w:rPr>
          <w:sz w:val="20"/>
          <w:szCs w:val="20"/>
          <w:color w:val="auto"/>
        </w:rPr>
      </w:pPr>
      <w:r>
        <w:rPr>
          <w:rFonts w:ascii="Times New Roman" w:cs="Times New Roman" w:eastAsia="Times New Roman" w:hAnsi="Times New Roman"/>
          <w:sz w:val="18"/>
          <w:szCs w:val="18"/>
          <w:color w:val="auto"/>
        </w:rPr>
        <w:t>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68" w:lineRule="exact"/>
        <w:rPr>
          <w:sz w:val="20"/>
          <w:szCs w:val="20"/>
          <w:color w:val="auto"/>
        </w:rPr>
      </w:pPr>
    </w:p>
    <w:p>
      <w:pPr>
        <w:ind w:left="760" w:right="40"/>
        <w:spacing w:after="0" w:line="269" w:lineRule="auto"/>
        <w:rPr>
          <w:sz w:val="20"/>
          <w:szCs w:val="20"/>
          <w:color w:val="auto"/>
        </w:rPr>
      </w:pPr>
      <w:r>
        <w:rPr>
          <w:rFonts w:ascii="Times New Roman" w:cs="Times New Roman" w:eastAsia="Times New Roman" w:hAnsi="Times New Roman"/>
          <w:sz w:val="17"/>
          <w:szCs w:val="17"/>
          <w:color w:val="auto"/>
        </w:rPr>
        <w:t>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121" w:lineRule="exact"/>
        <w:rPr>
          <w:sz w:val="20"/>
          <w:szCs w:val="20"/>
          <w:color w:val="auto"/>
        </w:rPr>
      </w:pPr>
    </w:p>
    <w:p>
      <w:pPr>
        <w:ind w:left="760" w:right="8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the following officers of the Company adopted a “Rule 10b5-1 trading arrangement” as that term is defined in Item 408(a) of Regulation S-K, all of which were entered into during an open trading window in accordance with the Company’s Insider Trading Policy and all of which were intended to satisfy Rule 10b5-1(c):</w:t>
      </w:r>
    </w:p>
    <w:p>
      <w:pPr>
        <w:spacing w:after="0" w:line="68" w:lineRule="exact"/>
        <w:rPr>
          <w:sz w:val="20"/>
          <w:szCs w:val="20"/>
          <w:color w:val="auto"/>
        </w:rPr>
      </w:pPr>
    </w:p>
    <w:p>
      <w:pPr>
        <w:ind w:left="1780" w:right="100" w:hanging="515"/>
        <w:spacing w:after="0" w:line="266" w:lineRule="auto"/>
        <w:tabs>
          <w:tab w:leader="none" w:pos="1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8, 2025, Marcella K. Ruddy, our Chief Medical Officer, adopted a Rule 10b5-1 trading plan that provides for the sale of up to 31,065 shares of common stock settled from outstanding RSUs. The plan will expire on May 29, 2026, subject to early termination for certain specified events set forth in the plan.</w:t>
      </w:r>
    </w:p>
    <w:p>
      <w:pPr>
        <w:spacing w:after="0" w:line="68"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Except as set forth above, no director or officer of the Company adopted or terminated a “Rule 10b5-1 trading arrangement” or “non-rule 10b5-1 trading arrangement,” as each term is defined in item 408(a) of Regulation S-K, during the three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180" w:type="dxa"/>
            <w:vAlign w:val="bottom"/>
            <w:gridSpan w:val="8"/>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0"/>
                <w:szCs w:val="10"/>
                <w:color w:val="auto"/>
              </w:rPr>
            </w:pPr>
          </w:p>
        </w:tc>
        <w:tc>
          <w:tcPr>
            <w:tcW w:w="66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0"/>
                <w:szCs w:val="10"/>
                <w:color w:val="auto"/>
              </w:rPr>
            </w:pPr>
          </w:p>
        </w:tc>
        <w:tc>
          <w:tcPr>
            <w:tcW w:w="11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0"/>
                <w:szCs w:val="10"/>
                <w:color w:val="auto"/>
              </w:rPr>
            </w:pP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180" w:type="dxa"/>
            <w:vAlign w:val="bottom"/>
            <w:tcBorders>
              <w:bottom w:val="single" w:sz="8" w:color="auto"/>
            </w:tcBorders>
            <w:gridSpan w:val="8"/>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62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Fourth Amended and Restated Certificate of Incorporation, as amended through June</w:t>
              </w:r>
            </w:hyperlink>
          </w:p>
        </w:tc>
        <w:tc>
          <w:tcPr>
            <w:tcW w:w="22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20, 2024.</w:t>
              </w:r>
            </w:hyperlink>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76"/>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gridSpan w:val="2"/>
          </w:tcPr>
          <w:p>
            <w:pPr>
              <w:jc w:val="right"/>
              <w:ind w:right="308"/>
              <w:spacing w:after="0" w:line="196" w:lineRule="exact"/>
              <w:rPr>
                <w:sz w:val="20"/>
                <w:szCs w:val="20"/>
                <w:color w:val="auto"/>
              </w:rPr>
            </w:pPr>
            <w:r>
              <w:rPr>
                <w:rFonts w:ascii="Times New Roman" w:cs="Times New Roman" w:eastAsia="Times New Roman" w:hAnsi="Times New Roman"/>
                <w:sz w:val="18"/>
                <w:szCs w:val="18"/>
                <w:color w:val="auto"/>
              </w:rPr>
              <w:t>001-38537</w:t>
            </w:r>
          </w:p>
        </w:tc>
        <w:tc>
          <w:tcPr>
            <w:tcW w:w="78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40" w:type="dxa"/>
            <w:vAlign w:val="bottom"/>
            <w:gridSpan w:val="2"/>
          </w:tcPr>
          <w:p>
            <w:pPr>
              <w:jc w:val="right"/>
              <w:ind w:right="128"/>
              <w:spacing w:after="0" w:line="196" w:lineRule="exact"/>
              <w:rPr>
                <w:sz w:val="20"/>
                <w:szCs w:val="20"/>
                <w:color w:val="auto"/>
              </w:rPr>
            </w:pPr>
            <w:r>
              <w:rPr>
                <w:rFonts w:ascii="Times New Roman" w:cs="Times New Roman" w:eastAsia="Times New Roman" w:hAnsi="Times New Roman"/>
                <w:sz w:val="18"/>
                <w:szCs w:val="18"/>
                <w:color w:val="auto"/>
              </w:rPr>
              <w:t>8/14/2024</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388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Amended and Restated Bylaws, as currently in effect.</w:t>
              </w:r>
            </w:hyperlink>
          </w:p>
        </w:tc>
        <w:tc>
          <w:tcPr>
            <w:tcW w:w="20" w:type="dxa"/>
            <w:vAlign w:val="bottom"/>
            <w:tcBorders>
              <w:bottom w:val="single" w:sz="8" w:color="0000EE"/>
            </w:tcBorders>
          </w:tcPr>
          <w:p>
            <w:pPr>
              <w:spacing w:after="0"/>
              <w:rPr>
                <w:sz w:val="24"/>
                <w:szCs w:val="24"/>
                <w:color w:val="auto"/>
              </w:rPr>
            </w:pPr>
          </w:p>
        </w:tc>
        <w:tc>
          <w:tcPr>
            <w:tcW w:w="2520" w:type="dxa"/>
            <w:vAlign w:val="bottom"/>
            <w:gridSpan w:val="7"/>
          </w:tcPr>
          <w:p>
            <w:pPr>
              <w:spacing w:after="0"/>
              <w:rPr>
                <w:sz w:val="24"/>
                <w:szCs w:val="24"/>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001-38537</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3.2</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6/25/2018</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63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w:t>
            </w:r>
          </w:p>
        </w:tc>
        <w:tc>
          <w:tcPr>
            <w:tcW w:w="12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6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 Adopted Pursuant to Section 302 of the</w:t>
            </w:r>
          </w:p>
        </w:tc>
        <w:tc>
          <w:tcPr>
            <w:tcW w:w="16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428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62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w:t>
            </w:r>
          </w:p>
        </w:tc>
        <w:tc>
          <w:tcPr>
            <w:tcW w:w="18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6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 Adopted Pursuant to Section 302 of the</w:t>
            </w:r>
          </w:p>
        </w:tc>
        <w:tc>
          <w:tcPr>
            <w:tcW w:w="16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428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61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w:t>
            </w:r>
          </w:p>
        </w:tc>
        <w:tc>
          <w:tcPr>
            <w:tcW w:w="240" w:type="dxa"/>
            <w:vAlign w:val="bottom"/>
            <w:gridSpan w:val="6"/>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to 18 U.S.C. Section 1350, as Adopted Pursuant to Section 906 of the Sarbanes-Oxley</w:t>
            </w:r>
          </w:p>
        </w:tc>
        <w:tc>
          <w:tcPr>
            <w:tcW w:w="18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550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6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Interactive Data File as its XBRL tags are embedded within the Inline XBRL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6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 with Embedded Linkbase Documents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6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6865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ind w:right="100" w:firstLine="8"/>
        <w:spacing w:after="0" w:line="261" w:lineRule="auto"/>
        <w:tabs>
          <w:tab w:leader="none" w:pos="12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by the registrant under the Securities Act of 1933, as amended, or the Securities Exchange Act of 1934, as amended, whether made before or after the date hereof, regardless of any general incorporation language in such filing.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0" w:name="page81"/>
    <w:bookmarkEnd w:id="8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TECTONIC THERAPEUTIC,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Alise Reicin, M.D.</w:t>
            </w:r>
          </w:p>
        </w:tc>
      </w:tr>
      <w:tr>
        <w:trPr>
          <w:trHeight w:val="191"/>
        </w:trPr>
        <w:tc>
          <w:tcPr>
            <w:tcW w:w="34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Alise Reicin, M.D.</w:t>
            </w:r>
          </w:p>
        </w:tc>
      </w:tr>
      <w:tr>
        <w:trPr>
          <w:trHeight w:val="214"/>
        </w:trPr>
        <w:tc>
          <w:tcPr>
            <w:tcW w:w="3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34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Daniel Lochner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0</wp:posOffset>
            </wp:positionV>
            <wp:extent cx="35318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jc w:val="center"/>
        <w:ind w:left="5660"/>
        <w:spacing w:after="0"/>
        <w:rPr>
          <w:sz w:val="20"/>
          <w:szCs w:val="20"/>
          <w:color w:val="auto"/>
        </w:rPr>
      </w:pPr>
      <w:r>
        <w:rPr>
          <w:rFonts w:ascii="Times New Roman" w:cs="Times New Roman" w:eastAsia="Times New Roman" w:hAnsi="Times New Roman"/>
          <w:sz w:val="18"/>
          <w:szCs w:val="18"/>
          <w:color w:val="auto"/>
        </w:rPr>
        <w:t>Daniel Lochner</w:t>
      </w:r>
    </w:p>
    <w:p>
      <w:pPr>
        <w:spacing w:after="0" w:line="23"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9"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1" w:name="page82"/>
    <w:bookmarkEnd w:id="81"/>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Alise Reicin, certify that:</w:t>
      </w:r>
    </w:p>
    <w:p>
      <w:pPr>
        <w:spacing w:after="0" w:line="117"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Tectonic Therapeutic,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Alise Reicin,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Alise Reicin, M.D.</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2" w:name="page83"/>
    <w:bookmarkEnd w:id="82"/>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Lochner, certify that:</w:t>
      </w:r>
    </w:p>
    <w:p>
      <w:pPr>
        <w:spacing w:after="0" w:line="117"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Tectonic Therapeutic,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Daniel Lochner</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Alise Reicin, President and Chief Executive Officer of Tectonic Therapeutic, Inc. (the “Company”), and Daniel Lochner, Chief Financial Officer of the Company, each hereby certifies that, to the best of his or her knowledge:</w:t>
      </w:r>
    </w:p>
    <w:p>
      <w:pPr>
        <w:spacing w:after="0" w:line="68" w:lineRule="exact"/>
        <w:rPr>
          <w:sz w:val="20"/>
          <w:szCs w:val="20"/>
          <w:color w:val="auto"/>
        </w:rPr>
      </w:pPr>
    </w:p>
    <w:p>
      <w:pPr>
        <w:ind w:left="520" w:right="44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2025, to which this Certification is attached as Exhibit 32.1 (the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7,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7th day of August, 2025.</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 Alise Reicin, M.D.</w:t>
            </w:r>
          </w:p>
        </w:tc>
        <w:tc>
          <w:tcPr>
            <w:tcW w:w="708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/s/ Daniel Lochner</w:t>
            </w:r>
          </w:p>
        </w:tc>
      </w:tr>
      <w:tr>
        <w:trPr>
          <w:trHeight w:val="191"/>
        </w:trPr>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Alise Reicin, M.D.</w:t>
            </w:r>
          </w:p>
        </w:tc>
        <w:tc>
          <w:tcPr>
            <w:tcW w:w="2940" w:type="dxa"/>
            <w:vAlign w:val="bottom"/>
          </w:tcPr>
          <w:p>
            <w:pPr>
              <w:spacing w:after="0"/>
              <w:rPr>
                <w:sz w:val="16"/>
                <w:szCs w:val="16"/>
                <w:color w:val="auto"/>
              </w:rPr>
            </w:pPr>
          </w:p>
        </w:tc>
        <w:tc>
          <w:tcPr>
            <w:tcW w:w="4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 Lochner</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708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Tectonic Therapeutic,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4" w:name="page85"/>
    <w:bookmarkEnd w:id="8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2"/>
    </w:lvl>
  </w:abstractNum>
  <w:abstractNum w:abstractNumId="5">
    <w:nsid w:val="189A769B"/>
    <w:multiLevelType w:val="hybridMultilevel"/>
    <w:lvl w:ilvl="0">
      <w:lvlJc w:val="left"/>
      <w:lvlText w:val="%1."/>
      <w:numFmt w:val="decimal"/>
      <w:start w:val="3"/>
    </w:lvl>
  </w:abstractNum>
  <w:abstractNum w:abstractNumId="6">
    <w:nsid w:val="54E49EB4"/>
    <w:multiLevelType w:val="hybridMultilevel"/>
    <w:lvl w:ilvl="0">
      <w:lvlJc w:val="left"/>
      <w:lvlText w:val="%1."/>
      <w:numFmt w:val="decimal"/>
      <w:start w:val="5"/>
    </w:lvl>
  </w:abstractNum>
  <w:abstractNum w:abstractNumId="7">
    <w:nsid w:val="71F32454"/>
    <w:multiLevelType w:val="hybridMultilevel"/>
    <w:lvl w:ilvl="0">
      <w:lvlJc w:val="left"/>
      <w:lvlText w:val="%1."/>
      <w:numFmt w:val="decimal"/>
      <w:start w:val="6"/>
    </w:lvl>
  </w:abstractNum>
  <w:abstractNum w:abstractNumId="8">
    <w:nsid w:val="2CA88611"/>
    <w:multiLevelType w:val="hybridMultilevel"/>
    <w:lvl w:ilvl="0">
      <w:lvlJc w:val="left"/>
      <w:lvlText w:val="%1."/>
      <w:numFmt w:val="decimal"/>
      <w:start w:val="7"/>
    </w:lvl>
  </w:abstractNum>
  <w:abstractNum w:abstractNumId="9">
    <w:nsid w:val="836C40E"/>
    <w:multiLevelType w:val="hybridMultilevel"/>
    <w:lvl w:ilvl="0">
      <w:lvlJc w:val="left"/>
      <w:lvlText w:val="%1."/>
      <w:numFmt w:val="decimal"/>
      <w:start w:val="8"/>
    </w:lvl>
  </w:abstractNum>
  <w:abstractNum w:abstractNumId="10">
    <w:nsid w:val="2901D82"/>
    <w:multiLevelType w:val="hybridMultilevel"/>
    <w:lvl w:ilvl="0">
      <w:lvlJc w:val="left"/>
      <w:lvlText w:val="%1."/>
      <w:numFmt w:val="decimal"/>
      <w:start w:val="9"/>
    </w:lvl>
  </w:abstractNum>
  <w:abstractNum w:abstractNumId="11">
    <w:nsid w:val="3A95F874"/>
    <w:multiLevelType w:val="hybridMultilevel"/>
    <w:lvl w:ilvl="0">
      <w:lvlJc w:val="left"/>
      <w:lvlText w:val="%1."/>
      <w:numFmt w:val="decimal"/>
      <w:start w:val="10"/>
    </w:lvl>
  </w:abstractNum>
  <w:abstractNum w:abstractNumId="12">
    <w:nsid w:val="8138641"/>
    <w:multiLevelType w:val="hybridMultilevel"/>
    <w:lvl w:ilvl="0">
      <w:lvlJc w:val="left"/>
      <w:lvlText w:val="1"/>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44" Type="http://schemas.openxmlformats.org/officeDocument/2006/relationships/hyperlink" Target="https://www.sec.gov/Archives/edgar/data/1681087/000119312524200609/d878693dex31.htm" TargetMode="External"/><Relationship Id="rId245" Type="http://schemas.openxmlformats.org/officeDocument/2006/relationships/hyperlink" Target="https://www.sec.gov/Archives/edgar/data/1681087/000119312518202460/d15392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2025-08-07T15:17:44Z</dcterms:created>
  <dcterms:modified xsi:type="dcterms:W3CDTF">2025-08-07T15:17:44Z</dcterms:modified>
</cp:coreProperties>
</file>