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52070</wp:posOffset>
            </wp:positionV>
            <wp:extent cx="822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-95885</wp:posOffset>
            </wp:positionV>
            <wp:extent cx="822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30"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402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w w:val="90"/>
              </w:rPr>
              <w:t>to</w:t>
            </w:r>
          </w:p>
        </w:tc>
        <w:tc>
          <w:tcPr>
            <w:tcW w:w="580" w:type="dxa"/>
            <w:vAlign w:val="bottom"/>
            <w:tcBorders>
              <w:bottom w:val="single" w:sz="8" w:color="auto"/>
            </w:tcBorders>
          </w:tcPr>
          <w:p>
            <w:pPr>
              <w:spacing w:after="0"/>
              <w:rPr>
                <w:sz w:val="14"/>
                <w:szCs w:val="14"/>
                <w:color w:val="auto"/>
              </w:rPr>
            </w:pPr>
          </w:p>
        </w:tc>
      </w:tr>
      <w:tr>
        <w:trPr>
          <w:trHeight w:val="184"/>
        </w:trPr>
        <w:tc>
          <w:tcPr>
            <w:tcW w:w="3200" w:type="dxa"/>
            <w:vAlign w:val="bottom"/>
            <w:gridSpan w:val="4"/>
          </w:tcPr>
          <w:p>
            <w:pPr>
              <w:ind w:left="480"/>
              <w:spacing w:after="0"/>
              <w:rPr>
                <w:sz w:val="20"/>
                <w:szCs w:val="20"/>
                <w:color w:val="auto"/>
              </w:rPr>
            </w:pPr>
            <w:r>
              <w:rPr>
                <w:rFonts w:ascii="Arial" w:cs="Arial" w:eastAsia="Arial" w:hAnsi="Arial"/>
                <w:sz w:val="14"/>
                <w:szCs w:val="14"/>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33655</wp:posOffset>
            </wp:positionV>
            <wp:extent cx="8229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471"/>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4"/>
          </w:tcPr>
          <w:p>
            <w:pPr>
              <w:jc w:val="center"/>
              <w:ind w:right="28"/>
              <w:spacing w:after="0"/>
              <w:rPr>
                <w:sz w:val="20"/>
                <w:szCs w:val="20"/>
                <w:color w:val="auto"/>
              </w:rPr>
            </w:pPr>
            <w:r>
              <w:rPr>
                <w:rFonts w:ascii="Arial" w:cs="Arial" w:eastAsia="Arial" w:hAnsi="Arial"/>
                <w:sz w:val="40"/>
                <w:szCs w:val="40"/>
                <w:b w:val="1"/>
                <w:bCs w:val="1"/>
                <w:color w:val="auto"/>
                <w:w w:val="98"/>
              </w:rPr>
              <w:t>AVROBIO,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vMerge w:val="restart"/>
          </w:tcPr>
          <w:p>
            <w:pPr>
              <w:jc w:val="center"/>
              <w:ind w:left="1788"/>
              <w:spacing w:after="0"/>
              <w:rPr>
                <w:sz w:val="20"/>
                <w:szCs w:val="20"/>
                <w:color w:val="auto"/>
              </w:rPr>
            </w:pPr>
            <w:r>
              <w:rPr>
                <w:rFonts w:ascii="Arial" w:cs="Arial" w:eastAsia="Arial" w:hAnsi="Arial"/>
                <w:sz w:val="14"/>
                <w:szCs w:val="14"/>
                <w:b w:val="1"/>
                <w:bCs w:val="1"/>
                <w:color w:val="auto"/>
                <w:w w:val="94"/>
              </w:rPr>
              <w:t>Delaware</w:t>
            </w: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780" w:type="dxa"/>
            <w:vAlign w:val="bottom"/>
            <w:gridSpan w:val="3"/>
            <w:vMerge w:val="restart"/>
          </w:tcPr>
          <w:p>
            <w:pPr>
              <w:jc w:val="right"/>
              <w:ind w:right="2388"/>
              <w:spacing w:after="0"/>
              <w:rPr>
                <w:sz w:val="20"/>
                <w:szCs w:val="20"/>
                <w:color w:val="auto"/>
              </w:rPr>
            </w:pPr>
            <w:r>
              <w:rPr>
                <w:rFonts w:ascii="Arial" w:cs="Arial" w:eastAsia="Arial" w:hAnsi="Arial"/>
                <w:sz w:val="14"/>
                <w:szCs w:val="14"/>
                <w:b w:val="1"/>
                <w:bCs w:val="1"/>
                <w:color w:val="auto"/>
              </w:rPr>
              <w:t>81-0710585</w:t>
            </w:r>
          </w:p>
        </w:tc>
        <w:tc>
          <w:tcPr>
            <w:tcW w:w="0" w:type="dxa"/>
            <w:vAlign w:val="bottom"/>
          </w:tcPr>
          <w:p>
            <w:pPr>
              <w:spacing w:after="0"/>
              <w:rPr>
                <w:sz w:val="1"/>
                <w:szCs w:val="1"/>
                <w:color w:val="auto"/>
              </w:rPr>
            </w:pPr>
          </w:p>
        </w:tc>
      </w:tr>
      <w:tr>
        <w:trPr>
          <w:trHeight w:val="160"/>
        </w:trPr>
        <w:tc>
          <w:tcPr>
            <w:tcW w:w="3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jc w:val="center"/>
              <w:ind w:left="18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jc w:val="center"/>
              <w:ind w:right="192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760" w:type="dxa"/>
            <w:vAlign w:val="bottom"/>
          </w:tcPr>
          <w:p>
            <w:pPr>
              <w:jc w:val="center"/>
              <w:ind w:left="1808"/>
              <w:spacing w:after="0"/>
              <w:rPr>
                <w:sz w:val="20"/>
                <w:szCs w:val="20"/>
                <w:color w:val="auto"/>
              </w:rPr>
            </w:pPr>
            <w:r>
              <w:rPr>
                <w:rFonts w:ascii="Arial" w:cs="Arial" w:eastAsia="Arial" w:hAnsi="Arial"/>
                <w:sz w:val="14"/>
                <w:szCs w:val="14"/>
                <w:b w:val="1"/>
                <w:bCs w:val="1"/>
                <w:color w:val="auto"/>
                <w:w w:val="94"/>
              </w:rPr>
              <w:t>incorporation or organization)</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jc w:val="center"/>
              <w:ind w:right="194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65"/>
        </w:trPr>
        <w:tc>
          <w:tcPr>
            <w:tcW w:w="3760" w:type="dxa"/>
            <w:vAlign w:val="bottom"/>
          </w:tcPr>
          <w:p>
            <w:pPr>
              <w:jc w:val="center"/>
              <w:ind w:left="1788"/>
              <w:spacing w:after="0"/>
              <w:rPr>
                <w:sz w:val="20"/>
                <w:szCs w:val="20"/>
                <w:color w:val="auto"/>
              </w:rPr>
            </w:pPr>
            <w:r>
              <w:rPr>
                <w:rFonts w:ascii="Arial" w:cs="Arial" w:eastAsia="Arial" w:hAnsi="Arial"/>
                <w:sz w:val="14"/>
                <w:szCs w:val="14"/>
                <w:b w:val="1"/>
                <w:bCs w:val="1"/>
                <w:color w:val="auto"/>
                <w:w w:val="94"/>
              </w:rPr>
              <w:t>One Kendall Square</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jc w:val="center"/>
              <w:ind w:left="1788"/>
              <w:spacing w:after="0"/>
              <w:rPr>
                <w:sz w:val="20"/>
                <w:szCs w:val="20"/>
                <w:color w:val="auto"/>
              </w:rPr>
            </w:pPr>
            <w:r>
              <w:rPr>
                <w:rFonts w:ascii="Arial" w:cs="Arial" w:eastAsia="Arial" w:hAnsi="Arial"/>
                <w:sz w:val="14"/>
                <w:szCs w:val="14"/>
                <w:b w:val="1"/>
                <w:bCs w:val="1"/>
                <w:color w:val="auto"/>
                <w:w w:val="93"/>
              </w:rPr>
              <w:t>Building 300, Suite 201</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tcPr>
          <w:p>
            <w:pPr>
              <w:jc w:val="center"/>
              <w:ind w:left="1788"/>
              <w:spacing w:after="0" w:line="149" w:lineRule="exact"/>
              <w:rPr>
                <w:sz w:val="20"/>
                <w:szCs w:val="20"/>
                <w:color w:val="auto"/>
              </w:rPr>
            </w:pPr>
            <w:r>
              <w:rPr>
                <w:rFonts w:ascii="Arial" w:cs="Arial" w:eastAsia="Arial" w:hAnsi="Arial"/>
                <w:sz w:val="14"/>
                <w:szCs w:val="14"/>
                <w:b w:val="1"/>
                <w:bCs w:val="1"/>
                <w:color w:val="auto"/>
                <w:w w:val="91"/>
              </w:rPr>
              <w:t>Cambridge, Massachusetts</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80" w:type="dxa"/>
            <w:vAlign w:val="bottom"/>
            <w:gridSpan w:val="3"/>
          </w:tcPr>
          <w:p>
            <w:pPr>
              <w:jc w:val="right"/>
              <w:ind w:right="2548"/>
              <w:spacing w:after="0" w:line="149" w:lineRule="exact"/>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86"/>
        </w:trPr>
        <w:tc>
          <w:tcPr>
            <w:tcW w:w="690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jc w:val="center"/>
              <w:ind w:right="19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13"/>
                <w:szCs w:val="13"/>
                <w:color w:val="auto"/>
              </w:rPr>
            </w:pPr>
          </w:p>
        </w:tc>
        <w:tc>
          <w:tcPr>
            <w:tcW w:w="2520" w:type="dxa"/>
            <w:vAlign w:val="bottom"/>
            <w:gridSpan w:val="3"/>
          </w:tcPr>
          <w:p>
            <w:pPr>
              <w:jc w:val="center"/>
              <w:ind w:left="1148"/>
              <w:spacing w:after="0" w:line="151" w:lineRule="exact"/>
              <w:rPr>
                <w:sz w:val="20"/>
                <w:szCs w:val="20"/>
                <w:color w:val="auto"/>
              </w:rPr>
            </w:pPr>
            <w:r>
              <w:rPr>
                <w:rFonts w:ascii="Arial" w:cs="Arial" w:eastAsia="Arial" w:hAnsi="Arial"/>
                <w:sz w:val="14"/>
                <w:szCs w:val="14"/>
                <w:b w:val="1"/>
                <w:bCs w:val="1"/>
                <w:color w:val="auto"/>
                <w:w w:val="93"/>
              </w:rPr>
              <w:t>(617) 914-8420</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3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Trading Symbol</w:t>
            </w: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60"/>
        </w:trPr>
        <w:tc>
          <w:tcPr>
            <w:tcW w:w="3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Common Stock, $0.0001 par value per share</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20" w:type="dxa"/>
            <w:vAlign w:val="bottom"/>
            <w:gridSpan w:val="2"/>
          </w:tcPr>
          <w:p>
            <w:pPr>
              <w:jc w:val="center"/>
              <w:ind w:right="480"/>
              <w:spacing w:after="0" w:line="160" w:lineRule="exact"/>
              <w:rPr>
                <w:sz w:val="20"/>
                <w:szCs w:val="20"/>
                <w:color w:val="auto"/>
              </w:rPr>
            </w:pPr>
            <w:r>
              <w:rPr>
                <w:rFonts w:ascii="Arial" w:cs="Arial" w:eastAsia="Arial" w:hAnsi="Arial"/>
                <w:sz w:val="14"/>
                <w:szCs w:val="14"/>
                <w:b w:val="1"/>
                <w:bCs w:val="1"/>
                <w:color w:val="auto"/>
                <w:w w:val="98"/>
              </w:rPr>
              <w:t>AVRO</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Pr>
          <w:p>
            <w:pPr>
              <w:ind w:left="900"/>
              <w:spacing w:after="0" w:line="160" w:lineRule="exact"/>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37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None</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gridSpan w:val="3"/>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780" w:type="dxa"/>
            <w:vAlign w:val="bottom"/>
            <w:gridSpan w:val="3"/>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7"/>
        </w:trPr>
        <w:tc>
          <w:tcPr>
            <w:tcW w:w="69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8"/>
                <w:szCs w:val="18"/>
                <w:color w:val="auto"/>
              </w:rPr>
            </w:pPr>
          </w:p>
        </w:tc>
        <w:tc>
          <w:tcPr>
            <w:tcW w:w="37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0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40" w:type="dxa"/>
            <w:vAlign w:val="bottom"/>
          </w:tcPr>
          <w:p>
            <w:pPr>
              <w:spacing w:after="0"/>
              <w:rPr>
                <w:sz w:val="19"/>
                <w:szCs w:val="19"/>
                <w:color w:val="auto"/>
              </w:rPr>
            </w:pPr>
          </w:p>
        </w:tc>
        <w:tc>
          <w:tcPr>
            <w:tcW w:w="3740" w:type="dxa"/>
            <w:vAlign w:val="bottom"/>
            <w:gridSpan w:val="2"/>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6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80"/>
        <w:spacing w:after="0" w:line="255"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was approximately $336,928,742 as of June 30, 2021 (based on a closing price of $8.89 share as quoted by the Nasdaq Global Select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rPr>
          <w:sz w:val="20"/>
          <w:szCs w:val="20"/>
          <w:color w:val="auto"/>
        </w:rPr>
      </w:pPr>
      <w:r>
        <w:rPr>
          <w:rFonts w:ascii="Arial" w:cs="Arial" w:eastAsia="Arial" w:hAnsi="Arial"/>
          <w:sz w:val="14"/>
          <w:szCs w:val="14"/>
          <w:color w:val="auto"/>
        </w:rPr>
        <w:t>The registrant had 43,696,327 shares of Common Stock, $0.0001 par value per share, outstanding as of March 10, 2022.</w:t>
      </w:r>
    </w:p>
    <w:p>
      <w:pPr>
        <w:spacing w:after="0" w:line="24"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jc w:val="both"/>
        <w:ind w:right="20"/>
        <w:spacing w:after="0" w:line="259" w:lineRule="auto"/>
        <w:rPr>
          <w:sz w:val="20"/>
          <w:szCs w:val="20"/>
          <w:color w:val="auto"/>
        </w:rPr>
      </w:pPr>
      <w:r>
        <w:rPr>
          <w:rFonts w:ascii="Arial" w:cs="Arial" w:eastAsia="Arial" w:hAnsi="Arial"/>
          <w:sz w:val="13"/>
          <w:szCs w:val="13"/>
          <w:color w:val="auto"/>
        </w:rPr>
        <w:t>Part III of this Annual Report on Form 10-K incorporates by reference certain information from the registrant’s definitive Proxy Statement for its 2022 annual meeting of shareholders, which the registrant intends to file pursuant to Regulation 14A with the Securities and Exchange Commission not later than 120 days after the registrant’s fiscal year end of December 31, 2021.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 for the Fiscal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580" w:type="dxa"/>
            <w:vAlign w:val="bottom"/>
            <w:vMerge w:val="restart"/>
          </w:tcPr>
          <w:p>
            <w:pPr>
              <w:spacing w:after="0"/>
              <w:rPr>
                <w:rFonts w:ascii="Arial" w:cs="Arial" w:eastAsia="Arial" w:hAnsi="Arial"/>
                <w:sz w:val="18"/>
                <w:szCs w:val="18"/>
                <w:b w:val="1"/>
                <w:bCs w:val="1"/>
                <w:color w:val="0000EE"/>
                <w:w w:val="94"/>
              </w:rPr>
            </w:pPr>
            <w:hyperlink w:anchor="page7">
              <w:r>
                <w:rPr>
                  <w:rFonts w:ascii="Arial" w:cs="Arial" w:eastAsia="Arial" w:hAnsi="Arial"/>
                  <w:sz w:val="18"/>
                  <w:szCs w:val="18"/>
                  <w:b w:val="1"/>
                  <w:bCs w:val="1"/>
                  <w:color w:val="0000EE"/>
                  <w:w w:val="94"/>
                </w:rPr>
                <w:t>PART I</w:t>
              </w:r>
            </w:hyperlink>
          </w:p>
        </w:tc>
        <w:tc>
          <w:tcPr>
            <w:tcW w:w="9080" w:type="dxa"/>
            <w:vAlign w:val="bottom"/>
            <w:gridSpan w:val="23"/>
            <w:vMerge w:val="restart"/>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580" w:type="dxa"/>
            <w:vAlign w:val="bottom"/>
            <w:tcBorders>
              <w:bottom w:val="single" w:sz="8" w:color="0000EE"/>
            </w:tcBorders>
            <w:vMerge w:val="continue"/>
          </w:tcPr>
          <w:p>
            <w:pPr>
              <w:spacing w:after="0"/>
              <w:rPr>
                <w:sz w:val="13"/>
                <w:szCs w:val="13"/>
                <w:color w:val="auto"/>
              </w:rPr>
            </w:pPr>
          </w:p>
        </w:tc>
        <w:tc>
          <w:tcPr>
            <w:tcW w:w="9080" w:type="dxa"/>
            <w:vAlign w:val="bottom"/>
            <w:gridSpan w:val="23"/>
            <w:vMerge w:val="continue"/>
          </w:tcPr>
          <w:p>
            <w:pPr>
              <w:spacing w:after="0"/>
              <w:rPr>
                <w:sz w:val="13"/>
                <w:szCs w:val="13"/>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7">
              <w:r>
                <w:rPr>
                  <w:rFonts w:ascii="Arial" w:cs="Arial" w:eastAsia="Arial" w:hAnsi="Arial"/>
                  <w:sz w:val="18"/>
                  <w:szCs w:val="18"/>
                  <w:color w:val="0000EE"/>
                  <w:w w:val="84"/>
                </w:rPr>
                <w:t>Business</w:t>
              </w:r>
            </w:hyperlink>
          </w:p>
        </w:tc>
        <w:tc>
          <w:tcPr>
            <w:tcW w:w="9020" w:type="dxa"/>
            <w:vAlign w:val="bottom"/>
            <w:gridSpan w:val="22"/>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Risk Factors</w:t>
              </w:r>
            </w:hyperlink>
          </w:p>
        </w:tc>
        <w:tc>
          <w:tcPr>
            <w:tcW w:w="8760" w:type="dxa"/>
            <w:vAlign w:val="bottom"/>
            <w:gridSpan w:val="16"/>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Unresolved Staff Comments</w:t>
              </w:r>
            </w:hyperlink>
          </w:p>
        </w:tc>
        <w:tc>
          <w:tcPr>
            <w:tcW w:w="7620" w:type="dxa"/>
            <w:vAlign w:val="bottom"/>
            <w:gridSpan w:val="11"/>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89">
              <w:r>
                <w:rPr>
                  <w:rFonts w:ascii="Arial" w:cs="Arial" w:eastAsia="Arial" w:hAnsi="Arial"/>
                  <w:sz w:val="18"/>
                  <w:szCs w:val="18"/>
                  <w:color w:val="0000EE"/>
                  <w:w w:val="87"/>
                </w:rPr>
                <w:t>Properties</w:t>
              </w:r>
            </w:hyperlink>
          </w:p>
        </w:tc>
        <w:tc>
          <w:tcPr>
            <w:tcW w:w="8920" w:type="dxa"/>
            <w:vAlign w:val="bottom"/>
            <w:gridSpan w:val="18"/>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2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Legal Proceedings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2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Mine Safety Disclosures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25"/>
        </w:trPr>
        <w:tc>
          <w:tcPr>
            <w:tcW w:w="1000" w:type="dxa"/>
            <w:vAlign w:val="bottom"/>
          </w:tcPr>
          <w:p>
            <w:pPr>
              <w:spacing w:after="0"/>
              <w:rPr>
                <w:sz w:val="24"/>
                <w:szCs w:val="24"/>
                <w:color w:val="auto"/>
              </w:rPr>
            </w:pPr>
          </w:p>
        </w:tc>
        <w:tc>
          <w:tcPr>
            <w:tcW w:w="176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II</w:t>
              </w:r>
            </w:hyperlink>
          </w:p>
        </w:tc>
        <w:tc>
          <w:tcPr>
            <w:tcW w:w="7900" w:type="dxa"/>
            <w:vAlign w:val="bottom"/>
            <w:gridSpan w:val="13"/>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660" w:type="dxa"/>
            <w:vAlign w:val="bottom"/>
            <w:gridSpan w:val="2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Market for the Registrant’s Common Equity, Related Stockholder Matters and Issuer Purchases of Equity Securities</w:t>
              </w:r>
            </w:hyperlink>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020" w:type="dxa"/>
            <w:vAlign w:val="bottom"/>
            <w:tcBorders>
              <w:top w:val="single" w:sz="8" w:color="0000EE"/>
            </w:tcBorders>
            <w:gridSpan w:val="2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Reserved</w:t>
              </w:r>
            </w:hyperlink>
          </w:p>
        </w:tc>
        <w:tc>
          <w:tcPr>
            <w:tcW w:w="16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3"/>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9660" w:type="dxa"/>
            <w:vAlign w:val="bottom"/>
            <w:gridSpan w:val="2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Quantitative and Qualitative Disclosures about Market Risk</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Financial Statements and Supplementary Data</w:t>
              </w:r>
            </w:hyperlink>
          </w:p>
        </w:tc>
        <w:tc>
          <w:tcPr>
            <w:tcW w:w="5360" w:type="dxa"/>
            <w:vAlign w:val="bottom"/>
            <w:gridSpan w:val="6"/>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9660" w:type="dxa"/>
            <w:vAlign w:val="bottom"/>
            <w:gridSpan w:val="2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Controls and Procedures</w:t>
              </w:r>
            </w:hyperlink>
          </w:p>
        </w:tc>
        <w:tc>
          <w:tcPr>
            <w:tcW w:w="3200" w:type="dxa"/>
            <w:vAlign w:val="bottom"/>
            <w:gridSpan w:val="3"/>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1"/>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7900" w:type="dxa"/>
            <w:vAlign w:val="bottom"/>
            <w:gridSpan w:val="13"/>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9C.</w:t>
            </w:r>
          </w:p>
        </w:tc>
        <w:tc>
          <w:tcPr>
            <w:tcW w:w="49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Disclosure Regarding Foreign Jurisdictions that Prevent Inspections.</w:t>
              </w:r>
            </w:hyperlink>
          </w:p>
        </w:tc>
        <w:tc>
          <w:tcPr>
            <w:tcW w:w="4720" w:type="dxa"/>
            <w:vAlign w:val="bottom"/>
            <w:gridSpan w:val="5"/>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8940" w:type="dxa"/>
            <w:vAlign w:val="bottom"/>
            <w:gridSpan w:val="19"/>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9660" w:type="dxa"/>
            <w:vAlign w:val="bottom"/>
            <w:gridSpan w:val="2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580" w:type="dxa"/>
            <w:vAlign w:val="bottom"/>
            <w:gridSpan w:val="7"/>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9660" w:type="dxa"/>
            <w:vAlign w:val="bottom"/>
            <w:gridSpan w:val="24"/>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Management and Related Stockholder Matters</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2"/>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Certain Relationships and Related Transactions, and Director Independence</w:t>
              </w:r>
            </w:hyperlink>
          </w:p>
        </w:tc>
        <w:tc>
          <w:tcPr>
            <w:tcW w:w="2380" w:type="dxa"/>
            <w:vAlign w:val="bottom"/>
            <w:gridSpan w:val="2"/>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Principal Accounting Fees and Services</w:t>
              </w:r>
            </w:hyperlink>
          </w:p>
        </w:tc>
        <w:tc>
          <w:tcPr>
            <w:tcW w:w="4220" w:type="dxa"/>
            <w:vAlign w:val="bottom"/>
            <w:gridSpan w:val="4"/>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426"/>
        </w:trPr>
        <w:tc>
          <w:tcPr>
            <w:tcW w:w="1000" w:type="dxa"/>
            <w:vAlign w:val="bottom"/>
          </w:tcPr>
          <w:p>
            <w:pPr>
              <w:spacing w:after="0"/>
              <w:rPr>
                <w:sz w:val="24"/>
                <w:szCs w:val="24"/>
                <w:color w:val="auto"/>
              </w:rPr>
            </w:pPr>
          </w:p>
        </w:tc>
        <w:tc>
          <w:tcPr>
            <w:tcW w:w="286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IV</w:t>
              </w:r>
            </w:hyperlink>
          </w:p>
        </w:tc>
        <w:tc>
          <w:tcPr>
            <w:tcW w:w="6800" w:type="dxa"/>
            <w:vAlign w:val="bottom"/>
            <w:gridSpan w:val="10"/>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Exhibits and Financial Statement Schedules</w:t>
              </w:r>
            </w:hyperlink>
          </w:p>
        </w:tc>
        <w:tc>
          <w:tcPr>
            <w:tcW w:w="6500" w:type="dxa"/>
            <w:vAlign w:val="bottom"/>
            <w:gridSpan w:val="9"/>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16.</w:t>
            </w:r>
          </w:p>
        </w:tc>
        <w:tc>
          <w:tcPr>
            <w:tcW w:w="9660" w:type="dxa"/>
            <w:vAlign w:val="bottom"/>
            <w:gridSpan w:val="24"/>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Form 10-K Summary</w:t>
              </w:r>
            </w:hyperlink>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135">
              <w:r>
                <w:rPr>
                  <w:rFonts w:ascii="Arial" w:cs="Arial" w:eastAsia="Arial" w:hAnsi="Arial"/>
                  <w:sz w:val="18"/>
                  <w:szCs w:val="18"/>
                  <w:color w:val="0000EE"/>
                  <w:w w:val="85"/>
                </w:rPr>
                <w:t>Signatures</w:t>
              </w:r>
            </w:hyperlink>
          </w:p>
        </w:tc>
        <w:tc>
          <w:tcPr>
            <w:tcW w:w="780" w:type="dxa"/>
            <w:vAlign w:val="bottom"/>
            <w:tcBorders>
              <w:top w:val="single" w:sz="8" w:color="0000EE"/>
            </w:tcBorders>
            <w:gridSpan w:val="3"/>
          </w:tcPr>
          <w:p>
            <w:pPr>
              <w:spacing w:after="0"/>
              <w:rPr>
                <w:sz w:val="18"/>
                <w:szCs w:val="18"/>
                <w:color w:val="auto"/>
              </w:rPr>
            </w:pPr>
          </w:p>
        </w:tc>
        <w:tc>
          <w:tcPr>
            <w:tcW w:w="8120" w:type="dxa"/>
            <w:vAlign w:val="bottom"/>
            <w:gridSpan w:val="14"/>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76" w:lineRule="exact"/>
        <w:rPr>
          <w:sz w:val="20"/>
          <w:szCs w:val="20"/>
          <w:color w:val="auto"/>
        </w:rPr>
      </w:pPr>
    </w:p>
    <w:p>
      <w:pPr>
        <w:ind w:left="960" w:right="54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960" w:right="50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170" w:lineRule="exact"/>
        <w:rPr>
          <w:rFonts w:ascii="Arial" w:cs="Arial" w:eastAsia="Arial" w:hAnsi="Arial"/>
          <w:sz w:val="18"/>
          <w:szCs w:val="18"/>
          <w:color w:val="auto"/>
        </w:rPr>
      </w:pPr>
    </w:p>
    <w:p>
      <w:pPr>
        <w:ind w:left="960" w:right="20" w:hanging="412"/>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we can no longer draw $20.0 million of term loans that were contingent upon the achievement of certain milestones related to our development of AVR-RD-01 for Fabry disease.</w:t>
      </w:r>
    </w:p>
    <w:p>
      <w:pPr>
        <w:spacing w:after="0" w:line="92" w:lineRule="exact"/>
        <w:rPr>
          <w:rFonts w:ascii="Arial" w:cs="Arial" w:eastAsia="Arial" w:hAnsi="Arial"/>
          <w:sz w:val="18"/>
          <w:szCs w:val="18"/>
          <w:color w:val="auto"/>
        </w:rPr>
      </w:pPr>
    </w:p>
    <w:p>
      <w:pPr>
        <w:ind w:left="960" w:right="140" w:hanging="412"/>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resulting from the ongoing coronavirus disease (COVID-19) pandemic or similar public health crises have caused and may continue to cause a disruption of the development of our product candidates and adversely impact our business.</w:t>
      </w:r>
    </w:p>
    <w:p>
      <w:pPr>
        <w:spacing w:after="0" w:line="51" w:lineRule="exact"/>
        <w:rPr>
          <w:rFonts w:ascii="Arial" w:cs="Arial" w:eastAsia="Arial" w:hAnsi="Arial"/>
          <w:sz w:val="17"/>
          <w:szCs w:val="17"/>
          <w:color w:val="auto"/>
        </w:rPr>
      </w:pPr>
    </w:p>
    <w:p>
      <w:pPr>
        <w:ind w:left="960" w:right="14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960" w:right="80" w:hanging="412"/>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9"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preclinical studies or early clinical trials may not be indicative of results obtained in later trials.</w:t>
      </w:r>
    </w:p>
    <w:p>
      <w:pPr>
        <w:spacing w:after="0" w:line="157" w:lineRule="exact"/>
        <w:rPr>
          <w:rFonts w:ascii="Arial" w:cs="Arial" w:eastAsia="Arial" w:hAnsi="Arial"/>
          <w:sz w:val="18"/>
          <w:szCs w:val="18"/>
          <w:color w:val="auto"/>
        </w:rPr>
      </w:pPr>
    </w:p>
    <w:p>
      <w:pPr>
        <w:ind w:left="960" w:right="44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960" w:right="28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fail to demonstrate safety and efficacy to the satisfaction of applicable regulatory authorities.</w:t>
      </w:r>
    </w:p>
    <w:p>
      <w:pPr>
        <w:spacing w:after="0" w:line="75" w:lineRule="exact"/>
        <w:rPr>
          <w:rFonts w:ascii="Arial" w:cs="Arial" w:eastAsia="Arial" w:hAnsi="Arial"/>
          <w:sz w:val="18"/>
          <w:szCs w:val="18"/>
          <w:color w:val="auto"/>
        </w:rPr>
      </w:pPr>
    </w:p>
    <w:p>
      <w:pPr>
        <w:ind w:left="960" w:right="70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complete the necessary preclinical and clinical studies, we cannot predict when or if we will obtain regulatory approval to commercialize a product candidate and the approval may be for a narrower indication than anticipated.</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Only one of our clinical trials utilizes our plato</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157" w:lineRule="exact"/>
        <w:rPr>
          <w:rFonts w:ascii="Arial" w:cs="Arial" w:eastAsia="Arial" w:hAnsi="Arial"/>
          <w:sz w:val="18"/>
          <w:szCs w:val="18"/>
          <w:color w:val="auto"/>
        </w:rPr>
      </w:pPr>
    </w:p>
    <w:p>
      <w:pPr>
        <w:ind w:left="960" w:right="300" w:hanging="412"/>
        <w:spacing w:after="0" w:line="31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54" w:lineRule="exact"/>
        <w:rPr>
          <w:rFonts w:ascii="Arial" w:cs="Arial" w:eastAsia="Arial" w:hAnsi="Arial"/>
          <w:sz w:val="16"/>
          <w:szCs w:val="16"/>
          <w:color w:val="auto"/>
        </w:rPr>
      </w:pPr>
    </w:p>
    <w:p>
      <w:pPr>
        <w:ind w:left="960" w:right="68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960" w:right="44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170" w:lineRule="exact"/>
        <w:rPr>
          <w:rFonts w:ascii="Arial" w:cs="Arial" w:eastAsia="Arial" w:hAnsi="Arial"/>
          <w:sz w:val="18"/>
          <w:szCs w:val="18"/>
          <w:color w:val="auto"/>
        </w:rPr>
      </w:pPr>
    </w:p>
    <w:p>
      <w:pPr>
        <w:ind w:left="960" w:hanging="412"/>
        <w:spacing w:after="0" w:line="31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currently rely, and expect to continue to rely, on sole source suppliers for our automated, closed cell processing system; vector supply; plasmid supply; and cell culture media supply, and we plan to rely on a sole source supplier of drug product manufacturing. In addition, we are dependent on a limited number of suppliers for some of our other components and materials used in our product candidates.</w:t>
      </w:r>
    </w:p>
    <w:p>
      <w:pPr>
        <w:spacing w:after="0" w:line="54" w:lineRule="exact"/>
        <w:rPr>
          <w:rFonts w:ascii="Arial" w:cs="Arial" w:eastAsia="Arial" w:hAnsi="Arial"/>
          <w:sz w:val="16"/>
          <w:szCs w:val="16"/>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ind w:left="960" w:right="220" w:hanging="41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w:t>
      </w:r>
    </w:p>
    <w:p>
      <w:pPr>
        <w:spacing w:after="0" w:line="75" w:lineRule="exact"/>
        <w:rPr>
          <w:rFonts w:ascii="Arial" w:cs="Arial" w:eastAsia="Arial" w:hAnsi="Arial"/>
          <w:sz w:val="18"/>
          <w:szCs w:val="18"/>
          <w:color w:val="auto"/>
        </w:rPr>
      </w:pPr>
    </w:p>
    <w:p>
      <w:pPr>
        <w:ind w:left="960" w:right="160" w:hanging="412"/>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84"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17" w:lineRule="exact"/>
        <w:rPr>
          <w:sz w:val="20"/>
          <w:szCs w:val="20"/>
          <w:color w:val="auto"/>
        </w:rPr>
      </w:pPr>
    </w:p>
    <w:p>
      <w:pPr>
        <w:ind w:right="100" w:firstLine="546"/>
        <w:spacing w:after="0" w:line="270" w:lineRule="auto"/>
        <w:rPr>
          <w:sz w:val="20"/>
          <w:szCs w:val="20"/>
          <w:color w:val="auto"/>
        </w:rPr>
      </w:pPr>
      <w:r>
        <w:rPr>
          <w:rFonts w:ascii="Arial" w:cs="Arial" w:eastAsia="Arial" w:hAnsi="Arial"/>
          <w:sz w:val="17"/>
          <w:szCs w:val="17"/>
          <w:color w:val="auto"/>
        </w:rPr>
        <w:t>This Annual Report on Form 10-K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3" w:lineRule="exact"/>
        <w:rPr>
          <w:sz w:val="20"/>
          <w:szCs w:val="20"/>
          <w:color w:val="auto"/>
        </w:rPr>
      </w:pPr>
    </w:p>
    <w:p>
      <w:pPr>
        <w:jc w:val="both"/>
        <w:ind w:left="960" w:right="40" w:hanging="41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75" w:lineRule="exact"/>
        <w:rPr>
          <w:rFonts w:ascii="Arial" w:cs="Arial" w:eastAsia="Arial" w:hAnsi="Arial"/>
          <w:sz w:val="18"/>
          <w:szCs w:val="18"/>
          <w:color w:val="auto"/>
        </w:rPr>
      </w:pPr>
    </w:p>
    <w:p>
      <w:pPr>
        <w:ind w:left="960" w:right="240" w:hanging="41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960" w:right="360" w:hanging="412"/>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regulatory pathway for our product candidates and planned interactions with regulatory agencies;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 platform;</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44" w:lineRule="exact"/>
        <w:rPr>
          <w:rFonts w:ascii="Arial" w:cs="Arial" w:eastAsia="Arial" w:hAnsi="Arial"/>
          <w:sz w:val="18"/>
          <w:szCs w:val="18"/>
          <w:color w:val="auto"/>
        </w:rPr>
      </w:pPr>
    </w:p>
    <w:p>
      <w:pPr>
        <w:ind w:left="960" w:hanging="41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other lentiviral-based gene therapy companies;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the terms of our term loan agreement;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avoid any findings of material weaknesses or significant deficiencies in the future;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44" w:lineRule="exact"/>
        <w:rPr>
          <w:rFonts w:ascii="Arial" w:cs="Arial" w:eastAsia="Arial" w:hAnsi="Arial"/>
          <w:sz w:val="18"/>
          <w:szCs w:val="18"/>
          <w:color w:val="auto"/>
        </w:rPr>
      </w:pPr>
    </w:p>
    <w:p>
      <w:pPr>
        <w:ind w:left="960" w:right="380" w:hanging="41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or JOBS Act;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320"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All of our forward-looking statements are as of the date of this Annual Report on Form 10-K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on Form 10-K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on Form 10-K, even if such results, changes or circumstances make it clear that any forward-looking information will not be realized. Any public statements or disclosures by us following this Annual Report on Form 10-K that modify or impact any of the forward-looking statements contained in this Annual Report on Form 10-K will be deemed to modify or supersede such statements in this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Trademarks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brand names or trademarks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Annual Report on Form 10-K to the “Company,” “AVROBIO,” “we,” “us,” and “our” refer to AVROBIO, Inc. Our “board of directors” refers to the board of directors of AVROBIO,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46"/>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$3.4 billion in worldwide net sales in 2021.</w:t>
      </w:r>
    </w:p>
    <w:p>
      <w:pPr>
        <w:spacing w:after="0" w:line="178"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Our pipeline is currently comprised of five lentiviral-based gene therapy programs: AVR-RD-04 for the treatment of cystinosis; AVR-RD-02 for the treatment of Gaucher disease type 1; AVR-RD-05 for the treatment of Hunter syndrome; AVR-RD-06 for the treatment of Gaucher disease type 3; and AVR-RD-03 for the treatment of Pompe disease.</w:t>
      </w:r>
    </w:p>
    <w:p>
      <w:pPr>
        <w:spacing w:after="0" w:line="184"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AVR-RD-04 is currently being studied for the treatment of cystinosis by our collaborators at the University of California, San Diego, or UCSD, in a Phase 1/2 collaborator-sponsored clinical trial, and as of March 1, 2022 four patients have been dosed. In December 2021 we received feedback from the FDA following a Type C meeting. Pending the outcome of further planned FDA interactions this year, we expect to initiate a Company-sponsored trial in 2023 with initial sites in the United States, followed by sites in Europe and the United Kingdom. Our current plan involves a two-part strategy, beginning in a pre-renal transplant population followed by a post-renal transplant population.</w:t>
      </w:r>
    </w:p>
    <w:p>
      <w:pPr>
        <w:spacing w:after="0" w:line="188"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Three patients have been dosed as of March 1, 2022 in our Company-sponsored Phase 1/2 clinical trial of AVR-RD-02 for the treatment of Gaucher disease type 1, which we refer to as the Guard1 clinical trial, and we are actively recruiting additional potential patients for our currently active sites. We currently plan to provide updated interim clinical trial data in 2022.</w:t>
      </w:r>
    </w:p>
    <w:p>
      <w:pPr>
        <w:spacing w:after="0" w:line="184"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AVR-RD-05 is being studied for the treatment of Hunter syndrome by our collaborators at The University of Manchester, and a Phase 1/2 investigator-sponsored clinical trial is expected to be initiated in 2023. In October 2021, the FDA granted rare pediatric disease designation for AVR-RD-05 for the treatment of Hunter syndrome. Under this program, if AVR-RD-05 is approved by the FDA then the Company may qualify for a voucher that can be redeemed to receive a priority review of a subsequent marketing application for a different product candidate.</w:t>
      </w:r>
    </w:p>
    <w:p>
      <w:pPr>
        <w:spacing w:after="0" w:line="171"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AVR-RD-06 is our preclinical program for the treatment of Gaucher disease type 3, and we expect to engage with regulatory authorities this year to discuss a path to the clinic, including a potential Phase 2/3 clinical trial.</w:t>
      </w:r>
    </w:p>
    <w:p>
      <w:pPr>
        <w:spacing w:after="0" w:line="170"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Our AVR-RD-03 program for Pompe disease has completed planned preclinical development, and we are planning to engage with regulatory authorities this year to discuss a potential path to the clinic with the goal of initiating a clinical trial in 2023.</w:t>
      </w:r>
    </w:p>
    <w:p>
      <w:pPr>
        <w:spacing w:after="0" w:line="170"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In January 2022 we announced the deprioritization of AVR-RD-01, our investigational gene therapy program for Fabry disease. This decision was made due to several factors, including new clinical data showing variable engraftment patterns from the five most recently dosed patients in the Company’s Phase 2 clinical trial of AVR-RD-01 for the treatment of Fabry disease, which we refer to as the FAB-GT clinical trial. The emergence of such new data would have significantly extended the program’s development timeline. That development, coupled with an increasingly challenging market and regulatory environment for Fabry disease, were among the primary factors leading to the Company’s deprioritization of its Fabry program. As a result of the deprioritization, the Company has stopped enrollment of its Phase 2 FAB-GT clinical trial and will focus on its other pipeline programs.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ind w:right="20" w:firstLine="546"/>
        <w:spacing w:after="0" w:line="270" w:lineRule="auto"/>
        <w:rPr>
          <w:sz w:val="20"/>
          <w:szCs w:val="20"/>
          <w:color w:val="auto"/>
        </w:rPr>
      </w:pPr>
      <w:r>
        <w:rPr>
          <w:rFonts w:ascii="Arial" w:cs="Arial" w:eastAsia="Arial" w:hAnsi="Arial"/>
          <w:sz w:val="17"/>
          <w:szCs w:val="17"/>
          <w:color w:val="auto"/>
        </w:rPr>
        <w:t xml:space="preserve">Since its first clinical use in 2003, lentiviral-based gene therapy has been studied in several third parties’ clinical trials for rare diseases such as transfusion-dependent beta thalassemia, cerebral adrenoleukodystrophy, or CALD, metachromatic leukodystrophy, or MLD, and adenosine deaminase severe combined immunodeficiency, or ADA-SCID. Initially, the use of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was restricted primarily to the most severe diseases where the risks of the typical requirement for ablating the patients’ bone marrow had a clinically justifiable risk/benefit profile. To date, hundreds of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typically an essential step in the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treatment procedure and is administered prior to the gene therapy. We have worked to optimize the conditioning regimen through utilization of a precision busulfan dosing program, which we refer to as Target Concentration Intervention, or TCI. TCI is designed to enable careful titrating of exposure to the conditioning drug to a specific area under the curve, or AuC. The conditioning regimen utilized as part of our plato platform includes TCI to assess how rapidly the individual patient metabolizes the conditioning agent so physicians can adjust the dose as needed, with a goal of minimizing side effects from conditioning while maximizing the potential of durable engraftment. In addition, we are evaluating the potential future use of alternative conditioning agents in lieu of the current busulfan TCI conditioning regimen. For example, we have entered into collaboration agreements with Jasper Therapeutics, Inc. and Magenta Therapeutics, Inc. and are currently evaluating the potential use of their respective monoclonal antibody conditioning agents. We are also evaluating the potential use of additional agents to tailor the conditioning regimen for certain disease indications. We believe our approach to conditioning has the potential to extend the reach of our gene therapies to a broad range of diseases as first-line therapies.</w:t>
      </w:r>
    </w:p>
    <w:p>
      <w:pPr>
        <w:spacing w:after="0" w:line="180"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 xml:space="preserve">Plato is our gene therapy platform designed to provide the foundation for the potential worldwide commercialization of our gene therapies, if approved. It is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Six patients in our FAB-GT clinical trial of AVR-RD-01, for which enrollment has been halted, and three patients in our Guard1 clinical trial of AVR-RD-02, have been dosed with drug product manufactured utilizing the plato platform, and we intend to utilize the plato platform with these process changes for all future patients enrolling in our Company-sponsored clinical trials. We believe our innovations in viral vector design, cellular manufacturing, cryopreservation, conditioning and other related processes are important steps towards advancing the field of lentiviral-based gene therapy and realizing its full potential to treat a number of diseases. We plan to continue leveraging advancements in stem cell transplantation with the goal of improving patient tolerability of our lentiviral-based gene therapies.</w:t>
      </w:r>
    </w:p>
    <w:p>
      <w:pPr>
        <w:spacing w:after="0" w:line="181" w:lineRule="exact"/>
        <w:rPr>
          <w:sz w:val="20"/>
          <w:szCs w:val="20"/>
          <w:color w:val="auto"/>
        </w:rPr>
      </w:pPr>
    </w:p>
    <w:p>
      <w:pPr>
        <w:ind w:right="60" w:firstLine="546"/>
        <w:spacing w:after="0" w:line="287" w:lineRule="auto"/>
        <w:rPr>
          <w:sz w:val="20"/>
          <w:szCs w:val="20"/>
          <w:color w:val="auto"/>
        </w:rPr>
      </w:pPr>
      <w:r>
        <w:rPr>
          <w:rFonts w:ascii="Arial" w:cs="Arial" w:eastAsia="Arial" w:hAnsi="Arial"/>
          <w:sz w:val="16"/>
          <w:szCs w:val="16"/>
          <w:color w:val="auto"/>
        </w:rPr>
        <w:t>We are initially targeting rare lysosomal disorders in which the current standard of care provides the mechanistic proof that the enzymes or proteins produced endogenously following treatment with our gene therapies can offer benefit to patients. Typically, in lysosomal disorders, a gene mutation results in the deficiency or malfunctioning of an enzyme or other protein. This results in the inability of lysosomes to properly process cellular materials such as damaged organelles. As a result, substrates and their metabolites accumulate to toxic levels in the body’s cells and, in turn, disrupt the function of multiple tissues and organs. Gaucher disease (types 1 and 3), Hunter syndrome and Pompe disease are currently primarily managed by bi-weekly (or weekly in the case of Hunter syndrome), multi-hour infusions with ERTs that seek to exogenously replace the missing functional enzyme. However, given their pharmacokinetics, most ERTs typically remain in the plasma only for a short period of time and thus are not ideal because they are only dosed weekly or every two weeks. Cystinosis is currently treated with two oral formulations of cysteamine that must be taken orally every 12 or six hours, leading to significant pill burden and compliance challenges. Further, oral cysteamine treatment has no effect on ocular cystine crystals deposits, thus requiring patients to be treated with topical cysteamine eye drops which must be applied each hour the patient is awake. These existing therapies manage, rather than cure, the underlying diseases and, as a result, patients continue to have disease progression. Further, the frequent, periodic and life-long dosing schedule required for ERTs and cysteamine results in significant costs for the healthcare system and is burdensome for the patient.</w:t>
      </w:r>
    </w:p>
    <w:p>
      <w:pPr>
        <w:spacing w:after="0" w:line="168" w:lineRule="exact"/>
        <w:rPr>
          <w:sz w:val="20"/>
          <w:szCs w:val="20"/>
          <w:color w:val="auto"/>
        </w:rPr>
      </w:pPr>
    </w:p>
    <w:p>
      <w:pPr>
        <w:ind w:right="240" w:firstLine="546"/>
        <w:spacing w:after="0" w:line="25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potentially providing significant health economic advantages.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right="40" w:firstLine="546"/>
        <w:spacing w:after="0" w:line="277" w:lineRule="auto"/>
        <w:rPr>
          <w:sz w:val="20"/>
          <w:szCs w:val="20"/>
          <w:color w:val="auto"/>
        </w:rPr>
      </w:pPr>
      <w:r>
        <w:rPr>
          <w:rFonts w:ascii="Arial" w:cs="Arial" w:eastAsia="Arial" w:hAnsi="Arial"/>
          <w:sz w:val="18"/>
          <w:szCs w:val="18"/>
          <w:color w:val="auto"/>
        </w:rPr>
        <w:t>Our programs leverage years of extensive preclinical and early clinical research by leading researchers, as well as our internal research and ongoing clinical efforts. 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786120" cy="2486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8612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520" w:firstLine="546"/>
        <w:spacing w:after="0" w:line="308" w:lineRule="auto"/>
        <w:rPr>
          <w:sz w:val="20"/>
          <w:szCs w:val="20"/>
          <w:color w:val="auto"/>
        </w:rPr>
      </w:pPr>
      <w:r>
        <w:rPr>
          <w:rFonts w:ascii="Arial" w:cs="Arial" w:eastAsia="Arial" w:hAnsi="Arial"/>
          <w:sz w:val="17"/>
          <w:szCs w:val="17"/>
          <w:color w:val="auto"/>
        </w:rPr>
        <w:t>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Axovant Sciences (now Sio Gene Therapies), Biogen, bluebird bio, Freeline Therapeutics, GlaxoSmithKline, Lonza, Novartis, Sanofi Genzyme, Shire, Spark Therapeutics, and other companies pursuing development, manufacturing and commercialization of gene, cellular and other therapies to treat rare diseases.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Our goal is to develop and commercialize lentiviral-based gene therapies that free patients from a lifetime of genetic disease. Key elements of our strategy include:</w:t>
      </w:r>
    </w:p>
    <w:p>
      <w:pPr>
        <w:spacing w:after="0" w:line="62" w:lineRule="exact"/>
        <w:rPr>
          <w:sz w:val="20"/>
          <w:szCs w:val="20"/>
          <w:color w:val="auto"/>
        </w:rPr>
      </w:pPr>
    </w:p>
    <w:p>
      <w:pPr>
        <w:ind w:left="960" w:right="260" w:hanging="412"/>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Rapidly advance our pipeline targeting lysosomal disorders. </w:t>
      </w:r>
      <w:r>
        <w:rPr>
          <w:rFonts w:ascii="Arial" w:cs="Arial" w:eastAsia="Arial" w:hAnsi="Arial"/>
          <w:sz w:val="18"/>
          <w:szCs w:val="18"/>
          <w:color w:val="auto"/>
        </w:rPr>
        <w:t>We are initially targeting lysosomal disorders and are developing a pipeline of</w:t>
      </w:r>
      <w:r>
        <w:rPr>
          <w:rFonts w:ascii="Arial" w:cs="Arial" w:eastAsia="Arial" w:hAnsi="Arial"/>
          <w:sz w:val="18"/>
          <w:szCs w:val="18"/>
          <w:i w:val="1"/>
          <w:iCs w:val="1"/>
          <w:color w:val="auto"/>
        </w:rPr>
        <w:t xml:space="preserve"> </w:t>
      </w:r>
      <w:r>
        <w:rPr>
          <w:rFonts w:ascii="Arial" w:cs="Arial" w:eastAsia="Arial" w:hAnsi="Arial"/>
          <w:sz w:val="18"/>
          <w:szCs w:val="18"/>
          <w:color w:val="auto"/>
        </w:rPr>
        <w:t>five gene therapies to treat cystinosis, Gaucher disease type 1, Hunter syndrome, Gaucher disease type 3 and Pompe disease. We intend to continue rapidly advancing these programs in parallel and to obtain clinical data that could potentially support regulatory filings around the world.</w:t>
      </w:r>
    </w:p>
    <w:p>
      <w:pPr>
        <w:spacing w:after="0" w:line="78" w:lineRule="exact"/>
        <w:rPr>
          <w:rFonts w:ascii="Arial" w:cs="Arial" w:eastAsia="Arial" w:hAnsi="Arial"/>
          <w:sz w:val="18"/>
          <w:szCs w:val="18"/>
          <w:color w:val="auto"/>
        </w:rPr>
      </w:pPr>
    </w:p>
    <w:p>
      <w:pPr>
        <w:ind w:left="960" w:right="20" w:hanging="412"/>
        <w:spacing w:after="0" w:line="269"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Continue implementing and enhancing our industry-leading plato platform with its personalized approach to conditioning, enhanced vector technology and automated, closed manufacturing processes. </w:t>
      </w:r>
      <w:r>
        <w:rPr>
          <w:rFonts w:ascii="Arial" w:cs="Arial" w:eastAsia="Arial" w:hAnsi="Arial"/>
          <w:sz w:val="17"/>
          <w:szCs w:val="17"/>
          <w:color w:val="auto"/>
        </w:rPr>
        <w:t>Our end-to-end plato platform is designed to provide the foundation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commercialization of our gene therapies, if approved. We believe our innovations in viral vector design, cellular manufacturing, cryopreservation, and other related processes are important steps towards advancing the field of lentiviral-based gene therapy and realizing its full potential to treat a number of diseases. Plato incorporates a four-plasmid lentiviral vector designed to optimize vector copy number, transduction efficiency and resulting enzyme activity. In combination with this vector, in some indications we use a number of proprietary peptide tag technologies to enhance uptake of therapeutic protein in key tissues. We have also developed a manufacturing process that we believe is both reproducible and scalable, and we believe this technology could enable us to deliver our gene therapies to patients, if approved, in quantities sufficient for global commercial supply. In addition, we believe our personalized approach to conditioning using busulfan with a precision dosing program called Target Concentration Intervention could enable us to deliver durable, ‘head-to-toe’ treatment of symptoms and early intervention in the treatment of lysosomal disorders. We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ind w:left="960" w:right="520"/>
        <w:spacing w:after="0" w:line="277" w:lineRule="auto"/>
        <w:rPr>
          <w:sz w:val="20"/>
          <w:szCs w:val="20"/>
          <w:color w:val="auto"/>
        </w:rPr>
      </w:pPr>
      <w:r>
        <w:rPr>
          <w:rFonts w:ascii="Arial" w:cs="Arial" w:eastAsia="Arial" w:hAnsi="Arial"/>
          <w:sz w:val="18"/>
          <w:szCs w:val="18"/>
          <w:color w:val="auto"/>
        </w:rPr>
        <w:t>intend to continue to leverage advancements in stem cell transplantation, including evaluating the potential use of monoclonal antibody conditioning.</w:t>
      </w:r>
    </w:p>
    <w:p>
      <w:pPr>
        <w:spacing w:after="0" w:line="62" w:lineRule="exact"/>
        <w:rPr>
          <w:sz w:val="20"/>
          <w:szCs w:val="20"/>
          <w:color w:val="auto"/>
        </w:rPr>
      </w:pPr>
    </w:p>
    <w:p>
      <w:pPr>
        <w:jc w:val="both"/>
        <w:ind w:left="960" w:right="60" w:hanging="412"/>
        <w:spacing w:after="0" w:line="31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approach beyond our initial indications. </w:t>
      </w:r>
      <w:r>
        <w:rPr>
          <w:rFonts w:ascii="Arial" w:cs="Arial" w:eastAsia="Arial" w:hAnsi="Arial"/>
          <w:sz w:val="16"/>
          <w:szCs w:val="16"/>
          <w:color w:val="auto"/>
        </w:rPr>
        <w:t>We are initially developing gene therapies for the treatment of five different lysosomal</w:t>
      </w:r>
      <w:r>
        <w:rPr>
          <w:rFonts w:ascii="Arial" w:cs="Arial" w:eastAsia="Arial" w:hAnsi="Arial"/>
          <w:sz w:val="16"/>
          <w:szCs w:val="16"/>
          <w:i w:val="1"/>
          <w:iCs w:val="1"/>
          <w:color w:val="auto"/>
        </w:rPr>
        <w:t xml:space="preserve"> </w:t>
      </w:r>
      <w:r>
        <w:rPr>
          <w:rFonts w:ascii="Arial" w:cs="Arial" w:eastAsia="Arial" w:hAnsi="Arial"/>
          <w:sz w:val="16"/>
          <w:szCs w:val="16"/>
          <w:color w:val="auto"/>
        </w:rPr>
        <w:t>disorders and believe that we will gain significant learnings and technical insights from these programs. We intend to leverage our technology and insights to treat a number of rare and non-rare diseases where we believe our lentiviral approach has transformative potential.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right="120" w:firstLine="546"/>
        <w:spacing w:after="0" w:line="272" w:lineRule="auto"/>
        <w:rPr>
          <w:sz w:val="20"/>
          <w:szCs w:val="20"/>
          <w:color w:val="auto"/>
        </w:rPr>
      </w:pPr>
      <w:r>
        <w:rPr>
          <w:rFonts w:ascii="Arial" w:cs="Arial" w:eastAsia="Arial" w:hAnsi="Arial"/>
          <w:sz w:val="17"/>
          <w:szCs w:val="17"/>
          <w:color w:val="auto"/>
        </w:rPr>
        <w:t xml:space="preserve">We develop gene therapies utilizing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approach to transform a patient’s own stem cells into a drug product. Our investigational gene therapies employ lentiviral vectors that are designed to result in stable integration of the desired genes in the chromosomes of stem cells such that they are permanently maintained in the cell and can be reproduced as the cell divides. We focus on delivering our lentiviral-based gene therapies to patient-derived hematopoietic stem cells, which are primitive stem cells that develop into all types of blood cells, including white blood cells, red blood cells and platelets. To accomplish this, we harvest a patient’s hematopoietic stem cells and modify them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to add the equivalent of a functional copy of the gene that is mutated in the target disease. We then infuse the genetically modified cells back into the patient. Our gene therapies are designed to be administered to the patient as a one-time therapy following a conditioning regimen.</w:t>
      </w:r>
    </w:p>
    <w:p>
      <w:pPr>
        <w:spacing w:after="0" w:line="177"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 xml:space="preserve">We are focused on employing our approach to treat and potentially cure lysosomal disorders. These disorders have well-understood biologies, identified patient populations, established standards of care that leave many patients with significant unmet medical needs, and represent large markets with approximately $3.4 billion in worldwide net sales in 2021. We believe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therapy approach can be industrialized into a robust, scalable and, if approved, commercially viable process that will allow us to deliver our potentially curative therapies to patients across the world.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Potential Advantages of Ex-Vivo Lentiviral-Based Gene Therapy Approach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lentiviral-based gene therapy has the potential to provide numerous advantages, including:</w:t>
      </w:r>
    </w:p>
    <w:p>
      <w:pPr>
        <w:spacing w:after="0" w:line="117" w:lineRule="exact"/>
        <w:rPr>
          <w:sz w:val="20"/>
          <w:szCs w:val="20"/>
          <w:color w:val="auto"/>
        </w:rPr>
      </w:pPr>
    </w:p>
    <w:p>
      <w:pPr>
        <w:ind w:left="960" w:right="40" w:hanging="412"/>
        <w:spacing w:after="0" w:line="311"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Durable benefit. </w:t>
      </w:r>
      <w:r>
        <w:rPr>
          <w:rFonts w:ascii="Arial" w:cs="Arial" w:eastAsia="Arial" w:hAnsi="Arial"/>
          <w:sz w:val="16"/>
          <w:szCs w:val="16"/>
          <w:color w:val="auto"/>
        </w:rPr>
        <w:t>We believe lentiviral vectors have the potential to provide life-long benefits with a single dose. Lentiviral vectors can</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 stably into the genome of hematopoietic stem cells and, when these cells replicate, they pass the integrated genes on to their progeny cells. Across the industry, efficacy in patients treated with lentiviral gene therapies has been demonstrated for longer than 13 years.</w:t>
      </w:r>
    </w:p>
    <w:p>
      <w:pPr>
        <w:spacing w:after="0" w:line="40" w:lineRule="exact"/>
        <w:rPr>
          <w:rFonts w:ascii="Arial" w:cs="Arial" w:eastAsia="Arial" w:hAnsi="Arial"/>
          <w:sz w:val="16"/>
          <w:szCs w:val="16"/>
          <w:color w:val="auto"/>
        </w:rPr>
      </w:pPr>
    </w:p>
    <w:p>
      <w:pPr>
        <w:ind w:left="960" w:right="100" w:hanging="412"/>
        <w:spacing w:after="0" w:line="301"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Systemic therapeutic effect. </w:t>
      </w:r>
      <w:r>
        <w:rPr>
          <w:rFonts w:ascii="Arial" w:cs="Arial" w:eastAsia="Arial" w:hAnsi="Arial"/>
          <w:sz w:val="16"/>
          <w:szCs w:val="16"/>
          <w:color w:val="auto"/>
        </w:rPr>
        <w:t>Progeny cells circulate systemically and may migrate into tissues and therefore have the ability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benefit to affected tissues and organs throughout the body. In addition, we believe that our personalized busulfan conditioning regimen has the potential to allow the therapeutic benefits of our gene therapies to cross the blood-brain barrier and treat symptoms arising in the central nervous system. These often severe symptoms are typically unaddressed by the current standards-of-care for lysosomal disorders.</w:t>
      </w:r>
    </w:p>
    <w:p>
      <w:pPr>
        <w:spacing w:after="0" w:line="49" w:lineRule="exact"/>
        <w:rPr>
          <w:rFonts w:ascii="Arial" w:cs="Arial" w:eastAsia="Arial" w:hAnsi="Arial"/>
          <w:sz w:val="16"/>
          <w:szCs w:val="16"/>
          <w:color w:val="auto"/>
        </w:rPr>
      </w:pPr>
    </w:p>
    <w:p>
      <w:pPr>
        <w:ind w:left="960" w:hanging="412"/>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Broad patient applicability. </w:t>
      </w:r>
      <w:r>
        <w:rPr>
          <w:rFonts w:ascii="Arial" w:cs="Arial" w:eastAsia="Arial" w:hAnsi="Arial"/>
          <w:sz w:val="18"/>
          <w:szCs w:val="18"/>
          <w:color w:val="auto"/>
        </w:rPr>
        <w:t>Lentiviral-based gene therapies have been used to deliver treatments to patients of all ages, including children, and</w:t>
      </w:r>
      <w:r>
        <w:rPr>
          <w:rFonts w:ascii="Arial" w:cs="Arial" w:eastAsia="Arial" w:hAnsi="Arial"/>
          <w:sz w:val="18"/>
          <w:szCs w:val="18"/>
          <w:i w:val="1"/>
          <w:iCs w:val="1"/>
          <w:color w:val="auto"/>
        </w:rPr>
        <w:t xml:space="preserve"> </w:t>
      </w:r>
      <w:r>
        <w:rPr>
          <w:rFonts w:ascii="Arial" w:cs="Arial" w:eastAsia="Arial" w:hAnsi="Arial"/>
          <w:sz w:val="18"/>
          <w:szCs w:val="18"/>
          <w:color w:val="auto"/>
        </w:rPr>
        <w:t>to patients who may be ineligible for other types of gene therapy due to the presence of preexisting antibodies that detect viral vectors and trigger the immune system to destroy the vector and cells infected by the vector.</w:t>
      </w:r>
    </w:p>
    <w:p>
      <w:pPr>
        <w:spacing w:after="0" w:line="75" w:lineRule="exact"/>
        <w:rPr>
          <w:rFonts w:ascii="Arial" w:cs="Arial" w:eastAsia="Arial" w:hAnsi="Arial"/>
          <w:sz w:val="18"/>
          <w:szCs w:val="18"/>
          <w:color w:val="auto"/>
        </w:rPr>
      </w:pPr>
    </w:p>
    <w:p>
      <w:pPr>
        <w:ind w:left="960" w:right="100" w:hanging="412"/>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Restoration of protein function. </w:t>
      </w:r>
      <w:r>
        <w:rPr>
          <w:rFonts w:ascii="Arial" w:cs="Arial" w:eastAsia="Arial" w:hAnsi="Arial"/>
          <w:sz w:val="18"/>
          <w:szCs w:val="18"/>
          <w:color w:val="auto"/>
        </w:rPr>
        <w:t>By contrast to the standard-of-care enzyme replacement therapy, which seeks to clear toxic substrate as a key</w:t>
      </w:r>
      <w:r>
        <w:rPr>
          <w:rFonts w:ascii="Arial" w:cs="Arial" w:eastAsia="Arial" w:hAnsi="Arial"/>
          <w:sz w:val="18"/>
          <w:szCs w:val="18"/>
          <w:i w:val="1"/>
          <w:iCs w:val="1"/>
          <w:color w:val="auto"/>
        </w:rPr>
        <w:t xml:space="preserve"> </w:t>
      </w:r>
      <w:r>
        <w:rPr>
          <w:rFonts w:ascii="Arial" w:cs="Arial" w:eastAsia="Arial" w:hAnsi="Arial"/>
          <w:sz w:val="18"/>
          <w:szCs w:val="18"/>
          <w:color w:val="auto"/>
        </w:rPr>
        <w:t>symptom of a non-functioning gene, restoration of gene function may deliver a wide array of additional biochemical benefits throughout the body.</w:t>
      </w:r>
    </w:p>
    <w:p>
      <w:pPr>
        <w:spacing w:after="0" w:line="75" w:lineRule="exact"/>
        <w:rPr>
          <w:rFonts w:ascii="Arial" w:cs="Arial" w:eastAsia="Arial" w:hAnsi="Arial"/>
          <w:sz w:val="18"/>
          <w:szCs w:val="18"/>
          <w:color w:val="auto"/>
        </w:rPr>
      </w:pPr>
    </w:p>
    <w:p>
      <w:pPr>
        <w:ind w:left="960" w:right="80" w:hanging="41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Tolerability in clinical trials. </w:t>
      </w:r>
      <w:r>
        <w:rPr>
          <w:rFonts w:ascii="Arial" w:cs="Arial" w:eastAsia="Arial" w:hAnsi="Arial"/>
          <w:sz w:val="18"/>
          <w:szCs w:val="18"/>
          <w:color w:val="auto"/>
        </w:rPr>
        <w:t>To date, we have not seen any unexpected safety events in 21 patients across four clinical trials, with the longest</w:t>
      </w:r>
      <w:r>
        <w:rPr>
          <w:rFonts w:ascii="Arial" w:cs="Arial" w:eastAsia="Arial" w:hAnsi="Arial"/>
          <w:sz w:val="18"/>
          <w:szCs w:val="18"/>
          <w:i w:val="1"/>
          <w:iCs w:val="1"/>
          <w:color w:val="auto"/>
        </w:rPr>
        <w:t xml:space="preserve"> </w:t>
      </w:r>
      <w:r>
        <w:rPr>
          <w:rFonts w:ascii="Arial" w:cs="Arial" w:eastAsia="Arial" w:hAnsi="Arial"/>
          <w:sz w:val="18"/>
          <w:szCs w:val="18"/>
          <w:color w:val="auto"/>
        </w:rPr>
        <w:t>follow-up more than 4.5 years to date.</w:t>
      </w:r>
    </w:p>
    <w:p>
      <w:pPr>
        <w:spacing w:after="0" w:line="62" w:lineRule="exact"/>
        <w:rPr>
          <w:rFonts w:ascii="Arial" w:cs="Arial" w:eastAsia="Arial" w:hAnsi="Arial"/>
          <w:sz w:val="18"/>
          <w:szCs w:val="18"/>
          <w:color w:val="auto"/>
        </w:rPr>
      </w:pPr>
    </w:p>
    <w:p>
      <w:pPr>
        <w:ind w:left="960" w:right="80" w:hanging="41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Larger and varied payloads. </w:t>
      </w:r>
      <w:r>
        <w:rPr>
          <w:rFonts w:ascii="Arial" w:cs="Arial" w:eastAsia="Arial" w:hAnsi="Arial"/>
          <w:sz w:val="18"/>
          <w:szCs w:val="18"/>
          <w:color w:val="auto"/>
        </w:rPr>
        <w:t>In contrast to other viral vectors, lentiviral vectors have the capacity to carry larger gene sequences, which allow</w:t>
      </w:r>
      <w:r>
        <w:rPr>
          <w:rFonts w:ascii="Arial" w:cs="Arial" w:eastAsia="Arial" w:hAnsi="Arial"/>
          <w:sz w:val="18"/>
          <w:szCs w:val="18"/>
          <w:i w:val="1"/>
          <w:iCs w:val="1"/>
          <w:color w:val="auto"/>
        </w:rPr>
        <w:t xml:space="preserve"> </w:t>
      </w:r>
      <w:r>
        <w:rPr>
          <w:rFonts w:ascii="Arial" w:cs="Arial" w:eastAsia="Arial" w:hAnsi="Arial"/>
          <w:sz w:val="18"/>
          <w:szCs w:val="18"/>
          <w:color w:val="auto"/>
        </w:rPr>
        <w:t>them to potentially address a large variety of indications.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ind w:left="560"/>
        <w:spacing w:after="0"/>
        <w:rPr>
          <w:sz w:val="20"/>
          <w:szCs w:val="20"/>
          <w:color w:val="auto"/>
        </w:rPr>
      </w:pPr>
      <w:r>
        <w:rPr>
          <w:rFonts w:ascii="Arial" w:cs="Arial" w:eastAsia="Arial" w:hAnsi="Arial"/>
          <w:sz w:val="18"/>
          <w:szCs w:val="18"/>
          <w:b w:val="1"/>
          <w:bCs w:val="1"/>
          <w:i w:val="1"/>
          <w:iCs w:val="1"/>
          <w:color w:val="auto"/>
        </w:rPr>
        <w:t>Strategic Selection of Our Initial Indications</w:t>
      </w:r>
    </w:p>
    <w:p>
      <w:pPr>
        <w:spacing w:after="0" w:line="117"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There are approximately 70 identified lysosomal disorders, which are characterized by an abnormal toxic build-up of substrates and their metabolites in the body’s cells. We are currently targeting cystinosis, Gaucher disease type 1, Hunter syndrome, Gaucher disease type 3 and Pompe disease. Each of these disorders affects a meaningful number of patients, has a suboptimal standard of care with unmet medical need and, we believe, is appropriate for lentiviral-based gene therapy. We believe our approach has the potential to address the shortcomings of existing therapies that, despite chronic dosing, cannot halt or reverse disease progression, restore normal lifespan or adequately address symptoms arising in both the peripheral tissues and the central nervous system.</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Expanding the Utility of Lentiviral-Based Gene Therapy with Optimized Conditioning Regimens</w:t>
      </w:r>
    </w:p>
    <w:p>
      <w:pPr>
        <w:spacing w:after="0" w:line="117"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A core part of our approach is to expand the use of lentiviral-based gene therapy to treat numerous lysosomal disorders. We believe conditioning is an essential step to optimize these treatments as it is designed to clear space in the patient’s bone marrow and central nervous system for cells carrying the therapeutic gene. This maximizes the potential for their long-term engraftment which may enhance durability of therapeutic effect. We believe enabling patient and physician choice of conditioning agents has the potential to be a substantial advance in the gene therapy field, and are evaluating the implementation of a tailored conditioning approach for certain disease indications.</w:t>
      </w:r>
    </w:p>
    <w:p>
      <w:pPr>
        <w:spacing w:after="0" w:line="80"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We plan to continue using busulfan conditioning and intend to strive to optimize its tolerability profile. We have pioneered precision dosing of busulfan in gene therapy in a single treatment cycle, with the goal of enhancing the patient experience. A body of research has identified an optimal exposure range for busulfan (Bu-90). Our approach is to personalize conditioning to each patient using TCI, a precision dosing program. TCI is designed to allow for continually controlled exposure by assessing via simple blood draws how rapidly the individual patient metabolizes busulfan, to inform further administration. Use of busulfan in a conditioning regimen causes side effects and can transiently compromise the patient’s immune system, known as neutropenia, and reduce blood clotting, known as thrombocytopenia. The higher the level of conditioning, the greater the potential risk of more serious complications, such as veno-occlusive disease. However, we believe our approach to conditioning has the potential for reduced, predictable and manageable short- and long-term toxicities and maximized long-term engraftment.</w:t>
      </w:r>
    </w:p>
    <w:p>
      <w:pPr>
        <w:spacing w:after="0" w:line="178"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In addition to our utilization of busulfan, we are committed to staying on the forefront of new conditioning approaches. For example, we are exploring the implementation of monoclonal antibody conditioning for certain indications and have entered into collaboration agreements with Magenta Therapeutics and Jasper Therapeutics. We believe our approach to conditioning has the potential to extend the reach of our gene therapies to a broad range of lysosomal disorders as first-line therapies.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plato: Our Commercial-Scale Platform</w:t>
      </w:r>
    </w:p>
    <w:p>
      <w:pPr>
        <w:spacing w:after="0" w:line="117"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 xml:space="preserve">In addition to developing first-line gene therapies, an important key to our strategy is to continuously improve our technology and production processes and to leverage these improvements across our gene therapies, if approved. Plato is designed to provide the foundation for the potential worldwide commercialization of our gene therapies. It is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Plato has been used to dose a total of nine patients in our clinical trials, which includes six patients from our FAB-GT trial for which enrollment has been halted, and we intend to utilize the plato platform for all future patients enrolling in our Company-sponsored clinical trials. We believe our plato platform may lead to better patient outcomes and will represent a significant advance in our industry towards achieving the quality and scale required for global commercialization of gene therapies.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plato platform is designed to feature:</w:t>
      </w:r>
    </w:p>
    <w:p>
      <w:pPr>
        <w:spacing w:after="0" w:line="117" w:lineRule="exact"/>
        <w:rPr>
          <w:sz w:val="20"/>
          <w:szCs w:val="20"/>
          <w:color w:val="auto"/>
        </w:rPr>
      </w:pPr>
    </w:p>
    <w:p>
      <w:pPr>
        <w:ind w:left="960" w:right="20" w:hanging="41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Large scale vector production: </w:t>
      </w:r>
      <w:r>
        <w:rPr>
          <w:rFonts w:ascii="Arial" w:cs="Arial" w:eastAsia="Arial" w:hAnsi="Arial"/>
          <w:sz w:val="18"/>
          <w:szCs w:val="18"/>
          <w:color w:val="auto"/>
        </w:rPr>
        <w:t>We currently have manufacturing capabilities, through contract manufacturing organizations, or CMOs, at 200-liter bioreactor scale, with vector production capable of treating a substantial number of patients per year.</w:t>
      </w:r>
    </w:p>
    <w:p>
      <w:pPr>
        <w:spacing w:after="0" w:line="62" w:lineRule="exact"/>
        <w:rPr>
          <w:rFonts w:ascii="Arial" w:cs="Arial" w:eastAsia="Arial" w:hAnsi="Arial"/>
          <w:sz w:val="18"/>
          <w:szCs w:val="18"/>
          <w:color w:val="auto"/>
        </w:rPr>
      </w:pPr>
    </w:p>
    <w:p>
      <w:pPr>
        <w:ind w:left="960" w:right="20" w:hanging="412"/>
        <w:spacing w:after="0" w:line="25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Global reach</w:t>
      </w:r>
      <w:r>
        <w:rPr>
          <w:rFonts w:ascii="Arial" w:cs="Arial" w:eastAsia="Arial" w:hAnsi="Arial"/>
          <w:sz w:val="18"/>
          <w:szCs w:val="18"/>
          <w:color w:val="auto"/>
        </w:rPr>
        <w:t>: Our automated, closed system for manufacturing is designed to allow for the flexible production of our gene therapies.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closed manufacturing system is portable with proprietary AVROBIO algorithms which allow for efficient establishment of manufacturing capabilities in multiple geographies that can be expanded or adjusted as our global supply requirements evolve. We believe this approach will facilitate global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left="960"/>
        <w:spacing w:after="0"/>
        <w:rPr>
          <w:sz w:val="20"/>
          <w:szCs w:val="20"/>
          <w:color w:val="auto"/>
        </w:rPr>
      </w:pPr>
      <w:r>
        <w:rPr>
          <w:rFonts w:ascii="Arial" w:cs="Arial" w:eastAsia="Arial" w:hAnsi="Arial"/>
          <w:sz w:val="18"/>
          <w:szCs w:val="18"/>
          <w:color w:val="auto"/>
        </w:rPr>
        <w:t>manufacturing and shipping of our gene therapies, and will promote access to our products by patients and caregivers.</w:t>
      </w:r>
    </w:p>
    <w:p>
      <w:pPr>
        <w:spacing w:after="0" w:line="144" w:lineRule="exact"/>
        <w:rPr>
          <w:sz w:val="20"/>
          <w:szCs w:val="20"/>
          <w:color w:val="auto"/>
        </w:rPr>
      </w:pPr>
    </w:p>
    <w:p>
      <w:pPr>
        <w:ind w:left="960" w:right="20" w:hanging="412"/>
        <w:spacing w:after="0" w:line="286"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Quality of manufacturing</w:t>
      </w:r>
      <w:r>
        <w:rPr>
          <w:rFonts w:ascii="Arial" w:cs="Arial" w:eastAsia="Arial" w:hAnsi="Arial"/>
          <w:sz w:val="17"/>
          <w:szCs w:val="17"/>
          <w:color w:val="auto"/>
        </w:rPr>
        <w:t>: Our platform is designed to utilize current good manufacturing practices, or cGMP, and we believe our automated,</w:t>
      </w:r>
      <w:r>
        <w:rPr>
          <w:rFonts w:ascii="Arial" w:cs="Arial" w:eastAsia="Arial" w:hAnsi="Arial"/>
          <w:sz w:val="17"/>
          <w:szCs w:val="17"/>
          <w:i w:val="1"/>
          <w:iCs w:val="1"/>
          <w:color w:val="auto"/>
        </w:rPr>
        <w:t xml:space="preserve"> </w:t>
      </w:r>
      <w:r>
        <w:rPr>
          <w:rFonts w:ascii="Arial" w:cs="Arial" w:eastAsia="Arial" w:hAnsi="Arial"/>
          <w:sz w:val="17"/>
          <w:szCs w:val="17"/>
          <w:color w:val="auto"/>
        </w:rPr>
        <w:t>closed manufacturing system may result in less production variability and reduce the risk of operator error, while enhancing the potency of the drug product. We believe these features will improve the quality of our gene therapies that are produced.</w:t>
      </w:r>
    </w:p>
    <w:p>
      <w:pPr>
        <w:spacing w:after="0" w:line="57" w:lineRule="exact"/>
        <w:rPr>
          <w:rFonts w:ascii="Arial" w:cs="Arial" w:eastAsia="Arial" w:hAnsi="Arial"/>
          <w:sz w:val="17"/>
          <w:szCs w:val="17"/>
          <w:color w:val="auto"/>
        </w:rPr>
      </w:pPr>
    </w:p>
    <w:p>
      <w:pPr>
        <w:ind w:left="960" w:hanging="41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Patient convenience</w:t>
      </w:r>
      <w:r>
        <w:rPr>
          <w:rFonts w:ascii="Arial" w:cs="Arial" w:eastAsia="Arial" w:hAnsi="Arial"/>
          <w:sz w:val="18"/>
          <w:szCs w:val="18"/>
          <w:color w:val="auto"/>
        </w:rPr>
        <w:t>: Our gene therapies are cryopreserved, which is a feature designed to promote a longer shelf-life. We believe that a longer</w:t>
      </w:r>
      <w:r>
        <w:rPr>
          <w:rFonts w:ascii="Arial" w:cs="Arial" w:eastAsia="Arial" w:hAnsi="Arial"/>
          <w:sz w:val="18"/>
          <w:szCs w:val="18"/>
          <w:i w:val="1"/>
          <w:iCs w:val="1"/>
          <w:color w:val="auto"/>
        </w:rPr>
        <w:t xml:space="preserve"> </w:t>
      </w:r>
      <w:r>
        <w:rPr>
          <w:rFonts w:ascii="Arial" w:cs="Arial" w:eastAsia="Arial" w:hAnsi="Arial"/>
          <w:sz w:val="18"/>
          <w:szCs w:val="18"/>
          <w:color w:val="auto"/>
        </w:rPr>
        <w:t>shelf-life will allow patients and clinics to schedule treatment sessions with greater convenience.</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Cost containment</w:t>
      </w:r>
      <w:r>
        <w:rPr>
          <w:rFonts w:ascii="Arial" w:cs="Arial" w:eastAsia="Arial" w:hAnsi="Arial"/>
          <w:sz w:val="17"/>
          <w:szCs w:val="17"/>
          <w:color w:val="auto"/>
        </w:rPr>
        <w:t>: Our platform is designed to control fixed and variable expenses associated with manufacturing our gene therapies.</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believe the plato platform will form the backbone of our future commercialization efforts and our goal to take gene therapy mainstream.</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Next Generation Vector Technology</w:t>
      </w:r>
    </w:p>
    <w:p>
      <w:pPr>
        <w:spacing w:after="0" w:line="117" w:lineRule="exact"/>
        <w:rPr>
          <w:sz w:val="20"/>
          <w:szCs w:val="20"/>
          <w:color w:val="auto"/>
        </w:rPr>
      </w:pPr>
    </w:p>
    <w:p>
      <w:pPr>
        <w:jc w:val="both"/>
        <w:ind w:right="40" w:firstLine="546"/>
        <w:spacing w:after="0" w:line="273" w:lineRule="auto"/>
        <w:rPr>
          <w:sz w:val="20"/>
          <w:szCs w:val="20"/>
          <w:color w:val="auto"/>
        </w:rPr>
      </w:pPr>
      <w:r>
        <w:rPr>
          <w:rFonts w:ascii="Arial" w:cs="Arial" w:eastAsia="Arial" w:hAnsi="Arial"/>
          <w:sz w:val="17"/>
          <w:szCs w:val="17"/>
          <w:color w:val="auto"/>
        </w:rPr>
        <w:t>We have utilized our core expertise in the development and optimization of lentiviral vectors to improve the vectors used in our gene therapies. We have made and expect to continue to make enhancements to our lentiviral vectors to improve safety, efficacy and efficiency. For example, clinical trials of AVR-RD-01 first utilized our original academic three-plasmid-produced lentiviral vector, which we refer to as LV1. However, we dosed six patients in our now halted FAB-GT clinical trial of AVR-RD-01 and the first three patients in our ongoing Guard1 clinical trial of AVR-RD-02 using our proprietary four-plasmid lentiviral vector, which we refer to as LV2, and expect to dose all future patients in our Company-sponsored trials with LV2. Our goal is to employ vectors that are state-of-the-art and that can be produced in a cost-effective and scalable manner.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Automated, Closed Manufacturing System</w:t>
      </w:r>
    </w:p>
    <w:p>
      <w:pPr>
        <w:spacing w:after="0" w:line="117" w:lineRule="exact"/>
        <w:rPr>
          <w:sz w:val="20"/>
          <w:szCs w:val="20"/>
          <w:color w:val="auto"/>
        </w:rPr>
      </w:pPr>
    </w:p>
    <w:p>
      <w:pPr>
        <w:ind w:right="100" w:firstLine="546"/>
        <w:spacing w:after="0" w:line="293" w:lineRule="auto"/>
        <w:rPr>
          <w:sz w:val="20"/>
          <w:szCs w:val="20"/>
          <w:color w:val="auto"/>
        </w:rPr>
      </w:pPr>
      <w:r>
        <w:rPr>
          <w:rFonts w:ascii="Arial" w:cs="Arial" w:eastAsia="Arial" w:hAnsi="Arial"/>
          <w:sz w:val="16"/>
          <w:szCs w:val="16"/>
          <w:color w:val="auto"/>
        </w:rPr>
        <w:t>Our team has significant experience in cell processing and commercial-scale cellular therapy manufacturing. We have developed and are implementing a detailed plan for more cost efficient and scalable manufacturing of our gene therapies. In contrast to a number of other gene therapy companies that have not developed their commercial scale plans from the outset, we have executed on our plans to move to a closed suspension bioreactor system for vector production, as well as a closed, automated system for manufacturing our gene therapy product. Our move to a closed, automated manufacturing system was completed in 2019 as part of implementing upgrades from our plato platform, and six patients in our now halted FAB-GT clinical trial of AVR-RD-01 and the first three patients in our ongoing Guard1 clinical trial of AVR-RD-02 were each dosed using this system.</w:t>
      </w:r>
    </w:p>
    <w:p>
      <w:pPr>
        <w:spacing w:after="0" w:line="164" w:lineRule="exact"/>
        <w:rPr>
          <w:sz w:val="20"/>
          <w:szCs w:val="20"/>
          <w:color w:val="auto"/>
        </w:rPr>
      </w:pPr>
    </w:p>
    <w:p>
      <w:pPr>
        <w:ind w:right="100" w:firstLine="546"/>
        <w:spacing w:after="0" w:line="301" w:lineRule="auto"/>
        <w:rPr>
          <w:sz w:val="20"/>
          <w:szCs w:val="20"/>
          <w:color w:val="auto"/>
        </w:rPr>
      </w:pPr>
      <w:r>
        <w:rPr>
          <w:rFonts w:ascii="Arial" w:cs="Arial" w:eastAsia="Arial" w:hAnsi="Arial"/>
          <w:sz w:val="16"/>
          <w:szCs w:val="16"/>
          <w:color w:val="auto"/>
        </w:rPr>
        <w:t>Our manufacturing approach is intended to allow for the production of drug product using relatively small, self-contained devices, which may reduce our reliance on large traditional clean rooms that are expensive to establish and maintain. We believe our manufacturing approach may result in greater flexibility in the location of manufacture and help to control costs associated with traditional manufacturing. In addition, we believe our automated manufacturing process may reduce operator error and yield greater consistency and less variability in the manufactured drug product.</w:t>
      </w:r>
    </w:p>
    <w:p>
      <w:pPr>
        <w:spacing w:after="0" w:line="157" w:lineRule="exact"/>
        <w:rPr>
          <w:sz w:val="20"/>
          <w:szCs w:val="20"/>
          <w:color w:val="auto"/>
        </w:rPr>
      </w:pPr>
    </w:p>
    <w:p>
      <w:pPr>
        <w:ind w:right="420" w:firstLine="546"/>
        <w:spacing w:after="0" w:line="277" w:lineRule="auto"/>
        <w:rPr>
          <w:sz w:val="20"/>
          <w:szCs w:val="20"/>
          <w:color w:val="auto"/>
        </w:rPr>
      </w:pPr>
      <w:r>
        <w:rPr>
          <w:rFonts w:ascii="Arial" w:cs="Arial" w:eastAsia="Arial" w:hAnsi="Arial"/>
          <w:sz w:val="18"/>
          <w:szCs w:val="18"/>
          <w:color w:val="auto"/>
        </w:rPr>
        <w:t>We currently plan to rely on one CMO site, located in the United States, as a sole source provider of drug product for our Company-sponsored clinical trials worldwide.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ind w:left="560"/>
        <w:spacing w:after="0"/>
        <w:rPr>
          <w:sz w:val="20"/>
          <w:szCs w:val="20"/>
          <w:color w:val="auto"/>
        </w:rPr>
      </w:pPr>
      <w:r>
        <w:rPr>
          <w:rFonts w:ascii="Arial" w:cs="Arial" w:eastAsia="Arial" w:hAnsi="Arial"/>
          <w:sz w:val="18"/>
          <w:szCs w:val="18"/>
          <w:i w:val="1"/>
          <w:iCs w:val="1"/>
          <w:color w:val="auto"/>
        </w:rPr>
        <w:t>Optimization of Conditioning Regimen</w:t>
      </w:r>
    </w:p>
    <w:p>
      <w:pPr>
        <w:spacing w:after="0" w:line="11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 xml:space="preserve">The conditioning regimen that we first employed utilized melphalan, a common chemotherapy drug, to ablate the patient’s bone marrow. As part of the upgrades to our plato platform, we transitioned to utilizing busulfan, another chemotherapy drug, that has been in use since the 1950’s. Busulfan is indicated for use in combination with cyclophosphamide as a conditioning regimen prior to allogeneic stem cell transplantation for chronic myeloid leukemia. Busulfan is routinely used in conditioning regimens before allogeneic stem cell transplantations for both malignant and non-malignant conditions. It has also been used as a single-agent, or in combination with an immunosuppressive agent, such as cyclophosphamide, in conditioning regimens prior to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transplants.</w:t>
      </w:r>
    </w:p>
    <w:p>
      <w:pPr>
        <w:spacing w:after="0" w:line="192" w:lineRule="exact"/>
        <w:rPr>
          <w:sz w:val="20"/>
          <w:szCs w:val="20"/>
          <w:color w:val="auto"/>
        </w:rPr>
      </w:pPr>
    </w:p>
    <w:p>
      <w:pPr>
        <w:ind w:right="120" w:firstLine="546"/>
        <w:spacing w:after="0" w:line="290" w:lineRule="auto"/>
        <w:rPr>
          <w:sz w:val="20"/>
          <w:szCs w:val="20"/>
          <w:color w:val="auto"/>
        </w:rPr>
      </w:pPr>
      <w:r>
        <w:rPr>
          <w:rFonts w:ascii="Arial" w:cs="Arial" w:eastAsia="Arial" w:hAnsi="Arial"/>
          <w:sz w:val="16"/>
          <w:szCs w:val="16"/>
          <w:color w:val="auto"/>
        </w:rPr>
        <w:t>Busulfan permits utilization of TCI in our conditioning regimen, thereby enabling physicians to personalize the dosing to each patient by titrating over four days to potentially enhance patient tolerability to the conditioning procedure and promote cell engraftment. By contrast, melphalan is administered once with no TCI, and may cause concern of conditioning-related toxicity across patients due to individual differences in metabolism of the drug. In addition, we believe that the utilization of busulfan in our conditioning regimen has the potential to allow our gene therapies to cross the blood-brain barrier, a feature which may yield therapeutic benefit in diseases that have a central nervous system component, such as Gaucher disease type 3, Hunter syndrome, Pompe disease and other rare and non-rare diseases. Finally, our busulfan conditioning regimen is designed to create more space in the ablated bone marrow compared to melphalan and may increase the average VCN of the patient bone marrow following treatment with the drug product, which are features that we believe will promote better cell engraftment and durability of the gene therapy.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Advantages of Our Approach over Existing Therapies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our gene therapy solutions offer several potential advantages over existing therapies for lysosomal disorders, including:</w:t>
      </w:r>
    </w:p>
    <w:p>
      <w:pPr>
        <w:spacing w:after="0" w:line="117" w:lineRule="exact"/>
        <w:rPr>
          <w:sz w:val="20"/>
          <w:szCs w:val="20"/>
          <w:color w:val="auto"/>
        </w:rPr>
      </w:pPr>
    </w:p>
    <w:p>
      <w:pPr>
        <w:ind w:left="960" w:right="100" w:hanging="412"/>
        <w:spacing w:after="0" w:line="293"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Curative impact that has the potential to halt or reverse disease progression. </w:t>
      </w:r>
      <w:r>
        <w:rPr>
          <w:rFonts w:ascii="Arial" w:cs="Arial" w:eastAsia="Arial" w:hAnsi="Arial"/>
          <w:sz w:val="16"/>
          <w:szCs w:val="16"/>
          <w:color w:val="auto"/>
        </w:rPr>
        <w:t>Existing ERTs for Gaucher, Hunter and Pompe, and oral</w:t>
      </w:r>
      <w:r>
        <w:rPr>
          <w:rFonts w:ascii="Arial" w:cs="Arial" w:eastAsia="Arial" w:hAnsi="Arial"/>
          <w:sz w:val="16"/>
          <w:szCs w:val="16"/>
          <w:i w:val="1"/>
          <w:iCs w:val="1"/>
          <w:color w:val="auto"/>
        </w:rPr>
        <w:t xml:space="preserve"> </w:t>
      </w:r>
      <w:r>
        <w:rPr>
          <w:rFonts w:ascii="Arial" w:cs="Arial" w:eastAsia="Arial" w:hAnsi="Arial"/>
          <w:sz w:val="16"/>
          <w:szCs w:val="16"/>
          <w:color w:val="auto"/>
        </w:rPr>
        <w:t>therapies for cystinosis, provide some therapeutic benefit to patients. However, because of their suboptimal pharmacokinetics, these ERTs only transiently increase plasma enzyme levels and the therapies for cystinosis require multiple doses throughout the day. In contrast, our lentiviral-based gene therapies are designed to enable the body to constantly produce the functional enzyme or other protein. This can potentially halt pathological damage and, depending on the targeted indication and organ system, may even reverse disease progression. Our lentiviral-based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113665</wp:posOffset>
            </wp:positionV>
            <wp:extent cx="5297805" cy="213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9780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13" w:name="page14"/>
    <w:bookmarkEnd w:id="13"/>
    <w:p>
      <w:pPr>
        <w:ind w:left="960" w:right="40" w:hanging="412"/>
        <w:spacing w:after="0" w:line="259"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Durable, single-dose treatment. </w:t>
      </w:r>
      <w:r>
        <w:rPr>
          <w:rFonts w:ascii="Arial" w:cs="Arial" w:eastAsia="Arial" w:hAnsi="Arial"/>
          <w:sz w:val="18"/>
          <w:szCs w:val="18"/>
          <w:color w:val="auto"/>
        </w:rPr>
        <w:t>Our gene therapies offer the potential for a single dose to replace life-long, bi-weekly infusions or daily oral</w:t>
      </w:r>
      <w:r>
        <w:rPr>
          <w:rFonts w:ascii="Arial" w:cs="Arial" w:eastAsia="Arial" w:hAnsi="Arial"/>
          <w:sz w:val="18"/>
          <w:szCs w:val="18"/>
          <w:i w:val="1"/>
          <w:iCs w:val="1"/>
          <w:color w:val="auto"/>
        </w:rPr>
        <w:t xml:space="preserve"> </w:t>
      </w:r>
      <w:r>
        <w:rPr>
          <w:rFonts w:ascii="Arial" w:cs="Arial" w:eastAsia="Arial" w:hAnsi="Arial"/>
          <w:sz w:val="18"/>
          <w:szCs w:val="18"/>
          <w:color w:val="auto"/>
        </w:rPr>
        <w:t>therapies that are often accompanied by numerous side effects and impact patients’ quality of life. Our gene therapies are designed to transform the patient’s own cells into a drug product that enables the continuous delivery of functional enzyme or other protein throughout the body after a single dose.</w:t>
      </w:r>
    </w:p>
    <w:p>
      <w:pPr>
        <w:spacing w:after="0" w:line="78" w:lineRule="exact"/>
        <w:rPr>
          <w:rFonts w:ascii="Arial" w:cs="Arial" w:eastAsia="Arial" w:hAnsi="Arial"/>
          <w:sz w:val="18"/>
          <w:szCs w:val="18"/>
          <w:color w:val="auto"/>
        </w:rPr>
      </w:pPr>
    </w:p>
    <w:p>
      <w:pPr>
        <w:ind w:left="960" w:right="60" w:hanging="412"/>
        <w:spacing w:after="0" w:line="311"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Reduced treatment cost over a patient’s lifetime. </w:t>
      </w:r>
      <w:r>
        <w:rPr>
          <w:rFonts w:ascii="Arial" w:cs="Arial" w:eastAsia="Arial" w:hAnsi="Arial"/>
          <w:sz w:val="16"/>
          <w:szCs w:val="16"/>
          <w:color w:val="auto"/>
        </w:rPr>
        <w:t>Existing ERTs and oral therapies can cost millions of dollars over a patient’s lifetime because</w:t>
      </w:r>
      <w:r>
        <w:rPr>
          <w:rFonts w:ascii="Arial" w:cs="Arial" w:eastAsia="Arial" w:hAnsi="Arial"/>
          <w:sz w:val="16"/>
          <w:szCs w:val="16"/>
          <w:i w:val="1"/>
          <w:iCs w:val="1"/>
          <w:color w:val="auto"/>
        </w:rPr>
        <w:t xml:space="preserve"> </w:t>
      </w:r>
      <w:r>
        <w:rPr>
          <w:rFonts w:ascii="Arial" w:cs="Arial" w:eastAsia="Arial" w:hAnsi="Arial"/>
          <w:sz w:val="16"/>
          <w:szCs w:val="16"/>
          <w:color w:val="auto"/>
        </w:rPr>
        <w:t>these therapies require frequent doses of expensive treatments to manage symptoms. Our single-dose gene therapies are designed to replace the costly chronic intravenous and oral therapies that are the current standard of care for patients with lysosomal disorders.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AVR-RD-04, Our Gene Therapy for Cystinosis</w:t>
      </w:r>
    </w:p>
    <w:p>
      <w:pPr>
        <w:spacing w:after="0" w:line="121" w:lineRule="exact"/>
        <w:rPr>
          <w:sz w:val="20"/>
          <w:szCs w:val="20"/>
          <w:color w:val="auto"/>
        </w:rPr>
      </w:pPr>
    </w:p>
    <w:p>
      <w:pPr>
        <w:ind w:right="180" w:firstLine="546"/>
        <w:spacing w:after="0" w:line="259" w:lineRule="auto"/>
        <w:rPr>
          <w:sz w:val="20"/>
          <w:szCs w:val="20"/>
          <w:color w:val="auto"/>
        </w:rPr>
      </w:pPr>
      <w:r>
        <w:rPr>
          <w:rFonts w:ascii="Arial" w:cs="Arial" w:eastAsia="Arial" w:hAnsi="Arial"/>
          <w:sz w:val="18"/>
          <w:szCs w:val="18"/>
          <w:color w:val="auto"/>
        </w:rPr>
        <w:t>Together with UCSD, we are developing CTNS-RD-04, which we refer to as AVR-RD-04, for the treatment of patients with cystinosis. AVR-RD-04 is manufactured from hematopoietic stem cells that are first harvested from the patient, modified to add the gene that encodes for cystinosin, and then infused into the patient. AVR-RD-04 is currently being studied by our collaborators at UCSD in a Phase 1/2 collaborator-sponsored clinical trial. As of March 1, 2022 four patients have been dosed with AVR-RD-04.</w:t>
      </w:r>
    </w:p>
    <w:p>
      <w:pPr>
        <w:spacing w:after="0" w:line="79"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In March 2021, we announced that the European Commission granted orphan drug designation for AVR-RD-04. In July 2021, we received clearance from the FDA for an IND application for AVR-RD-04 for the treatment of cystinosis. This IND clearance allows the Company to initiate a Company-sponsored long-term follow-up study for patients enrolled in the Phase 1/2 collaborator-sponsored clinical trial, as well as potentially initiate a new Company-sponsored clinical trial, subject to regulatory clearance. Also in July 2021, the FDA granted Fast Track Designation for AVR-RD-04 for the treatment of cystinosis to improve renal function.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120" w:firstLine="546"/>
        <w:spacing w:after="0" w:line="296" w:lineRule="auto"/>
        <w:rPr>
          <w:sz w:val="20"/>
          <w:szCs w:val="20"/>
          <w:color w:val="auto"/>
        </w:rPr>
      </w:pPr>
      <w:r>
        <w:rPr>
          <w:rFonts w:ascii="Arial" w:cs="Arial" w:eastAsia="Arial" w:hAnsi="Arial"/>
          <w:sz w:val="16"/>
          <w:szCs w:val="16"/>
          <w:color w:val="auto"/>
        </w:rPr>
        <w:t>Cystinosis is a rare, genetic, autosomal recessive, lysosomal disorder caused by the accumulation of cystine, the oxidized dimer of the amino acid cysteine. Cystine is normally transported through the lysosomal membrane to the cytosol where it is reutilized after its transformation to cysteine. In cystinosis, cystine accumulates inside the lysosomes because of a defect in the gene that encodes cystinosin, the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61"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 children with cystinosis may experience complete kidney failure by the age of ten. Other signs and symptoms that may occur in untreated patients, especially after adolescence, include muscle deterioration, blindness, inability to swallow, type 1 diabetes mellitus, hypothyroidism, and central nervous system problems. More than 90% of untreated patients require a kidney transplant before the age of 20. It is estimated that cystinosis disease is diagnosed in approximately one in 170,000 people.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Cystinosis is currently treated with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most commonly prescribed oral therapies for cystinosis are Procysbi (delayed release cysteamine bitartrate), marketed by Horizon Orphan, and Cystagon (cysteamine bitartrate), marketed by Mylan and Recordati S.p.A. In 2021, Procysbi generated worldwide net sales of approximately $190 million. We estimate that the average five-year cost to the healthcare system per cystinosis patient prescribed standard of care treatment in the United States is approximately $4.3 million.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40" w:firstLine="546"/>
        <w:spacing w:after="0" w:line="291" w:lineRule="auto"/>
        <w:rPr>
          <w:sz w:val="20"/>
          <w:szCs w:val="20"/>
          <w:color w:val="auto"/>
        </w:rPr>
      </w:pPr>
      <w:r>
        <w:rPr>
          <w:rFonts w:ascii="Arial" w:cs="Arial" w:eastAsia="Arial" w:hAnsi="Arial"/>
          <w:sz w:val="16"/>
          <w:szCs w:val="16"/>
          <w:color w:val="auto"/>
        </w:rPr>
        <w:t>Procysbi and Cystagon must be taken orally every 12 or six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 xml:space="preserve">We are developing AVR-RD-04 to potentially provide a functional cure to patients with cystinosis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AVR-RD-04 is a lentiviral-based gene therapy containing a human gene for cystinosin designed to maximize the likelihood of sustained cystinosin production in hematopoietic stem cells and their progeny.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Ongoing Phase 1/2 Collaborator-Sponsored Clinical Trial</w:t>
      </w:r>
    </w:p>
    <w:p>
      <w:pPr>
        <w:spacing w:after="0" w:line="117"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In the ongoing collaborator-sponsored Phase 1/2 clinical trial of AVR-RD-04, up to six patients with cystinosis who are currently being treated with cysteamine will be enrolled. This clinical trial is being conducted by UCSD and has been funded in part by grants to UCSD from the California Institute for Regenerative Medicine, Cystinosis Research Foundation and National Institutes of Health. The clinical trial’s primary endpoints are safety and tolerability, assessed for up to two years after treatment. Secondary endpoints to assess preliminary efficacy include change from baseline in cystine levels in rectal mucosa and granulocytes, as well as cystine crystal counts in the cornea and skin. These secondary efficacy endpoints will also be evaluated through clinical tests of kidney function, ophthalmologic measures, muscle strength, pulmonary function and neurological and psychometric function, as well as through patient-reported outcomes and assessments of health-related quality of life. Mixed leukocyte and granulocyte cystine concentration measures have been part of cystinosis standard of care treatment for the past two decades, and changes in the average level of cystine in granulocytes from baseline was originally a primary endpoint of the clinical trial of AVR-RD-04. However, we and our collaborators at UCSD determined that cystine concentration in leukocytes and granulocytes, which is used to monitor small molecule therapies, is not appropriate to represent the mechanism of action of a gene therapy. As a result, the protocol for this clinical trial was amended in 2020 to retain safety and tolerability as the primary endpoint, as is appropriate for this stage of development, and shift measurement of cystine in granulocytes to a secondary endpoint.</w:t>
      </w:r>
    </w:p>
    <w:p>
      <w:pPr>
        <w:spacing w:after="0" w:line="168"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Because this is a collaborator-sponsored clinical, the study drug is not manufactured using our plato platform, and neither the automated, closed manufacturing system nor LV2 is used in connection with this clinical trial.</w:t>
      </w:r>
    </w:p>
    <w:p>
      <w:pPr>
        <w:spacing w:after="0" w:line="170" w:lineRule="exact"/>
        <w:rPr>
          <w:sz w:val="20"/>
          <w:szCs w:val="20"/>
          <w:color w:val="auto"/>
        </w:rPr>
      </w:pPr>
    </w:p>
    <w:p>
      <w:pPr>
        <w:ind w:right="200" w:firstLine="546"/>
        <w:spacing w:after="0" w:line="259" w:lineRule="auto"/>
        <w:rPr>
          <w:sz w:val="20"/>
          <w:szCs w:val="20"/>
          <w:color w:val="auto"/>
        </w:rPr>
      </w:pPr>
      <w:r>
        <w:rPr>
          <w:rFonts w:ascii="Arial" w:cs="Arial" w:eastAsia="Arial" w:hAnsi="Arial"/>
          <w:sz w:val="18"/>
          <w:szCs w:val="18"/>
          <w:color w:val="auto"/>
        </w:rPr>
        <w:t>As of December 1, 2021, the first three patients in the trial had discontinued and remained off oral cysteamine, with the first patient out to 26 months post-treatment. Additionally, the first and third patients had discontinued and remained off cysteamine eye drops as of December 1, 2021. The second patient in the trial, who had stopped cysteamine eye drops one-month post-treatment with AVR-RD-04 per the trial protocol, resumed cysteamine eye drops in July 2021.</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Vector Copy Number</w:t>
      </w:r>
    </w:p>
    <w:p>
      <w:pPr>
        <w:spacing w:after="0" w:line="117" w:lineRule="exact"/>
        <w:rPr>
          <w:sz w:val="20"/>
          <w:szCs w:val="20"/>
          <w:color w:val="auto"/>
        </w:rPr>
      </w:pPr>
    </w:p>
    <w:p>
      <w:pPr>
        <w:jc w:val="both"/>
        <w:ind w:right="140" w:firstLine="546"/>
        <w:spacing w:after="0" w:line="263" w:lineRule="auto"/>
        <w:rPr>
          <w:sz w:val="20"/>
          <w:szCs w:val="20"/>
          <w:color w:val="auto"/>
        </w:rPr>
      </w:pPr>
      <w:r>
        <w:rPr>
          <w:rFonts w:ascii="Arial" w:cs="Arial" w:eastAsia="Arial" w:hAnsi="Arial"/>
          <w:sz w:val="18"/>
          <w:szCs w:val="18"/>
          <w:color w:val="auto"/>
        </w:rPr>
        <w:t>In February 2022 we presented interim VCN data for the first three patients dosed in the Phase 1/2 clinical trial. At 27 months post-treatment with AVR-RD-04, the first patient exhibited VCN level of 1.03, and at 12 months post-treatment the second and third patients exhibited VCN level of 1.52 and 2.59,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ind w:left="560"/>
        <w:spacing w:after="0"/>
        <w:rPr>
          <w:sz w:val="20"/>
          <w:szCs w:val="20"/>
          <w:color w:val="auto"/>
        </w:rPr>
      </w:pPr>
      <w:r>
        <w:rPr>
          <w:rFonts w:ascii="Arial" w:cs="Arial" w:eastAsia="Arial" w:hAnsi="Arial"/>
          <w:sz w:val="18"/>
          <w:szCs w:val="18"/>
          <w:i w:val="1"/>
          <w:iCs w:val="1"/>
          <w:color w:val="auto"/>
        </w:rPr>
        <w:t>Cystine Crystals in Skin and Rectal Biopsy Tissues</w:t>
      </w:r>
    </w:p>
    <w:p>
      <w:pPr>
        <w:spacing w:after="0" w:line="117"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Skin and rectal biopsies were performed on the first three patients at baseline and post-treatment with AVR-RD-04. The data from the biopsies are intended to show the average skin intracytoplasmic crystals per cell, which is a measurement of the number of toxic crystals in each cell. In February 2022, we announced that at 12-months post-treatment the first three patients’ skin biopsies exhibited a 35%, 64% and 81% reduction, respectively, in average intracytoplasmic crystals per cell. At 12- and 18-months post-treatment, the first patient’s rectal biopsies exhibited a 76% and 53% reduction, respectively, in average intracytoplasmic crystals per cell as compared to baseline. The rectal biopsies for the second and third patients at 12-months post-treatment exhibited reductions of 28% and 86%, respectively, in average intracytoplasmic crystals per cell as compared to baseline. Previously, we reported measurements of the occupancy of cytoplasmic volume from skin and rectal biopsies from the first patient, who exhibited reductions of 72% and 87%, respectively, in each case at 12-months post-treatment as compared to the patient’s baseline levels. We believe these data suggest that the first three patients are producing an endogenous supply of functional cystinosin that is reducing the accumulation of toxic cystine crystals.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Levels of Cystine in Cornea</w:t>
      </w:r>
    </w:p>
    <w:p>
      <w:pPr>
        <w:spacing w:after="0" w:line="11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Levels of corneal cystine crystals are being assessed in this clinical trial using IVCM. In February 2022, we presented a set of images of the first patient’s cornea measured at baseline and 18-months post-administration. The baseline IVCM images were taken using a Nidek ConfoScan microscope and the subsequent images were taken using a Heidelberg (HRT3) with Rostock Cornea Module microscope. Each of the post-treatment images showed a noticeable decline in the presence of corneal crystals. The images were preliminarily scored by a physician, on a scale of zero to four, to quantify crystal deposition in each corneal layer of the central cornea. At baseline, the preliminary scoring for the first patient was 4.0 across all three eye layers in both eyes, and at 12-months post-treatment the scores for the anterior stroma, middle stroma and posterior stroma of the right eye were 3.0, 3.0 and 2.13, respectively, and 1.86, 1.71 and 2.0, respectively, for the left eye.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Kidney Function</w:t>
      </w:r>
    </w:p>
    <w:p>
      <w:pPr>
        <w:spacing w:after="0" w:line="117"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Assessment of kidney function includes measurements of serum creatinine, or sCR, and eGFR, which is determined using the CKD-EPI formula. The first patient in the Phase 1/2 clinical trial exhibited an eGFR value of 36.3 mL/min/1.73m</w:t>
      </w:r>
      <w:r>
        <w:rPr>
          <w:rFonts w:ascii="Arial" w:cs="Arial" w:eastAsia="Arial" w:hAnsi="Arial"/>
          <w:sz w:val="15"/>
          <w:szCs w:val="15"/>
          <w:color w:val="auto"/>
        </w:rPr>
        <w:t>2</w:t>
      </w:r>
      <w:r>
        <w:rPr>
          <w:rFonts w:ascii="Arial" w:cs="Arial" w:eastAsia="Arial" w:hAnsi="Arial"/>
          <w:sz w:val="18"/>
          <w:szCs w:val="18"/>
          <w:color w:val="auto"/>
        </w:rPr>
        <w:t xml:space="preserve"> at 19 months post-treatment as compared to a baseline value of 55 mL/min/1.73m</w:t>
      </w:r>
      <w:r>
        <w:rPr>
          <w:rFonts w:ascii="Arial" w:cs="Arial" w:eastAsia="Arial" w:hAnsi="Arial"/>
          <w:sz w:val="15"/>
          <w:szCs w:val="15"/>
          <w:color w:val="auto"/>
        </w:rPr>
        <w:t>2</w:t>
      </w:r>
      <w:r>
        <w:rPr>
          <w:rFonts w:ascii="Arial" w:cs="Arial" w:eastAsia="Arial" w:hAnsi="Arial"/>
          <w:sz w:val="18"/>
          <w:szCs w:val="18"/>
          <w:color w:val="auto"/>
        </w:rPr>
        <w:t>. This patient’s eGFR values had been trending downward in the three years prior to administration of AVR-RD-04. We expect this patient’s eGFR levels to continue declining at a level consistent with the irreversible nature of nephropathic cystinosis. At six months post-treatment the second patient in the clinical trial, who received two kidney transplants prior to treatment in the clinical trial, exhibited an eGFR value of 81 mL/min/1.73m</w:t>
      </w:r>
      <w:r>
        <w:rPr>
          <w:rFonts w:ascii="Arial" w:cs="Arial" w:eastAsia="Arial" w:hAnsi="Arial"/>
          <w:sz w:val="15"/>
          <w:szCs w:val="15"/>
          <w:color w:val="auto"/>
        </w:rPr>
        <w:t>2</w:t>
      </w:r>
      <w:r>
        <w:rPr>
          <w:rFonts w:ascii="Arial" w:cs="Arial" w:eastAsia="Arial" w:hAnsi="Arial"/>
          <w:sz w:val="18"/>
          <w:szCs w:val="18"/>
          <w:color w:val="auto"/>
        </w:rPr>
        <w:t xml:space="preserve"> as compared to a baseline value of 71 mL/min/1.73m</w:t>
      </w:r>
      <w:r>
        <w:rPr>
          <w:rFonts w:ascii="Arial" w:cs="Arial" w:eastAsia="Arial" w:hAnsi="Arial"/>
          <w:sz w:val="15"/>
          <w:szCs w:val="15"/>
          <w:color w:val="auto"/>
        </w:rPr>
        <w:t>2</w:t>
      </w:r>
      <w:r>
        <w:rPr>
          <w:rFonts w:ascii="Arial" w:cs="Arial" w:eastAsia="Arial" w:hAnsi="Arial"/>
          <w:sz w:val="18"/>
          <w:szCs w:val="18"/>
          <w:color w:val="auto"/>
        </w:rPr>
        <w: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 Data</w:t>
      </w:r>
    </w:p>
    <w:p>
      <w:pPr>
        <w:spacing w:after="0" w:line="117" w:lineRule="exact"/>
        <w:rPr>
          <w:sz w:val="20"/>
          <w:szCs w:val="20"/>
          <w:color w:val="auto"/>
        </w:rPr>
      </w:pPr>
    </w:p>
    <w:p>
      <w:pPr>
        <w:ind w:right="100" w:firstLine="546"/>
        <w:spacing w:after="0" w:line="272" w:lineRule="auto"/>
        <w:rPr>
          <w:sz w:val="20"/>
          <w:szCs w:val="20"/>
          <w:color w:val="auto"/>
        </w:rPr>
      </w:pPr>
      <w:r>
        <w:rPr>
          <w:rFonts w:ascii="Arial" w:cs="Arial" w:eastAsia="Arial" w:hAnsi="Arial"/>
          <w:sz w:val="17"/>
          <w:szCs w:val="17"/>
          <w:color w:val="auto"/>
        </w:rPr>
        <w:t>As of the safety cut-off date of December 12, 2021, preliminary interim clinical data for the first four patients dosed in the Phase 1/2 clinical trial appear to indicate that the AVR-RD-04 investigational gene therapy has been generally well tolerated with no unexpected safety events identified. There have been no reports of safety events attributed to the AVR-RD-04 drug product. As of the safety data cut-off date of December 12, 2021, one serious adverse event, or SAE, of appendicitis was reported, which occurred post-treatment and was deemed by the investigator to be unrelated to AVR-RD-04 or the treatment procedures. A total of 84 adverse events, or AEs, were reported as of the safety cut-off date of December 12, 2021, a majority of which were reported by the investigator to be moderate or mild. All reported AEs were consistent with expectations for the underlying disease, stem cell mobilization and conditioning regimen prescribed by the study protocol.</w:t>
      </w:r>
    </w:p>
    <w:p>
      <w:pPr>
        <w:spacing w:after="0" w:line="177" w:lineRule="exact"/>
        <w:rPr>
          <w:sz w:val="20"/>
          <w:szCs w:val="20"/>
          <w:color w:val="auto"/>
        </w:rPr>
      </w:pPr>
    </w:p>
    <w:p>
      <w:pPr>
        <w:ind w:right="200" w:firstLine="546"/>
        <w:spacing w:after="0" w:line="279" w:lineRule="auto"/>
        <w:rPr>
          <w:sz w:val="20"/>
          <w:szCs w:val="20"/>
          <w:color w:val="auto"/>
        </w:rPr>
      </w:pPr>
      <w:r>
        <w:rPr>
          <w:rFonts w:ascii="Arial" w:cs="Arial" w:eastAsia="Arial" w:hAnsi="Arial"/>
          <w:sz w:val="17"/>
          <w:szCs w:val="17"/>
          <w:color w:val="auto"/>
        </w:rPr>
        <w:t>The foregoing data on the Phase 1/2 clinical trial of AVR-RD-04 have been provided by our collaborators at UCSD and are subject to change. Additionally, because this clinical trial is ongoing, safety and efficacy data are preliminary and subject to change. As is typical in open-label studies in which interim reports are provided, the data are regularly reviewed and validated. As a result, certain data may change over time, including reductions or increases in the number of reported safety events, until the database is locked at the end of the study.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AVR-RD-02, Our Gene Therapy for Gaucher Disease Type 1</w:t>
      </w:r>
    </w:p>
    <w:p>
      <w:pPr>
        <w:spacing w:after="0" w:line="121"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We are developing AVR-RD-02 for the treatment of Gaucher disease type 1. We plan to manufacture AVR-RD-02 from hematopoietic stem cells that are first harvested from the patient, modified to add the gene that encodes for glucocerebrosidase, or GCase, and then infused into the patient. Patient enrollment has commenced for the Phase 1/2 Guard1 clinical trial of AVR-RD-02 in patients with Gaucher disease type 1, and as of March 1, 2022 we have dosed three patients. The Guard1 trial is actively recruiting additional potential patients for our currently active sites.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6" w:name="page17"/>
    <w:bookmarkEnd w:id="16"/>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160" w:firstLine="546"/>
        <w:spacing w:after="0" w:line="257" w:lineRule="auto"/>
        <w:rPr>
          <w:sz w:val="20"/>
          <w:szCs w:val="20"/>
          <w:color w:val="auto"/>
        </w:rPr>
      </w:pPr>
      <w:r>
        <w:rPr>
          <w:rFonts w:ascii="Arial" w:cs="Arial" w:eastAsia="Arial" w:hAnsi="Arial"/>
          <w:sz w:val="18"/>
          <w:szCs w:val="18"/>
          <w:color w:val="auto"/>
        </w:rPr>
        <w:t>Gaucher disease type 1 is the non-neuronopathic form of Gaucher disease, a rare, autosomal recessive, lysosomal disorder caused by a hereditary deficiency of functional GCase, an enzyme responsible for degrading glucocerebroside, a cell membrane building block, into glucose and lipids within lysosomes of cells. In patients with Gaucher disease type 1, the recycling of 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88" w:lineRule="exact"/>
        <w:rPr>
          <w:sz w:val="20"/>
          <w:szCs w:val="20"/>
          <w:color w:val="auto"/>
        </w:rPr>
      </w:pPr>
    </w:p>
    <w:p>
      <w:pPr>
        <w:ind w:right="100" w:firstLine="546"/>
        <w:spacing w:after="0" w:line="254" w:lineRule="auto"/>
        <w:rPr>
          <w:sz w:val="20"/>
          <w:szCs w:val="20"/>
          <w:color w:val="auto"/>
        </w:rPr>
      </w:pPr>
      <w:r>
        <w:rPr>
          <w:rFonts w:ascii="Arial" w:cs="Arial" w:eastAsia="Arial" w:hAnsi="Arial"/>
          <w:sz w:val="18"/>
          <w:szCs w:val="18"/>
          <w:color w:val="auto"/>
        </w:rPr>
        <w:t>Gaucher disease type 1 is one of the most common lysosomal disorders. It is diagnosed in approximately one in 44,000 births worldwide and is more prevalent in certain ethnic groups, such as people of Ashkenazi Jewish heritage. Approximately 90% of patients suffering from Gaucher disease in western countries have Gaucher disease type 1,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Compared with the general population, patients with Gaucher disease type 1 have an approximately 20-fold increased risk of developing Parkinson’s disease. Gaucher disease type 1 does not have manifestations of central nervous system symptoms.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right="280" w:firstLine="546"/>
        <w:spacing w:after="0" w:line="308" w:lineRule="auto"/>
        <w:rPr>
          <w:sz w:val="20"/>
          <w:szCs w:val="20"/>
          <w:color w:val="auto"/>
        </w:rPr>
      </w:pPr>
      <w:r>
        <w:rPr>
          <w:rFonts w:ascii="Arial" w:cs="Arial" w:eastAsia="Arial" w:hAnsi="Arial"/>
          <w:sz w:val="17"/>
          <w:szCs w:val="17"/>
          <w:color w:val="auto"/>
        </w:rPr>
        <w:t>Gaucher disease type 1 is currently treated with bi-weekly infusions of ERT consisting of recombinant GCase over a patient’s lifetime. The most commonly prescribed ERTs for Gaucher disease are Cerezyme, marketed by Sanofi Genzyme, and VPRIV, marketed by Shire.</w:t>
      </w:r>
    </w:p>
    <w:p>
      <w:pPr>
        <w:spacing w:after="0" w:line="146"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Although long-term ERT for Gaucher disease type 1 results in some therapeutic benefit, ERTs leave patients with significant unmet needs. Twenty-five percent of patients with Gaucher disease continue to experience physical limitations following two years of ERT, and a clinically significant percentage of patients continue to experience bone pain, thrombocytopenia and enlargement of spleen following ten years of ERT. In a published study of ERT therapy for Gaucher disease type 1, six target goals were evaluated, including parameters for hemoglobin and platelet levels, spleen and liver volumes, and general bone pain and severe disabling bone pain known as bone crisis. Following at least four years of ERT in this study, approximately 60% of patients failed to achieve one or more of these six target goals.</w:t>
      </w:r>
    </w:p>
    <w:p>
      <w:pPr>
        <w:spacing w:after="0" w:line="192" w:lineRule="exact"/>
        <w:rPr>
          <w:sz w:val="20"/>
          <w:szCs w:val="20"/>
          <w:color w:val="auto"/>
        </w:rPr>
      </w:pPr>
    </w:p>
    <w:p>
      <w:pPr>
        <w:ind w:right="20" w:firstLine="546"/>
        <w:spacing w:after="0" w:line="301" w:lineRule="auto"/>
        <w:rPr>
          <w:sz w:val="20"/>
          <w:szCs w:val="20"/>
          <w:color w:val="auto"/>
        </w:rPr>
      </w:pPr>
      <w:r>
        <w:rPr>
          <w:rFonts w:ascii="Arial" w:cs="Arial" w:eastAsia="Arial" w:hAnsi="Arial"/>
          <w:sz w:val="16"/>
          <w:szCs w:val="16"/>
          <w:color w:val="auto"/>
        </w:rPr>
        <w:t>In addition to ERTs, the FDA has approved several oral therapies for the treatment of Gaucher disease, including Zavesca (miglustat) marketed by Actelion and Cerdelga (eliglustat) marketed by Sanofi Genzyme.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57" w:lineRule="exact"/>
        <w:rPr>
          <w:sz w:val="20"/>
          <w:szCs w:val="20"/>
          <w:color w:val="auto"/>
        </w:rPr>
      </w:pPr>
    </w:p>
    <w:p>
      <w:pPr>
        <w:ind w:right="220" w:firstLine="546"/>
        <w:spacing w:after="0" w:line="259" w:lineRule="auto"/>
        <w:rPr>
          <w:sz w:val="20"/>
          <w:szCs w:val="20"/>
          <w:color w:val="auto"/>
        </w:rPr>
      </w:pPr>
      <w:r>
        <w:rPr>
          <w:rFonts w:ascii="Arial" w:cs="Arial" w:eastAsia="Arial" w:hAnsi="Arial"/>
          <w:sz w:val="18"/>
          <w:szCs w:val="18"/>
          <w:color w:val="auto"/>
        </w:rPr>
        <w:t>Both ERTs and oral therapies for Gaucher type 1 impose significant costs on the healthcare system. We estimate that the average five-year cost to the healthcare system per Gaucher patient (all types) prescribed standard of care treatment in the United States is approximately $2.3 million. In 2021, Sanofi Genzyme’s Cerezyme and Cerdelga together generated worldwide net sales of approximately €937 million euros and Takeda’s VPRIV generated worldwide net sales of approximately ¥41.9 billion Japanese yen.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firstLine="546"/>
        <w:spacing w:after="0" w:line="286" w:lineRule="auto"/>
        <w:rPr>
          <w:sz w:val="20"/>
          <w:szCs w:val="20"/>
          <w:color w:val="auto"/>
        </w:rPr>
      </w:pPr>
      <w:r>
        <w:rPr>
          <w:rFonts w:ascii="Arial" w:cs="Arial" w:eastAsia="Arial" w:hAnsi="Arial"/>
          <w:sz w:val="17"/>
          <w:szCs w:val="17"/>
          <w:color w:val="auto"/>
        </w:rPr>
        <w:t xml:space="preserve">We are developing AVR-RD-02 to potentially provide a functional cure to patients with Gaucher disease type 1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AVR-RD-02 is a lentiviral-based gene therapy that contains a codon-optimized human gene and is designed to maximize the likelihood of sustained GCase production in hematopoietic stem cells and their progeny.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Ongoing Phase 1/2 Clinical Trial (Guard1)</w:t>
      </w:r>
    </w:p>
    <w:p>
      <w:pPr>
        <w:spacing w:after="0" w:line="117"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We have initiated our Guard1 Phase 1/2 clinical trial of AVR-RD-02 in patients with Gaucher disease type 1. Patient enrollment has commenced, and as of March 1, 2022, three patients have been dosed. This clinical trial is actively recruiting additional potential patients for our currently active sites. Our initial clinical trial is open to treatment-naïve patients; patients that have been stable on ERT for at least 24 months; and patients who have not received ERT or substrate reduction therapy, or SRT, in the past 12 months. We intend to enroll eight to 16 patients, between the ages of 18 and 50, with Gaucher disease type 1. Patients currently prescribed ERT will cease treatment for the duration of the clinical trial. All enrolled patients will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receive a single treatment with AVR-RD-02 and will be followed for 52 weeks to measure safety and efficacy. We intend to utilize our plato platform for all patients enrolling in our Phase 1/2 clinical trial of AVR-RD-02. Our efficacy endpoints for this clinical trial will include visceral domain and hematologic measures such as liver and spleen volumes, hemoglobin, platelet counts, bone pain and bone density measures, and quality of life measures along with critical biological blood markers used to track the disease progression in Gaucher disease type 1.</w:t>
      </w:r>
    </w:p>
    <w:p>
      <w:pPr>
        <w:spacing w:after="0" w:line="187"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In February 2021 we presented data on the first patient in the Guard1 clinical trial, which are described below. We currently expect to provide an update on interim clinical data in 2022.</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Vector Copy Number</w:t>
      </w:r>
    </w:p>
    <w:p>
      <w:pPr>
        <w:spacing w:after="0" w:line="117" w:lineRule="exact"/>
        <w:rPr>
          <w:sz w:val="20"/>
          <w:szCs w:val="20"/>
          <w:color w:val="auto"/>
        </w:rPr>
      </w:pPr>
    </w:p>
    <w:p>
      <w:pPr>
        <w:jc w:val="both"/>
        <w:ind w:right="160" w:firstLine="546"/>
        <w:spacing w:after="0" w:line="286" w:lineRule="auto"/>
        <w:rPr>
          <w:sz w:val="20"/>
          <w:szCs w:val="20"/>
          <w:color w:val="auto"/>
        </w:rPr>
      </w:pPr>
      <w:r>
        <w:rPr>
          <w:rFonts w:ascii="Arial" w:cs="Arial" w:eastAsia="Arial" w:hAnsi="Arial"/>
          <w:sz w:val="17"/>
          <w:szCs w:val="17"/>
          <w:color w:val="auto"/>
        </w:rPr>
        <w:t>In February 2021 we presented VCN data for the first patient dosed in the Guard1 trial. At six months post-treatment, the patient exhibited a VCN of 0.6. In addition, at three months post-treatment an exploratory assessment of VCN in specific cell populations showed a VCN ≥ 0.7 in the myeloid cell lines, which we believe could be indicative of transgene presence in the macrophages, the essential cell impacted in Gaucher patients.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Plasma Lyso-Gb1 Reductions</w:t>
      </w:r>
    </w:p>
    <w:p>
      <w:pPr>
        <w:spacing w:after="0" w:line="225"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Glucosylsphingosine, or lyso-Gb1, is considered a surrogate marker for disease activity and treatment response for Gaucher disease type 1. In the case of ERT-naïve patients and patients who have discontinued ERT, we believe that reductions in lyso-Gb1 levels following treatment with gene therapy are likely driven by the therapeutic effect of gene therapy. In February 2021, we announced that the first patient in our Guard1 clinical trial exhibited a 44% reduction in plasma lyso-Gb1 levels six months post-administration of AVR-RD-02 as compared to baseline while on ERT. In this study baseline ERT is the measurement of a single plasma lyso-Gb1 value observed prior to initiating mobilization.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Plasma Chitotriosidase Reductions</w:t>
      </w:r>
    </w:p>
    <w:p>
      <w:pPr>
        <w:spacing w:after="0" w:line="131" w:lineRule="exact"/>
        <w:rPr>
          <w:sz w:val="20"/>
          <w:szCs w:val="20"/>
          <w:color w:val="auto"/>
        </w:rPr>
      </w:pPr>
    </w:p>
    <w:p>
      <w:pPr>
        <w:ind w:right="160" w:firstLine="546"/>
        <w:spacing w:after="0" w:line="259" w:lineRule="auto"/>
        <w:rPr>
          <w:sz w:val="20"/>
          <w:szCs w:val="20"/>
          <w:color w:val="auto"/>
        </w:rPr>
      </w:pPr>
      <w:r>
        <w:rPr>
          <w:rFonts w:ascii="Arial" w:cs="Arial" w:eastAsia="Arial" w:hAnsi="Arial"/>
          <w:sz w:val="18"/>
          <w:szCs w:val="18"/>
          <w:color w:val="auto"/>
        </w:rPr>
        <w:t>Chitotriosidase is a biomarker of macrophage activation that is found in high levels in Gaucher patients where the macrophages have accumulated an excess lipid burden. In February 2021, we announced that at six months post-treatment with AVR-RD-02 the first patient in the Guard1 clinical trial exhibited a 49% reduction in chitotriosidase levels as compared to baseline while on ERT. In this study baseline ERT is the measurement of a single chitotriosidase value observed prior to initiating mobilization.</w:t>
      </w:r>
    </w:p>
    <w:p>
      <w:pPr>
        <w:spacing w:after="0" w:line="33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Hemoglobin Concentration and Platelet Counts</w:t>
      </w:r>
    </w:p>
    <w:p>
      <w:pPr>
        <w:spacing w:after="0" w:line="131" w:lineRule="exact"/>
        <w:rPr>
          <w:sz w:val="20"/>
          <w:szCs w:val="20"/>
          <w:color w:val="auto"/>
        </w:rPr>
      </w:pPr>
    </w:p>
    <w:p>
      <w:pPr>
        <w:ind w:right="160" w:firstLine="546"/>
        <w:spacing w:after="0" w:line="291" w:lineRule="auto"/>
        <w:rPr>
          <w:sz w:val="20"/>
          <w:szCs w:val="20"/>
          <w:color w:val="auto"/>
        </w:rPr>
      </w:pPr>
      <w:r>
        <w:rPr>
          <w:rFonts w:ascii="Arial" w:cs="Arial" w:eastAsia="Arial" w:hAnsi="Arial"/>
          <w:sz w:val="16"/>
          <w:szCs w:val="16"/>
          <w:color w:val="auto"/>
        </w:rPr>
        <w:t>Gaucher disease type 1 typically causes patients to have low levels of hemoglobin and platelets. In February 2021, we presented data on the hemoglobin and platelet levels of the first patient dosed in the Guard1 clinical trial at screening, baseline and six months post-administration of AVR-RD-</w:t>
      </w:r>
    </w:p>
    <w:p>
      <w:pPr>
        <w:jc w:val="both"/>
        <w:ind w:right="280" w:firstLine="8"/>
        <w:spacing w:after="0" w:line="277" w:lineRule="auto"/>
        <w:tabs>
          <w:tab w:leader="none" w:pos="2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baseline measurement was taken one month prior to discontinuation of ERT. At screening, baseline and six months post-treatment, the patient’s platelet counts were 455x10</w:t>
      </w:r>
      <w:r>
        <w:rPr>
          <w:rFonts w:ascii="Arial" w:cs="Arial" w:eastAsia="Arial" w:hAnsi="Arial"/>
          <w:sz w:val="14"/>
          <w:szCs w:val="14"/>
          <w:color w:val="auto"/>
        </w:rPr>
        <w:t>9</w:t>
      </w:r>
      <w:r>
        <w:rPr>
          <w:rFonts w:ascii="Arial" w:cs="Arial" w:eastAsia="Arial" w:hAnsi="Arial"/>
          <w:sz w:val="17"/>
          <w:szCs w:val="17"/>
          <w:color w:val="auto"/>
        </w:rPr>
        <w:t>/L, 432x10</w:t>
      </w:r>
      <w:r>
        <w:rPr>
          <w:rFonts w:ascii="Arial" w:cs="Arial" w:eastAsia="Arial" w:hAnsi="Arial"/>
          <w:sz w:val="14"/>
          <w:szCs w:val="14"/>
          <w:color w:val="auto"/>
        </w:rPr>
        <w:t>9</w:t>
      </w:r>
      <w:r>
        <w:rPr>
          <w:rFonts w:ascii="Arial" w:cs="Arial" w:eastAsia="Arial" w:hAnsi="Arial"/>
          <w:sz w:val="17"/>
          <w:szCs w:val="17"/>
          <w:color w:val="auto"/>
        </w:rPr>
        <w:t>/L and 351 x10</w:t>
      </w:r>
      <w:r>
        <w:rPr>
          <w:rFonts w:ascii="Arial" w:cs="Arial" w:eastAsia="Arial" w:hAnsi="Arial"/>
          <w:sz w:val="14"/>
          <w:szCs w:val="14"/>
          <w:color w:val="auto"/>
        </w:rPr>
        <w:t>9</w:t>
      </w:r>
      <w:r>
        <w:rPr>
          <w:rFonts w:ascii="Arial" w:cs="Arial" w:eastAsia="Arial" w:hAnsi="Arial"/>
          <w:sz w:val="17"/>
          <w:szCs w:val="17"/>
          <w:color w:val="auto"/>
        </w:rPr>
        <w:t>/L, respectively, and the patient’s hemoglobin concentration was 12.5 g/dL, 11.2 g/dL and 12.2 g/dL, respectively. Both six-month measurements are within the normal range for a healthy individual.</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As of the most recent safety cut-off date of August 31, 2021, preliminary interim clinical data for the first patient dosed in the Guard1 clinical trial appear to indicate that the AVR-RD-02 investigational gene therapy has been generally well tolerated with no unexpected safety events identified. There have been no reports of safety events attributed to the AVR-RD-02 drug product, and no SAEs were reported as of the safety data cut-off date. A total of 37 AEs were reported as of the safety cut-off date, 11 of which were Grade 3 or 4 and 26 of which were Grade 1 or 2. All reported AEs were consistent with expectations for the underlying disease, conditioning regimen and drugs mandated by the study protocol or procedures. As of the safety cut-off date of August 31, 2021, all AEs had resolved except for one AE of amenorrhea which remained unresolved and ongoing.</w:t>
      </w:r>
    </w:p>
    <w:p>
      <w:pPr>
        <w:spacing w:after="0" w:line="164"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Because this clinical trial is ongoing, safety and efficacy data are preliminary and subject to change. As is typical in open-label studies in which interim reports are provided, the data are regularly reviewed and validated. As a result, certain data may change over time, including reductions or increases in the number of reported safety events, until the database is locked at the end of the study.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AVR-RD-05, Our Gene Therapy for Hunter Syndrome</w:t>
      </w:r>
    </w:p>
    <w:p>
      <w:pPr>
        <w:spacing w:after="0" w:line="121" w:lineRule="exact"/>
        <w:rPr>
          <w:sz w:val="20"/>
          <w:szCs w:val="20"/>
          <w:color w:val="auto"/>
        </w:rPr>
      </w:pPr>
    </w:p>
    <w:p>
      <w:pPr>
        <w:ind w:right="360" w:firstLine="546"/>
        <w:spacing w:after="0" w:line="279" w:lineRule="auto"/>
        <w:rPr>
          <w:sz w:val="20"/>
          <w:szCs w:val="20"/>
          <w:color w:val="auto"/>
        </w:rPr>
      </w:pPr>
      <w:r>
        <w:rPr>
          <w:rFonts w:ascii="Arial" w:cs="Arial" w:eastAsia="Arial" w:hAnsi="Arial"/>
          <w:sz w:val="17"/>
          <w:szCs w:val="17"/>
          <w:color w:val="auto"/>
        </w:rPr>
        <w:t xml:space="preserve">We are developing AVR-RD-05 for the treatment of mucopolysaccharidosis type II (MPSII), or Hunter syndrome. AVR-RD-05 involves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transduction of the patient’s own hematopoietic stem cells with a therapeutic transgene, in-licensed from the University of Manchester, or UoM,</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express functional iduronate 2-sulfatase, or IDS, which is the enzyme the patient needs to maintain cellular health, coupled to a proprietary ApoE2 protein tag that is designed to improve stability of the enzyme in the bloodstream and facilitate uptake by tissues.</w:t>
      </w:r>
    </w:p>
    <w:p>
      <w:pPr>
        <w:spacing w:after="0" w:line="171" w:lineRule="exact"/>
        <w:rPr>
          <w:sz w:val="20"/>
          <w:szCs w:val="20"/>
          <w:color w:val="auto"/>
        </w:rPr>
      </w:pPr>
    </w:p>
    <w:p>
      <w:pPr>
        <w:ind w:right="400" w:firstLine="546"/>
        <w:spacing w:after="0" w:line="277" w:lineRule="auto"/>
        <w:rPr>
          <w:sz w:val="20"/>
          <w:szCs w:val="20"/>
          <w:color w:val="auto"/>
        </w:rPr>
      </w:pPr>
      <w:r>
        <w:rPr>
          <w:rFonts w:ascii="Arial" w:cs="Arial" w:eastAsia="Arial" w:hAnsi="Arial"/>
          <w:sz w:val="18"/>
          <w:szCs w:val="18"/>
          <w:color w:val="auto"/>
        </w:rPr>
        <w:t>AVR-RD-05 will be studied by our collaborators at UoM, and a Phase 1/2 investigator-sponsored clinical trial of AVR-RD-05 is expected to be initiated in 2023.</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140" w:firstLine="546"/>
        <w:spacing w:after="0" w:line="219" w:lineRule="exact"/>
        <w:rPr>
          <w:sz w:val="20"/>
          <w:szCs w:val="20"/>
          <w:color w:val="auto"/>
        </w:rPr>
      </w:pPr>
      <w:r>
        <w:rPr>
          <w:rFonts w:ascii="Arial" w:cs="Arial" w:eastAsia="Arial" w:hAnsi="Arial"/>
          <w:sz w:val="16"/>
          <w:szCs w:val="16"/>
          <w:color w:val="auto"/>
        </w:rPr>
        <w:t>Hunter syndrome disease is a rare, recessive lysosomal disorder caused by a mutation in the gene that encodes for IDS that results in accumulation of the glycosaminoglycans heparan and dermatan sulfate. Hunter syndrome affects a multitude of organs and is a chronic and progressive multi</w:t>
      </w:r>
      <w:r>
        <w:rPr>
          <w:rFonts w:ascii="MS PGothic" w:cs="MS PGothic" w:eastAsia="MS PGothic" w:hAnsi="MS PGothic"/>
          <w:sz w:val="16"/>
          <w:szCs w:val="16"/>
          <w:color w:val="auto"/>
        </w:rPr>
        <w:t>‐</w:t>
      </w:r>
      <w:r>
        <w:rPr>
          <w:rFonts w:ascii="Arial" w:cs="Arial" w:eastAsia="Arial" w:hAnsi="Arial"/>
          <w:sz w:val="16"/>
          <w:szCs w:val="16"/>
          <w:color w:val="auto"/>
        </w:rPr>
        <w:t>system disorder. Clinical manifestations in Hunter syndrome include skeletal abnormalities, known as dysostosis multiplex, short stature, joint stiffness, and hepatosplenomegaly, accompanied by cardiorespiratory symptoms. Severe cases of Hunter syndrome, which are most common, also feature progressive neurodegeneration, typically followed by death in teenage years due to obstructive airway disease and cardiac failure.</w:t>
      </w:r>
    </w:p>
    <w:p>
      <w:pPr>
        <w:spacing w:after="0" w:line="204" w:lineRule="exact"/>
        <w:rPr>
          <w:sz w:val="20"/>
          <w:szCs w:val="20"/>
          <w:color w:val="auto"/>
        </w:rPr>
      </w:pPr>
    </w:p>
    <w:p>
      <w:pPr>
        <w:ind w:right="280" w:firstLine="546"/>
        <w:spacing w:after="0" w:line="263" w:lineRule="auto"/>
        <w:rPr>
          <w:sz w:val="20"/>
          <w:szCs w:val="20"/>
          <w:color w:val="auto"/>
        </w:rPr>
      </w:pPr>
      <w:r>
        <w:rPr>
          <w:rFonts w:ascii="Arial" w:cs="Arial" w:eastAsia="Arial" w:hAnsi="Arial"/>
          <w:sz w:val="18"/>
          <w:szCs w:val="18"/>
          <w:color w:val="auto"/>
        </w:rPr>
        <w:t>Hunter syndrome is an X-linked disorder, meaning the gene that is responsible is located on the X chromosome. Because males have only one X chromosome, an abnormal copy of the gene that causes Hunter syndrome is sufficient to cause the disease. The overall diagnosed incidence of Hunter syndrome is estimated to be approximately one in 100,000 to one in 170,000 males worldwide.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right="220" w:firstLine="546"/>
        <w:spacing w:after="0" w:line="311" w:lineRule="auto"/>
        <w:rPr>
          <w:sz w:val="20"/>
          <w:szCs w:val="20"/>
          <w:color w:val="auto"/>
        </w:rPr>
      </w:pPr>
      <w:r>
        <w:rPr>
          <w:rFonts w:ascii="Arial" w:cs="Arial" w:eastAsia="Arial" w:hAnsi="Arial"/>
          <w:sz w:val="16"/>
          <w:szCs w:val="16"/>
          <w:color w:val="auto"/>
        </w:rPr>
        <w:t>Hunter syndrome is currently treated with ERT delivered by weekly intravenous infusion. The only approved therapy for Hunter syndrome is Elaprase, marketed by Shire, which generated worldwide net sales of approximately ¥75 billion Japanese yen in 2021. We estimate that the average five-year cost to the healthcare system per Hunter patient prescribed standard of care treatment in the United States is approximately $2.4 million.</w:t>
      </w:r>
    </w:p>
    <w:p>
      <w:pPr>
        <w:spacing w:after="0" w:line="149"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Two-thirds of patients experience developmental and neurological decline, which is often noted by approximately age two. Due to lack of newborn screening, diagnosis usually occurs much later in patient’s lives, around five years of age and can be as late as eight years. Although patients typically begin ERT treatment almost immediately after diagnosis, often the disease symptoms are far advanced and ERT is insufficient to halt the disease progression. ERT does not treat the neurological symptoms of the disease, and therefore a significant unmet need remains in a majority of patients with Hunter syndrome. Furthermore, anti-ERT antibodies are a limitation for a significant part of the patient population.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We, together with our collaborators at UoM, are developing AVR-RD-05 to potentially provide a functional cure to patients with Hunter syndrome. AVR-RD-05 is intended to be a gene therapy product containing a codon-optimized human gene for IDS attached to a ApoE2 protein tag designed to increase the cells’ secretion of IDS to potentially restore healthy cellular function, stabilize the secreted IDS so it has a longer half-life, and facilitate uptake of IDS into the brain. In addition, we believe that the utilization of busulfan in our conditioning regimen may have the potential to allow AVR-RD-05 to cross the blood-brain barrier, a feature which may yield therapeutic benefit.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November 2020, we presented previously published preclinical data on AVR-RD-05. The study presented data from normal study mice, mice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affected with the equivalent of Hunter syndrome, mice treated with AVR-RD-05 modified to not incorporate the ApoE2 protein tag, and mice treated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AVR-RD-05 incorporating the proprietary ApoE2 tag. These data demonstrated the effect of AVR-RD-05 on levels and composition of heparan sulfate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brain, neuro-inflammatory pathologies, facial and skeletal abnormalities, as well as cognitive performance and sensorimotor coordination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balance. We believe these data support the potential of AVR-RD-05 to treat this progressive disease, and potentially prevent the onset of severe symptoms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if treated early.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ind w:left="560"/>
        <w:spacing w:after="0"/>
        <w:rPr>
          <w:sz w:val="20"/>
          <w:szCs w:val="20"/>
          <w:color w:val="auto"/>
        </w:rPr>
      </w:pPr>
      <w:r>
        <w:rPr>
          <w:rFonts w:ascii="Arial" w:cs="Arial" w:eastAsia="Arial" w:hAnsi="Arial"/>
          <w:sz w:val="18"/>
          <w:szCs w:val="18"/>
          <w:b w:val="1"/>
          <w:bCs w:val="1"/>
          <w:i w:val="1"/>
          <w:iCs w:val="1"/>
          <w:color w:val="auto"/>
        </w:rPr>
        <w:t>Planned Phase 1/2 Investigator-Sponsored Clinical Trial</w:t>
      </w:r>
    </w:p>
    <w:p>
      <w:pPr>
        <w:spacing w:after="0" w:line="117" w:lineRule="exact"/>
        <w:rPr>
          <w:sz w:val="20"/>
          <w:szCs w:val="20"/>
          <w:color w:val="auto"/>
        </w:rPr>
      </w:pPr>
    </w:p>
    <w:p>
      <w:pPr>
        <w:ind w:right="200" w:firstLine="546"/>
        <w:spacing w:after="0" w:line="273" w:lineRule="auto"/>
        <w:rPr>
          <w:sz w:val="20"/>
          <w:szCs w:val="20"/>
          <w:color w:val="auto"/>
        </w:rPr>
      </w:pPr>
      <w:r>
        <w:rPr>
          <w:rFonts w:ascii="Arial" w:cs="Arial" w:eastAsia="Arial" w:hAnsi="Arial"/>
          <w:sz w:val="17"/>
          <w:szCs w:val="17"/>
          <w:color w:val="auto"/>
        </w:rPr>
        <w:t>Our collaborators at UoM plan to initiate a Phase 1/2 clinical trial in 2023. The Phase 1/2 clinical trial is expected to enroll five male patients, age three months to 12 months, with an early progressive form of the disease. The clinical trial is expected to be open to treatment-naïve patients as well as patients currently on ERT. The clinical trial’s primary endpoints are expected to be safety and tolerability. Secondary endpoints to assess preliminary efficacy are expected to include measurements of peripheral expression of IDS activity in plasma, cerebrospinal fluid, or CSF, and leukocytes; heparin sulfate concentration in CSF, plasma and urine; VCN per diploid genome, proportion of cells containing the inserted gene in total bone marrow colony forming units; cognitive function; and various behavioral and quality of life measurements.</w:t>
      </w:r>
    </w:p>
    <w:p>
      <w:pPr>
        <w:spacing w:after="0" w:line="178" w:lineRule="exact"/>
        <w:rPr>
          <w:sz w:val="20"/>
          <w:szCs w:val="20"/>
          <w:color w:val="auto"/>
        </w:rPr>
      </w:pPr>
    </w:p>
    <w:p>
      <w:pPr>
        <w:ind w:right="400" w:firstLine="546"/>
        <w:spacing w:after="0" w:line="277" w:lineRule="auto"/>
        <w:rPr>
          <w:sz w:val="20"/>
          <w:szCs w:val="20"/>
          <w:color w:val="auto"/>
        </w:rPr>
      </w:pPr>
      <w:r>
        <w:rPr>
          <w:rFonts w:ascii="Arial" w:cs="Arial" w:eastAsia="Arial" w:hAnsi="Arial"/>
          <w:sz w:val="18"/>
          <w:szCs w:val="18"/>
          <w:color w:val="auto"/>
        </w:rPr>
        <w:t>Because this is an investigator-sponsored clinical, the study drug will not be manufactured using our plato platform, and neither the automated, closed manufacturing system nor LV2 will be used in connection with this clinical trial.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AVR-RD-06, Our Gene Therapy for Gaucher disease type 3</w:t>
      </w:r>
    </w:p>
    <w:p>
      <w:pPr>
        <w:spacing w:after="0" w:line="121" w:lineRule="exact"/>
        <w:rPr>
          <w:sz w:val="20"/>
          <w:szCs w:val="20"/>
          <w:color w:val="auto"/>
        </w:rPr>
      </w:pPr>
    </w:p>
    <w:p>
      <w:pPr>
        <w:ind w:right="140" w:firstLine="546"/>
        <w:spacing w:after="0" w:line="255" w:lineRule="auto"/>
        <w:rPr>
          <w:sz w:val="20"/>
          <w:szCs w:val="20"/>
          <w:color w:val="auto"/>
        </w:rPr>
      </w:pPr>
      <w:r>
        <w:rPr>
          <w:rFonts w:ascii="Arial" w:cs="Arial" w:eastAsia="Arial" w:hAnsi="Arial"/>
          <w:sz w:val="18"/>
          <w:szCs w:val="18"/>
          <w:color w:val="auto"/>
        </w:rPr>
        <w:t>AVR-RD-06 is our gene therapy program for Gaucher disease type 3. Gaucher disease type 3 is the subacute neurological form of Gaucher disease characterized by progressive encephalopathy and associated with the systemic manifestations of Gaucher type 1. As with Gaucher type 1, Gaucher type 3 disease is caused by a gene that codes for the enzyme glucocerebrosidase. The deficiency in glucocerebrosidase leads to the accumulation of Gb1 and its toxic metabolite, lyso-Gb1. AVR-RD-06 is expected to use the same vector and drug product that we use in AVR-RD-02, our investigational gene therapy for Gaucher disease type 1. We currently expect to engage with regulators in 2022 to discuss a path to the clinic, including a potential Phase 2/3 clinical trial.</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Gaucher disease type 3 is the subacute, chronic neurological form of Gaucher disease, a rare, autosomal recessive, lysosomal disorder caused by a hereditary deficiency of functional GCase, an enzyme responsible for degrading glucocerebroside, a cell membrane building block, into glucose and lipids within lysosomes of cells. In patients with Gaucher type 3 disease, the recycling of glucocerebroside from the breakdown of old red and white blood cells is inhibited, leading to its accumulation in macrophages. These abnormal macrophages, known as Gaucher cells, accumulate in multiple organs, particularly the liver, spleen and bone marrow. In addition, glucosylceramide accumulates in perivascular macrophages and brain glial cells and neurons leading to neuronal death. Clinically, central nervous system manifestations of Gaucher disease type 3 appear in childhood or adolescence, typically within the latter part of the first decade for the majority of patients, although the course of disease is markedly heterogenous.</w:t>
      </w:r>
    </w:p>
    <w:p>
      <w:pPr>
        <w:spacing w:after="0" w:line="177"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Gaucher disease type 3 is estimated to occur in one in 100,000-300,00 births and is more prevalent in certain ethnic groups, such as people of Swedish Norrbottnian descent. Systemic manifestations of Gaucher disease type 3 may include enlargement of the spleen and liver, low red blood cells, or anemia, low platelet count, or thrombocytopenia, and bone abnormalities including bone pain, fractures and arthritis. Bruising, risk of bleeding and fatigue are common due to the thrombocytopenia and anemia. Variable other features of Gaucher disease type 3 include pulmonary infiltrates and esophageal varices associated with liver cirrhosis. Presentation of diverse neurologic features may begin at any time during infancy and early childhood with the most prevalent finding of horizontal supranuclear gaze palsy. Other manifestations of neurological disease include generalized seizures, myoclonus, ataxia, and/or dementia.</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Current therapies used to treat Gaucher disease type 1, namely, ERT and SRT, do not penetrate the brain and therefore have no effect on the neurological aspects of Gaucher disease type 3. The most commonly prescribed ERTs for Gaucher disease are Cerezyme, marketed by Sanofi Genzyme, and VPRIV, marketed by Shire.</w:t>
      </w:r>
    </w:p>
    <w:p>
      <w:pPr>
        <w:spacing w:after="0" w:line="184"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Patients with Gaucher disease type 3 may exhibit wide variation of disease progression with the severity of systemic disease and neurological deficits differing considerably between patients. In a published study of SRT therapy for Gaucher disease type 3, no significant benefits were demonstrated on the neurological manifestations of Gaucher disease type 3. Although long-term ERT for Gaucher disease type 3 results in some therapeutic benefit on visceral, hematological and bone manifestations, ERTs leave patients with significant unmet needs owing to persisting accumulation of substrate within the central nervous system. Following 10 years of ERT, two patients’ epilepsy had worsened while a third patient developed epilepsy around eight years after treatment initiation. Another published study on ERT showed that enzyme infusions had no effect on patients with myoclonus and approximately 40% of patients deteriorated neurologically during a median 3.5 year follow-up period.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firstLine="546"/>
        <w:spacing w:after="0" w:line="286" w:lineRule="auto"/>
        <w:rPr>
          <w:sz w:val="20"/>
          <w:szCs w:val="20"/>
          <w:color w:val="auto"/>
        </w:rPr>
      </w:pPr>
      <w:r>
        <w:rPr>
          <w:rFonts w:ascii="Arial" w:cs="Arial" w:eastAsia="Arial" w:hAnsi="Arial"/>
          <w:sz w:val="17"/>
          <w:szCs w:val="17"/>
          <w:color w:val="auto"/>
        </w:rPr>
        <w:t xml:space="preserve">We are developing AVR-RD-06 to potentially provide a functional cure to patients with Gaucher disease type 3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AVR-RD-06 is a lentiviral-based gene therapy that contains a codon-optimized human gene and is designed to maximize the likelihood of sustained GCase production in hematopoietic stem cells and their progeny.</w:t>
      </w:r>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right="140" w:firstLine="546"/>
        <w:spacing w:after="0" w:line="296" w:lineRule="auto"/>
        <w:rPr>
          <w:sz w:val="20"/>
          <w:szCs w:val="20"/>
          <w:color w:val="auto"/>
        </w:rPr>
      </w:pPr>
      <w:r>
        <w:rPr>
          <w:rFonts w:ascii="Arial" w:cs="Arial" w:eastAsia="Arial" w:hAnsi="Arial"/>
          <w:sz w:val="16"/>
          <w:szCs w:val="16"/>
          <w:color w:val="auto"/>
        </w:rPr>
        <w:t>In November 2020, we presented preclinical data from a mouse study which we believe demonstrate the potential of lentiviral gene therapy to repopulate the microglia compartment of the brain with microglia cells carrying the therapeutic gene. We also presented preclinical data demonstrating a technique that potentially allows us to examine individual cells in the brain to determine which cell types contain the therapeutic gene. Finally, we presented data comparing the genetically modified microglia and endogenous microglia, which we believe suggest that even though the modified cells are not native to the brain, they do not act as “invaders” and thus could be expected to carry out normal physiological functions.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AVR-RD-03, Our Gene Therapy for Pompe Disease</w:t>
      </w:r>
    </w:p>
    <w:p>
      <w:pPr>
        <w:spacing w:after="0" w:line="121"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We are developing AVR-RD-03 for the treatment of Pompe disease. We will manufacture AVR-RD-03 from hematopoietic stem cells that are first harvested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 and a target tissue that is considered difficult to access for ERT. AVR-RD-03 is designed to incorporate a potent promoter to increase volume of system enzyme in circulation.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Pompe disease is a rare, autosomal recessive lysosomal disorder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57" w:lineRule="exact"/>
        <w:rPr>
          <w:sz w:val="20"/>
          <w:szCs w:val="20"/>
          <w:color w:val="auto"/>
        </w:rPr>
      </w:pPr>
    </w:p>
    <w:p>
      <w:pPr>
        <w:ind w:right="460" w:firstLine="546"/>
        <w:spacing w:after="0" w:line="263" w:lineRule="auto"/>
        <w:rPr>
          <w:sz w:val="20"/>
          <w:szCs w:val="20"/>
          <w:color w:val="auto"/>
        </w:rPr>
      </w:pPr>
      <w:r>
        <w:rPr>
          <w:rFonts w:ascii="Arial" w:cs="Arial" w:eastAsia="Arial" w:hAnsi="Arial"/>
          <w:sz w:val="18"/>
          <w:szCs w:val="18"/>
          <w:color w:val="auto"/>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4" w:lineRule="exact"/>
        <w:rPr>
          <w:sz w:val="20"/>
          <w:szCs w:val="20"/>
          <w:color w:val="auto"/>
        </w:rPr>
      </w:pPr>
    </w:p>
    <w:p>
      <w:pPr>
        <w:ind w:right="80" w:firstLine="546"/>
        <w:spacing w:after="0" w:line="272" w:lineRule="auto"/>
        <w:rPr>
          <w:sz w:val="20"/>
          <w:szCs w:val="20"/>
          <w:color w:val="auto"/>
        </w:rPr>
      </w:pPr>
      <w:r>
        <w:rPr>
          <w:rFonts w:ascii="Arial" w:cs="Arial" w:eastAsia="Arial" w:hAnsi="Arial"/>
          <w:sz w:val="17"/>
          <w:szCs w:val="17"/>
          <w:color w:val="auto"/>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and is associated with cardiomyopathy.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but are not at increased risk of developing cardiomyopathy. Late-onset patients experience progressive difficulty walking and respiratory decline. While life expectancy can vary, Pompe disease is a life-limiting disease that can result in death due to complications from respiratory failure.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Pompe disease is currently treated with ERT delivered by bi-weekly intravenous infusion. The only approved therapy for Pompe disease 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Lumizyme (known as Myozyme outside of the United States), marketed by Sanofi Genzyme, which generated worldwide net sales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billion euros in 2021. We estimate that the average five-year cost to the healthcare system per Pompe patient prescribed standard of care treatment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United States is approximately $3.2 million.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firstLine="546"/>
        <w:spacing w:after="0" w:line="272" w:lineRule="auto"/>
        <w:rPr>
          <w:sz w:val="20"/>
          <w:szCs w:val="20"/>
          <w:color w:val="auto"/>
        </w:rPr>
      </w:pPr>
      <w:r>
        <w:rPr>
          <w:rFonts w:ascii="Arial" w:cs="Arial" w:eastAsia="Arial" w:hAnsi="Arial"/>
          <w:sz w:val="17"/>
          <w:szCs w:val="17"/>
          <w:color w:val="auto"/>
        </w:rPr>
        <w:t>Though patients treated with ERT for Pompe disease have improved survival and respiratory function, ERT is not curative, and patients in long-term observational studies continue to have increased risk of heart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carries a black box warning related to the risk of severe allergic and immune mediated reactions, including life-threatening anaphylaxis.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Our AVR-RD-03 program for Pompe disease has completed planned preclinical development, and we are planning to engage with regulatory authorities this year to discuss a potential path to the clinic with the goal of initiating a clinical trial in 2023. We are developing AVR-RD-03 to be a gene therapy product containing a codon-optimized human gene for GAA attached to a GILT tag designed to increase uptake of GAA in muscle cells. AVR-RD-03 will target patients with late onset Pompe disease, which represent the majority of patients with this disease. In addition, we believe that the utilization of busulfan in our conditioning regimen may have the potential to allow AVR-RD-03 to cross the blood-brain barrier, a feature which may yield therapeutic benefit.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right="180" w:firstLine="546"/>
        <w:spacing w:after="0" w:line="279" w:lineRule="auto"/>
        <w:rPr>
          <w:sz w:val="20"/>
          <w:szCs w:val="20"/>
          <w:color w:val="auto"/>
        </w:rPr>
      </w:pPr>
      <w:r>
        <w:rPr>
          <w:rFonts w:ascii="Arial" w:cs="Arial" w:eastAsia="Arial" w:hAnsi="Arial"/>
          <w:sz w:val="17"/>
          <w:szCs w:val="17"/>
          <w:color w:val="auto"/>
        </w:rPr>
        <w:t>In November 2020 we presented data from a study in which mice with the equivalent of classic infantile-onset Pompe disease were treated with AVR-RD-03. We these data believe support the potential of lentiviral-based gene expression of 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171" w:lineRule="exact"/>
        <w:rPr>
          <w:sz w:val="20"/>
          <w:szCs w:val="20"/>
          <w:color w:val="auto"/>
        </w:rPr>
      </w:pPr>
    </w:p>
    <w:p>
      <w:pPr>
        <w:ind w:right="20" w:firstLine="546"/>
        <w:spacing w:after="0" w:line="311" w:lineRule="auto"/>
        <w:rPr>
          <w:sz w:val="20"/>
          <w:szCs w:val="20"/>
          <w:color w:val="auto"/>
        </w:rPr>
      </w:pPr>
      <w:r>
        <w:rPr>
          <w:rFonts w:ascii="Arial" w:cs="Arial" w:eastAsia="Arial" w:hAnsi="Arial"/>
          <w:sz w:val="16"/>
          <w:szCs w:val="16"/>
          <w:color w:val="auto"/>
        </w:rPr>
        <w:t>We believe we can use a GILT tag to address the known challenges of skeletal muscle uptake in patients with Pompe disease. Attachment of a GILT tag to a particular protein can increase the effective uptake of that protein into target tissues. We are designing AVR-RD-03 to use a GILT tag to facilitate GAA uptake into cells and thereby reduce the therapeutically required amount of GAA produced by a patient’s cells following gene therapy treatment.</w:t>
      </w:r>
    </w:p>
    <w:p>
      <w:pPr>
        <w:spacing w:after="0" w:line="149" w:lineRule="exact"/>
        <w:rPr>
          <w:sz w:val="20"/>
          <w:szCs w:val="20"/>
          <w:color w:val="auto"/>
        </w:rPr>
      </w:pPr>
    </w:p>
    <w:p>
      <w:pPr>
        <w:jc w:val="both"/>
        <w:ind w:right="180" w:firstLine="546"/>
        <w:spacing w:after="0" w:line="286" w:lineRule="auto"/>
        <w:rPr>
          <w:sz w:val="20"/>
          <w:szCs w:val="20"/>
          <w:color w:val="auto"/>
        </w:rPr>
      </w:pPr>
      <w:r>
        <w:rPr>
          <w:rFonts w:ascii="Arial" w:cs="Arial" w:eastAsia="Arial" w:hAnsi="Arial"/>
          <w:sz w:val="17"/>
          <w:szCs w:val="17"/>
          <w:color w:val="auto"/>
        </w:rPr>
        <w:t>In mouse models of Pompe, administration of recombinant GAA with the GILT tag demonstrated significant reduction in glycogen in cardiac and skeletal muscles as compared to the administration of recombinant GAA alone. We licensed GILT tag technology from BioMarin and are incorporating a GILT tag into our lentiviral vector with the goal of the patient producing GILT-tagged GAA following treatment with AVR-RD-03.</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GAA Enzyme Production</w:t>
      </w:r>
    </w:p>
    <w:p>
      <w:pPr>
        <w:spacing w:after="0" w:line="225"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Our preclinical study measured the levels of GAA observed in normal mice, mice with the equivalent of infantile-onset Pompe disease, mice treated with AVR-RD-03 modified to not incorporate our proprietary GILT tag, and mice treated with AVR-RD-03 including our GILT tag, in each case measured 16 weeks post-treatment. These data showed significant overexpression of GAA in bone marrow, white blood cells and plasma in mice treated with AVR-RD-03 without our GILT tag as well as AVR-RD-03 incorporating our GILT tag.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ind w:left="560"/>
        <w:spacing w:after="0"/>
        <w:rPr>
          <w:sz w:val="20"/>
          <w:szCs w:val="20"/>
          <w:color w:val="auto"/>
        </w:rPr>
      </w:pPr>
      <w:r>
        <w:rPr>
          <w:rFonts w:ascii="Arial" w:cs="Arial" w:eastAsia="Arial" w:hAnsi="Arial"/>
          <w:sz w:val="18"/>
          <w:szCs w:val="18"/>
          <w:i w:val="1"/>
          <w:iCs w:val="1"/>
          <w:color w:val="auto"/>
        </w:rPr>
        <w:t>Glycogen Reduction</w:t>
      </w:r>
    </w:p>
    <w:p>
      <w:pPr>
        <w:spacing w:after="0" w:line="11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Our preclinical study also measured glycogen levels in the heart and brain at four months post-treatment with our GILT-tagged version of AVR-RD-03, which showed a 99% and 100% reduction, respectively, in glycogen levels. In addition, our study measured glycogen levels in various organs of the study mice at eight months post-treatment. The data showed an average of greater than 99% reduction in glycogen levels in the heart, greater than 97% reduction in the diaphragm, greater than 85% reduction in skeletal muscle, greater than 95% reduction in the brain, and greater than 99% reduction in the spinal cord.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Industrializing Our Gene Therapies Through Our Outsourced Manufacture and Supply Network</w:t>
      </w:r>
    </w:p>
    <w:p>
      <w:pPr>
        <w:spacing w:after="0" w:line="11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We have established manufacturing relationships that we believe will provide us with drug product manufacturing capabilities to support all aspects of the development and eventual commercialization of our gene therapies. Our team has leveraged their broad expertise in the manufacturing of gene and cellular therapies to build a network of CMO partners for the development and manufacture of drug products and outsourced suppliers for the supply of vectors and plasmids. We currently rely, and expect to continue to rely, on sole source suppliers for vector supply, plasmid supply and cell culture media. In addition, although we have historically relied on multiple CMO partners for drug product manufacturing, we currently plan to use a sole source CMO as the provider of drug product for our ongoing and future Company-sponsored clinical trials. However, we believe that our third-party CMO partner and suppliers have capacity to accommodate current and future clinical trials and we are continuing to build a network that we expect will have capacity to generate sufficient quantities to meet our expected commercial needs.</w:t>
      </w:r>
    </w:p>
    <w:p>
      <w:pPr>
        <w:spacing w:after="0" w:line="178"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 xml:space="preserve">To optimize production of our gene therapies, we have moved our cell processing to an automated, closed system using disposable supplies. We believe this industrialized manufacturing process will enable a repeatable approach through which we can design and manufacture commercially viable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lentiviral gene therapies to potentially treat a large variety of genetic disorders. We expect that our automation of the manufacturing processes will</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increase our CMO partners’ manufacturing capacity.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Producing a Patient’s Gene Therapy</w:t>
      </w:r>
    </w:p>
    <w:p>
      <w:pPr>
        <w:spacing w:after="0" w:line="117" w:lineRule="exact"/>
        <w:rPr>
          <w:sz w:val="20"/>
          <w:szCs w:val="20"/>
          <w:color w:val="auto"/>
        </w:rPr>
      </w:pPr>
    </w:p>
    <w:p>
      <w:pPr>
        <w:ind w:right="20" w:firstLine="546"/>
        <w:spacing w:after="0" w:line="290" w:lineRule="auto"/>
        <w:rPr>
          <w:sz w:val="20"/>
          <w:szCs w:val="20"/>
          <w:color w:val="auto"/>
        </w:rPr>
      </w:pPr>
      <w:r>
        <w:rPr>
          <w:rFonts w:ascii="Arial" w:cs="Arial" w:eastAsia="Arial" w:hAnsi="Arial"/>
          <w:sz w:val="16"/>
          <w:szCs w:val="16"/>
          <w:color w:val="auto"/>
        </w:rPr>
        <w:t xml:space="preserve">We start the process to produce a patient’s gene therapy with the mobilization of a patient’s stem cells from the bone marrow to the blood stream and collect them via apheresis, a standard procedure used in stem cell transplants. The apheresis material is then transported to the manufacturing facility where we isolate the stem cells and treat these cells with a lentiviral vector to insert the equivalent of a functional copy of the gene that is mutated in the target disease. The manufacturing process typically takes approximately three days to complete. We preserve patients’ modified cells at a very low temperature, using cryopreservation to maintain the cellular material in optimal condition until it is thawed prior to being infused into the patient. Cryopreservation of the product allows for long-term storage and the ability to conduct a number of quality control tests to validate the modified cells prior to introducing them into the patient. We believe cryopreservation will also enable us to supply our products globally, as well as significantly increase the convenience of infusion scheduling for clinicians and patients, compared to fresh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products that may have shelf-lives of only 24 hours.</w:t>
      </w:r>
    </w:p>
    <w:p>
      <w:pPr>
        <w:spacing w:after="0" w:line="165" w:lineRule="exact"/>
        <w:rPr>
          <w:sz w:val="20"/>
          <w:szCs w:val="20"/>
          <w:color w:val="auto"/>
        </w:rPr>
      </w:pPr>
    </w:p>
    <w:p>
      <w:pPr>
        <w:ind w:right="260" w:firstLine="546"/>
        <w:spacing w:after="0" w:line="342" w:lineRule="auto"/>
        <w:rPr>
          <w:sz w:val="20"/>
          <w:szCs w:val="20"/>
          <w:color w:val="auto"/>
        </w:rPr>
      </w:pPr>
      <w:r>
        <w:rPr>
          <w:rFonts w:ascii="Arial" w:cs="Arial" w:eastAsia="Arial" w:hAnsi="Arial"/>
          <w:sz w:val="16"/>
          <w:szCs w:val="16"/>
          <w:color w:val="auto"/>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w:t>
      </w:r>
    </w:p>
    <w:p>
      <w:pPr>
        <w:spacing w:after="0" w:line="124"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 xml:space="preserve">After the conditioning regimen is complete,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lentiviral-modified stem cells are infused into the patient by intravenous administration. After infusion, these cells are expected to engraft into the bone marrow, replicate and differentiate into all the various types of blood cells that will distribute throughout the body. These widely distributed cells potentially lead to sustained expression of the desired therapeutic enzyme or protein. The sustained expression of the functional enzyme or protein is a direct substitute for the protein currently delivered by ERTs, which require periodic infusions.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Barriers to Entry</w:t>
      </w:r>
    </w:p>
    <w:p>
      <w:pPr>
        <w:spacing w:after="0" w:line="121"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The proprietary nature of, or protection for, our gene therapy technology, our product candidates, our production methods and supply chain are an important part of our strategy to develop and commercialize novel therapies. To maximize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3" w:name="page24"/>
    <w:bookmarkEnd w:id="23"/>
    <w:p>
      <w:pPr>
        <w:ind w:right="440"/>
        <w:spacing w:after="0" w:line="277" w:lineRule="auto"/>
        <w:rPr>
          <w:sz w:val="20"/>
          <w:szCs w:val="20"/>
          <w:color w:val="auto"/>
        </w:rPr>
      </w:pPr>
      <w:r>
        <w:rPr>
          <w:rFonts w:ascii="Arial" w:cs="Arial" w:eastAsia="Arial" w:hAnsi="Arial"/>
          <w:sz w:val="18"/>
          <w:szCs w:val="18"/>
          <w:color w:val="auto"/>
        </w:rPr>
        <w:t>the commercial opportunity for our gene therapies, if approved, we and our partners have been building and continue to build barriers to entry by our competitors, including:</w:t>
      </w:r>
    </w:p>
    <w:p>
      <w:pPr>
        <w:spacing w:after="0" w:line="62" w:lineRule="exact"/>
        <w:rPr>
          <w:sz w:val="20"/>
          <w:szCs w:val="20"/>
          <w:color w:val="auto"/>
        </w:rPr>
      </w:pPr>
    </w:p>
    <w:p>
      <w:pPr>
        <w:ind w:left="960" w:hanging="41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in-license and develop know-how, including data, relating to certain of our product candidates.</w:t>
      </w:r>
    </w:p>
    <w:p>
      <w:pPr>
        <w:spacing w:after="0" w:line="144"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trade secret protection to protect aspects of our business that are not amenable to, or that we do not consider appropriate for, patent protection.</w:t>
      </w:r>
    </w:p>
    <w:p>
      <w:pPr>
        <w:spacing w:after="0" w:line="62" w:lineRule="exact"/>
        <w:rPr>
          <w:rFonts w:ascii="Arial" w:cs="Arial" w:eastAsia="Arial" w:hAnsi="Arial"/>
          <w:sz w:val="18"/>
          <w:szCs w:val="18"/>
          <w:color w:val="auto"/>
        </w:rPr>
      </w:pPr>
    </w:p>
    <w:p>
      <w:pPr>
        <w:ind w:left="960" w:hanging="41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management team has significant experience in cell processing and commercial-scale cellular therapy manufacturing. Leveraging this experience, we are building our global network of suppliers and CMO partners which combines their expertise in vector manufacturing with a closed, automated manufacturing system, all utilizing cGMP.</w:t>
      </w:r>
    </w:p>
    <w:p>
      <w:pPr>
        <w:spacing w:after="0" w:line="75" w:lineRule="exact"/>
        <w:rPr>
          <w:rFonts w:ascii="Arial" w:cs="Arial" w:eastAsia="Arial" w:hAnsi="Arial"/>
          <w:sz w:val="18"/>
          <w:szCs w:val="18"/>
          <w:color w:val="auto"/>
        </w:rPr>
      </w:pPr>
    </w:p>
    <w:p>
      <w:pPr>
        <w:ind w:left="960" w:right="80" w:hanging="412"/>
        <w:spacing w:after="0" w:line="311"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40" w:lineRule="exact"/>
        <w:rPr>
          <w:rFonts w:ascii="Arial" w:cs="Arial" w:eastAsia="Arial" w:hAnsi="Arial"/>
          <w:sz w:val="16"/>
          <w:szCs w:val="16"/>
          <w:color w:val="auto"/>
        </w:rPr>
      </w:pPr>
    </w:p>
    <w:p>
      <w:pPr>
        <w:ind w:left="960" w:right="120" w:hanging="412"/>
        <w:spacing w:after="0" w:line="296"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developing therapies to treat rare diseases and expect to pursue orphan-drug designation in the United States and similar protection outside of the United States. To date, the FDA and the European Commission have each granted orphan drug designation to AVR-RD-01 for the treatment of Fabry disease, AVR-RD-04 for the treatment of cystinosis, and AVR-RD-02 for the treatment of Gaucher disease type 1.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53" w:lineRule="exact"/>
        <w:rPr>
          <w:rFonts w:ascii="Arial" w:cs="Arial" w:eastAsia="Arial" w:hAnsi="Arial"/>
          <w:sz w:val="16"/>
          <w:szCs w:val="16"/>
          <w:color w:val="auto"/>
        </w:rPr>
      </w:pPr>
    </w:p>
    <w:p>
      <w:pPr>
        <w:ind w:left="960" w:right="520" w:hanging="41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currently in-license patents and patent applications relating to certain of our product candidates. We have also filed our own patent applications, which are positioned to further protect certain of our product candidates.</w:t>
      </w:r>
    </w:p>
    <w:p>
      <w:pPr>
        <w:spacing w:after="0" w:line="170" w:lineRule="exact"/>
        <w:rPr>
          <w:sz w:val="20"/>
          <w:szCs w:val="20"/>
          <w:color w:val="auto"/>
        </w:rPr>
      </w:pPr>
    </w:p>
    <w:p>
      <w:pPr>
        <w:ind w:right="40" w:firstLine="546"/>
        <w:spacing w:after="0" w:line="270" w:lineRule="auto"/>
        <w:rPr>
          <w:sz w:val="20"/>
          <w:szCs w:val="20"/>
          <w:color w:val="auto"/>
        </w:rPr>
      </w:pPr>
      <w:r>
        <w:rPr>
          <w:rFonts w:ascii="Arial" w:cs="Arial" w:eastAsia="Arial" w:hAnsi="Arial"/>
          <w:sz w:val="17"/>
          <w:szCs w:val="17"/>
          <w:color w:val="auto"/>
        </w:rPr>
        <w:t>We have in-licensed patents and patent applications from BioMarin Pharmaceutical Inc., GenStem Therapeutics, Inc. and The University of Manchester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related to AVR-RD-01, including certain information about the vector and its use, from University Health Network, and we have in-licensed know-how and data related to AVR-RD-02, including certain information about the vector and its use, from certain academic scientists affiliated with Lund University. Each of our licenses are limited to particular fields, such as Fabry disease, Gaucher disease type 1, Pompe disease, cystinosis, or Hunter syndrome,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w:t>
      </w:r>
      <w:r>
        <w:rPr>
          <w:rFonts w:ascii="Arial" w:cs="Arial" w:eastAsia="Arial" w:hAnsi="Arial"/>
          <w:sz w:val="17"/>
          <w:szCs w:val="17"/>
          <w:i w:val="1"/>
          <w:iCs w:val="1"/>
          <w:color w:val="auto"/>
        </w:rPr>
        <w:t>Risk Factors—Risks Related to Intellectual Property.</w:t>
      </w:r>
      <w:r>
        <w:rPr>
          <w:rFonts w:ascii="Arial" w:cs="Arial" w:eastAsia="Arial" w:hAnsi="Arial"/>
          <w:sz w:val="17"/>
          <w:szCs w:val="17"/>
          <w:color w:val="auto"/>
        </w:rPr>
        <w: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1, 2022, our in-licensed patent portfolio relating to certain of our gene therapies included the following:</w:t>
      </w:r>
    </w:p>
    <w:p>
      <w:pPr>
        <w:spacing w:after="0" w:line="117" w:lineRule="exact"/>
        <w:rPr>
          <w:sz w:val="20"/>
          <w:szCs w:val="20"/>
          <w:color w:val="auto"/>
        </w:rPr>
      </w:pPr>
    </w:p>
    <w:p>
      <w:pPr>
        <w:ind w:left="960" w:right="100" w:hanging="412"/>
        <w:spacing w:after="0" w:line="259"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AVR-RD-03 (Pompe program)</w:t>
      </w:r>
      <w:r>
        <w:rPr>
          <w:rFonts w:ascii="Arial" w:cs="Arial" w:eastAsia="Arial" w:hAnsi="Arial"/>
          <w:sz w:val="18"/>
          <w:szCs w:val="18"/>
          <w:color w:val="auto"/>
        </w:rPr>
        <w:t>: two U.S. patents, projected to expire in 2022 and 2023, and one U.S. patent application, which if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would be projected to expire in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w:t>
      </w:r>
    </w:p>
    <w:p>
      <w:pPr>
        <w:spacing w:after="0" w:line="78" w:lineRule="exact"/>
        <w:rPr>
          <w:rFonts w:ascii="Arial" w:cs="Arial" w:eastAsia="Arial" w:hAnsi="Arial"/>
          <w:sz w:val="18"/>
          <w:szCs w:val="18"/>
          <w:color w:val="auto"/>
        </w:rPr>
      </w:pPr>
    </w:p>
    <w:p>
      <w:pPr>
        <w:ind w:left="960" w:right="80" w:hanging="412"/>
        <w:spacing w:after="0" w:line="259"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AVR-RD-04 (cystinosis program)</w:t>
      </w:r>
      <w:r>
        <w:rPr>
          <w:rFonts w:ascii="Arial" w:cs="Arial" w:eastAsia="Arial" w:hAnsi="Arial"/>
          <w:sz w:val="18"/>
          <w:szCs w:val="18"/>
          <w:color w:val="auto"/>
        </w:rPr>
        <w:t>: one U.S. patent application, which, if granted, would be projected to expire in 2038,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patents and patent applications in certain foreign jurisdictions, containing claims directed to hematopoietic stem cells expressing cystinosin and methods of using the same for the treatment of cystinosis. These patent applications are licensed to us by GenStem Therapeutics, and GenStem obtained its rights from the University of California, San Diego.</w:t>
      </w:r>
    </w:p>
    <w:p>
      <w:pPr>
        <w:spacing w:after="0" w:line="78" w:lineRule="exact"/>
        <w:rPr>
          <w:rFonts w:ascii="Arial" w:cs="Arial" w:eastAsia="Arial" w:hAnsi="Arial"/>
          <w:sz w:val="18"/>
          <w:szCs w:val="18"/>
          <w:color w:val="auto"/>
        </w:rPr>
      </w:pPr>
    </w:p>
    <w:p>
      <w:pPr>
        <w:ind w:left="960" w:right="60" w:hanging="412"/>
        <w:spacing w:after="0" w:line="259"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AVR-RD-05 (Hunter program)</w:t>
      </w:r>
      <w:r>
        <w:rPr>
          <w:rFonts w:ascii="Arial" w:cs="Arial" w:eastAsia="Arial" w:hAnsi="Arial"/>
          <w:sz w:val="18"/>
          <w:szCs w:val="18"/>
          <w:color w:val="auto"/>
        </w:rPr>
        <w:t>: one U.S. patent application, which, if granted, would be projected to expire in 2038, as well as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and patent applications in certain foreign jurisdictions, containing claims directed to gene therapy vectors encoding iduronate-2-sulfatase and methods of using the same for the treatment of Hunter syndrome. These patent applications are licensed to us by the University of Manchester.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1, 2022, our Company-owned patent portfolio also included the following: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4" w:name="page25"/>
    <w:bookmarkEnd w:id="24"/>
    <w:p>
      <w:pPr>
        <w:ind w:left="960" w:right="120" w:hanging="412"/>
        <w:spacing w:after="0" w:line="263"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AVR-RD-03 (Pompe program)</w:t>
      </w:r>
      <w:r>
        <w:rPr>
          <w:rFonts w:ascii="Arial" w:cs="Arial" w:eastAsia="Arial" w:hAnsi="Arial"/>
          <w:sz w:val="18"/>
          <w:szCs w:val="18"/>
          <w:color w:val="auto"/>
        </w:rPr>
        <w:t>: one international (PCT) application, which, if granted in the U.S., would be projected to expire in 2041,</w:t>
      </w:r>
      <w:r>
        <w:rPr>
          <w:rFonts w:ascii="Arial" w:cs="Arial" w:eastAsia="Arial" w:hAnsi="Arial"/>
          <w:sz w:val="18"/>
          <w:szCs w:val="18"/>
          <w:i w:val="1"/>
          <w:iCs w:val="1"/>
          <w:color w:val="auto"/>
        </w:rPr>
        <w:t xml:space="preserve"> </w:t>
      </w:r>
      <w:r>
        <w:rPr>
          <w:rFonts w:ascii="Arial" w:cs="Arial" w:eastAsia="Arial" w:hAnsi="Arial"/>
          <w:sz w:val="18"/>
          <w:szCs w:val="18"/>
          <w:color w:val="auto"/>
        </w:rPr>
        <w:t>containing claims directed to CD34+ stem cells expressing acid alpha-glucosidase and methods of using the same for the treatment of Pompe disease.</w:t>
      </w:r>
    </w:p>
    <w:p>
      <w:pPr>
        <w:spacing w:after="0" w:line="184"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 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AVR-RD-02 or AVR-RD-06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with The University of Manchester</w:t>
      </w:r>
    </w:p>
    <w:p>
      <w:pPr>
        <w:spacing w:after="0" w:line="117" w:lineRule="exact"/>
        <w:rPr>
          <w:sz w:val="20"/>
          <w:szCs w:val="20"/>
          <w:color w:val="auto"/>
        </w:rPr>
      </w:pPr>
    </w:p>
    <w:p>
      <w:pPr>
        <w:ind w:right="320" w:firstLine="546"/>
        <w:spacing w:after="0" w:line="301" w:lineRule="auto"/>
        <w:rPr>
          <w:sz w:val="20"/>
          <w:szCs w:val="20"/>
          <w:color w:val="auto"/>
        </w:rPr>
      </w:pPr>
      <w:r>
        <w:rPr>
          <w:rFonts w:ascii="Arial" w:cs="Arial" w:eastAsia="Arial" w:hAnsi="Arial"/>
          <w:sz w:val="16"/>
          <w:szCs w:val="16"/>
          <w:color w:val="auto"/>
        </w:rPr>
        <w:t xml:space="preserve">In September 2020, we entered into an agreement, or the MPSII License Agreement, with The University of Manchester, England, or UoM, whereby UoM granted us an exclusive worldwide license under certain patent and other intellectual property rights, subject to certain retained rights, to develop, commercialize and sell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 gene therapy for use in the treatment of Hunter syndrome, or mucopolysaccharidosis type II. As consideration for the MPSII License Agreement, we agreed to pay UoM an upfront, one-time fee of $8.0 million.</w:t>
      </w:r>
    </w:p>
    <w:p>
      <w:pPr>
        <w:spacing w:after="0" w:line="157" w:lineRule="exact"/>
        <w:rPr>
          <w:sz w:val="20"/>
          <w:szCs w:val="20"/>
          <w:color w:val="auto"/>
        </w:rPr>
      </w:pPr>
    </w:p>
    <w:p>
      <w:pPr>
        <w:ind w:right="140" w:firstLine="546"/>
        <w:spacing w:after="0" w:line="273" w:lineRule="auto"/>
        <w:rPr>
          <w:sz w:val="20"/>
          <w:szCs w:val="20"/>
          <w:color w:val="auto"/>
        </w:rPr>
      </w:pPr>
      <w:r>
        <w:rPr>
          <w:rFonts w:ascii="Arial" w:cs="Arial" w:eastAsia="Arial" w:hAnsi="Arial"/>
          <w:sz w:val="17"/>
          <w:szCs w:val="17"/>
          <w:color w:val="auto"/>
        </w:rPr>
        <w:t>As part of the agreement, we are obligated to make milestone payments of up to an aggregate of $80.0 million upon the achievement of specified development and regulatory milestones, to pay royalties, on a product-by-product and country-by-country basis, of a mid-single digit percentage based on net sales of products licensed under the agreement and to pay a low double-digit percentage of any sublicense fees received by us. The next anticipated payment milestones under the MPSII License Agreement include $2.0 million, which would become due following the date of regulatory approval of the clinical trial application for the investigator-sponsored Phase 1/2 clinical trial sponsored by UoM, and $4.0 million, upon the dosing of the first patient in the investigator-sponsored Phase 1/2 clinical trial sponsored by UoM.</w:t>
      </w:r>
    </w:p>
    <w:p>
      <w:pPr>
        <w:spacing w:after="0" w:line="178" w:lineRule="exact"/>
        <w:rPr>
          <w:sz w:val="20"/>
          <w:szCs w:val="20"/>
          <w:color w:val="auto"/>
        </w:rPr>
      </w:pPr>
    </w:p>
    <w:p>
      <w:pPr>
        <w:ind w:right="140" w:firstLine="546"/>
        <w:spacing w:after="0" w:line="257"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We and UoM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us or its affiliates or sublicensees.</w:t>
      </w:r>
    </w:p>
    <w:p>
      <w:pPr>
        <w:spacing w:after="0" w:line="188" w:lineRule="exact"/>
        <w:rPr>
          <w:sz w:val="20"/>
          <w:szCs w:val="20"/>
          <w:color w:val="auto"/>
        </w:rPr>
      </w:pPr>
    </w:p>
    <w:p>
      <w:pPr>
        <w:ind w:right="180" w:firstLine="546"/>
        <w:spacing w:after="0" w:line="311" w:lineRule="auto"/>
        <w:rPr>
          <w:sz w:val="20"/>
          <w:szCs w:val="20"/>
          <w:color w:val="auto"/>
        </w:rPr>
      </w:pPr>
      <w:r>
        <w:rPr>
          <w:rFonts w:ascii="Arial" w:cs="Arial" w:eastAsia="Arial" w:hAnsi="Arial"/>
          <w:sz w:val="16"/>
          <w:szCs w:val="16"/>
          <w:color w:val="auto"/>
        </w:rPr>
        <w:t>Concurrently with the MPSII License Agreement, we entered into a collaborative research funding agreement with UoM, or the CRFA. Under the CRFA, we have agreed to fund the budgeted costs of an investigator-sponsored Phase 1/2 clinical trial to be sponsored by UoM in connection with the development activities under the MPSII License Agreement, which are currently estimated to equal approximately £9.9 million in the aggregate.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left="560"/>
        <w:spacing w:after="0"/>
        <w:rPr>
          <w:sz w:val="20"/>
          <w:szCs w:val="20"/>
          <w:color w:val="auto"/>
        </w:rPr>
      </w:pPr>
      <w:r>
        <w:rPr>
          <w:rFonts w:ascii="Arial" w:cs="Arial" w:eastAsia="Arial" w:hAnsi="Arial"/>
          <w:sz w:val="18"/>
          <w:szCs w:val="18"/>
          <w:b w:val="1"/>
          <w:bCs w:val="1"/>
          <w:i w:val="1"/>
          <w:iCs w:val="1"/>
          <w:color w:val="auto"/>
        </w:rPr>
        <w:t>Exclusive License Agreement with University Health Network</w:t>
      </w:r>
    </w:p>
    <w:p>
      <w:pPr>
        <w:spacing w:after="0" w:line="11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In addition, for three years following the execution of the agreement, UHN granted us an exclusive option to obtain an exclusive license under certain improvements to the licensed intellectual property rights as well as an exclusive option to negotiate a license under certain other improvements.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78"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As consideration for the licenses, we paid to UHN a one-time upfront fee in the amount of CAD$75,000 and are obligated to pay an additional annual fee until the first sale of a licensed product in certain markets. We are also required to make payments to UHN in connection with the achievement of certain development and regulatory milestones, in an aggregate amount of CAD$2.45 million, as well as royalties on a country-by-country basis of a low to mid-single digit percentages on annual sales of licensed products and a lower single digit royalty in certain circumstances. Additionally, we will pay a low double-digit percentage of all sublicensing revenue. Our royalty obligation expires on a licensed product-by-licensed product and country-by-country basis upon the latest to occur of the expiration or termination of the last valid claim under the licensed patent rights in such country (if and when any such patent rights come into existence under the license agreement in the future), the tenth anniversary of the first commercial sale of such licensed product in such country and the expiration of any applicable regulatory exclusivity in such country.</w:t>
      </w:r>
    </w:p>
    <w:p>
      <w:pPr>
        <w:spacing w:after="0" w:line="178"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In addition, under this agreement we made a philanthropic commitment to donate funds to organizations for the benefit of the Canadian Fabry community in an amount equal to a low double-digit percentage of our royalty payments and regulatory milestone payments, up to a maximum amount of CAD$0.5 million in any calendar year.</w:t>
      </w:r>
    </w:p>
    <w:p>
      <w:pPr>
        <w:spacing w:after="0" w:line="184"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 terminate this agreement if we enter into bankruptcy or insolvency. We may terminate this agreement for any reason upon notice to UHN.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with Lund University Rights Holders</w:t>
      </w:r>
    </w:p>
    <w:p>
      <w:pPr>
        <w:spacing w:after="0" w:line="117"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In January 2017, we entered into an exclusive license agreement with Prof. Stefan Karlsson and Dr. Maria Dahl, affiliates of Lund University, pursuant to which Prof. Karlsson and Dr. Dahl, and certain other relevant rights holders that may have an interest in intellectual property generated under a research project we are funding with Lund University, granted to us an exclusive worldwide license, subject to certain retained rights, under certain intellectual property rights to develop, commercialize and sell products in any and all uses relevant to Gaucher disease. Intellectual property licensed to us under this agreement relates to our Gaucher program.</w:t>
      </w:r>
    </w:p>
    <w:p>
      <w:pPr>
        <w:spacing w:after="0" w:line="188"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As consideration for the license, we are required to make payments in connection with the achievement of certain milestones up to an aggregate of $0.55 million.</w:t>
      </w:r>
    </w:p>
    <w:p>
      <w:pPr>
        <w:spacing w:after="0" w:line="170"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 (iii) 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6" w:name="page27"/>
    <w:bookmarkEnd w:id="26"/>
    <w:p>
      <w:pPr>
        <w:ind w:left="560"/>
        <w:spacing w:after="0"/>
        <w:rPr>
          <w:sz w:val="20"/>
          <w:szCs w:val="20"/>
          <w:color w:val="auto"/>
        </w:rPr>
      </w:pPr>
      <w:r>
        <w:rPr>
          <w:rFonts w:ascii="Arial" w:cs="Arial" w:eastAsia="Arial" w:hAnsi="Arial"/>
          <w:sz w:val="18"/>
          <w:szCs w:val="18"/>
          <w:b w:val="1"/>
          <w:bCs w:val="1"/>
          <w:i w:val="1"/>
          <w:iCs w:val="1"/>
          <w:color w:val="auto"/>
        </w:rPr>
        <w:t>License Agreement with BioMarin Pharmaceutical Inc.</w:t>
      </w:r>
    </w:p>
    <w:p>
      <w:pPr>
        <w:spacing w:after="0" w:line="117"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In August 2017, we entered into a license agreement with BioMarin Pharmaceutical Inc., or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This agreement was amended in February 2018 and again in January 2020 to, among things, provide that BioMarin would supply us with certain materials related to the GILT tags technology.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95"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As consideration for the license, we paid an initial license fee in the amount of $0.5 million and issued 233,765 shares of our Series B preferred stock to BioMarin at the time of our Series B financing. We are also obligated to make payments to BioMarin upon achievement of certain milestones up to an aggregate of $13.0 million and pay to BioMarin a low single digit royalty percentage on net sales of licensed products covered by patent rights in a relevant country. Our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195"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 with Papillon Therapeutics, Inc. (previously GenStem Therapeutics, Inc.)</w:t>
      </w:r>
    </w:p>
    <w:p>
      <w:pPr>
        <w:spacing w:after="0" w:line="117"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In October 2017, we entered into a license agreement with GenStem Therapeutics, Inc., or GenStem, pursuant to which GenStem granted us an exclusive worldwide license, subject to certain retained rights, under 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 consistent with the California Institute for Regenerative Medicine regulations and to manufacture certain licensed products substantially in the United States. In October 2021, we received noticed that the license agreement with GenStem had been assigned to Papillon Therapeutics, Inc., or Papillon.</w:t>
      </w:r>
    </w:p>
    <w:p>
      <w:pPr>
        <w:spacing w:after="0" w:line="166" w:lineRule="exact"/>
        <w:rPr>
          <w:sz w:val="20"/>
          <w:szCs w:val="20"/>
          <w:color w:val="auto"/>
        </w:rPr>
      </w:pPr>
    </w:p>
    <w:p>
      <w:pPr>
        <w:ind w:right="60" w:firstLine="546"/>
        <w:spacing w:after="0" w:line="291" w:lineRule="auto"/>
        <w:rPr>
          <w:sz w:val="20"/>
          <w:szCs w:val="20"/>
          <w:color w:val="auto"/>
        </w:rPr>
      </w:pPr>
      <w:r>
        <w:rPr>
          <w:rFonts w:ascii="Arial" w:cs="Arial" w:eastAsia="Arial" w:hAnsi="Arial"/>
          <w:sz w:val="16"/>
          <w:szCs w:val="16"/>
          <w:color w:val="auto"/>
        </w:rPr>
        <w:t>As consideration for the license, we paid an initial license fee in the amount of $1.0 million and are required to make payments upon completion of certain development milestones up to an aggregate of $16.0 million. For example, in November 2019 we made a $2.0 million payment in connection with the dosing of the first patient in the investigator-sponsored Phase 1/2 clinical trial of AVR-RD-04 in cystinosis in the United States. Additionally, we will pay to Papillon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 is currently projected to occur in 2038, whichever is later.</w:t>
      </w:r>
    </w:p>
    <w:p>
      <w:pPr>
        <w:spacing w:after="0" w:line="166" w:lineRule="exact"/>
        <w:rPr>
          <w:sz w:val="20"/>
          <w:szCs w:val="20"/>
          <w:color w:val="auto"/>
        </w:rPr>
      </w:pPr>
    </w:p>
    <w:p>
      <w:pPr>
        <w:jc w:val="both"/>
        <w:ind w:right="120" w:firstLine="546"/>
        <w:spacing w:after="0" w:line="286" w:lineRule="auto"/>
        <w:rPr>
          <w:sz w:val="20"/>
          <w:szCs w:val="20"/>
          <w:color w:val="auto"/>
        </w:rPr>
      </w:pPr>
      <w:r>
        <w:rPr>
          <w:rFonts w:ascii="Arial" w:cs="Arial" w:eastAsia="Arial" w:hAnsi="Arial"/>
          <w:sz w:val="17"/>
          <w:szCs w:val="17"/>
          <w:color w:val="auto"/>
        </w:rPr>
        <w:t>Unless terminated earlier, our license agreement with Papillon will terminate upon the expiration of our royalty obligation for all licensed products throughout the world. Either we or Papillon may terminate the license agreement if the other party commits a material breach and fails to cure such breach within a certain period of time. In addition, we may terminate the agreement for any reason upon notice to Papillon.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larger pharmaceutical, specialty pharmaceutical and biotechnology companies, as well as academic institutions, 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87"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The market for treatment of lysosomal disorders is especially large and competitive. The gene therapies we are currently developing, if approved, will face competition.</w:t>
      </w:r>
    </w:p>
    <w:p>
      <w:pPr>
        <w:spacing w:after="0" w:line="170"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Factors—Risks related to the discovery and development of our product candidates—We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 and elsewhere in this Annual Report on Form 10-K for more information regarding competitors and competitive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00" w:firstLine="546"/>
        <w:spacing w:after="0" w:line="291" w:lineRule="auto"/>
        <w:rPr>
          <w:sz w:val="20"/>
          <w:szCs w:val="20"/>
          <w:color w:val="auto"/>
        </w:rPr>
      </w:pPr>
      <w:r>
        <w:rPr>
          <w:rFonts w:ascii="Arial" w:cs="Arial" w:eastAsia="Arial" w:hAnsi="Arial"/>
          <w:sz w:val="16"/>
          <w:szCs w:val="16"/>
          <w:color w:val="auto"/>
        </w:rPr>
        <w:t>In the United States, 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66"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The FDA and the NIH have published guidance documents with respect to the development and submission of gene therapy protocols. The FDA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71"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17" w:lineRule="exact"/>
        <w:rPr>
          <w:sz w:val="20"/>
          <w:szCs w:val="20"/>
          <w:color w:val="auto"/>
        </w:rPr>
      </w:pPr>
    </w:p>
    <w:p>
      <w:pPr>
        <w:ind w:left="960" w:hanging="41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8" w:name="page29"/>
    <w:bookmarkEnd w:id="28"/>
    <w:p>
      <w:pPr>
        <w:ind w:left="960" w:hanging="41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44" w:lineRule="exact"/>
        <w:rPr>
          <w:rFonts w:ascii="Arial" w:cs="Arial" w:eastAsia="Arial" w:hAnsi="Arial"/>
          <w:sz w:val="18"/>
          <w:szCs w:val="18"/>
          <w:color w:val="auto"/>
        </w:rPr>
      </w:pPr>
    </w:p>
    <w:p>
      <w:pPr>
        <w:ind w:left="960" w:right="540" w:hanging="41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study site before each study may be initiated;</w:t>
      </w:r>
    </w:p>
    <w:p>
      <w:pPr>
        <w:spacing w:after="0" w:line="62" w:lineRule="exact"/>
        <w:rPr>
          <w:rFonts w:ascii="Arial" w:cs="Arial" w:eastAsia="Arial" w:hAnsi="Arial"/>
          <w:sz w:val="18"/>
          <w:szCs w:val="18"/>
          <w:color w:val="auto"/>
        </w:rPr>
      </w:pPr>
    </w:p>
    <w:p>
      <w:pPr>
        <w:jc w:val="both"/>
        <w:ind w:left="960" w:hanging="412"/>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75" w:lineRule="exact"/>
        <w:rPr>
          <w:rFonts w:ascii="Arial" w:cs="Arial" w:eastAsia="Arial" w:hAnsi="Arial"/>
          <w:sz w:val="18"/>
          <w:szCs w:val="18"/>
          <w:color w:val="auto"/>
        </w:rPr>
      </w:pPr>
    </w:p>
    <w:p>
      <w:pPr>
        <w:ind w:left="960" w:right="460" w:hanging="41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and potency from results of nonclinical testing and clinical studies;</w:t>
      </w:r>
    </w:p>
    <w:p>
      <w:pPr>
        <w:spacing w:after="0" w:line="62" w:lineRule="exact"/>
        <w:rPr>
          <w:rFonts w:ascii="Arial" w:cs="Arial" w:eastAsia="Arial" w:hAnsi="Arial"/>
          <w:sz w:val="18"/>
          <w:szCs w:val="18"/>
          <w:color w:val="auto"/>
        </w:rPr>
      </w:pPr>
    </w:p>
    <w:p>
      <w:pPr>
        <w:ind w:left="960" w:right="60" w:hanging="412"/>
        <w:spacing w:after="0" w:line="311"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40" w:lineRule="exact"/>
        <w:rPr>
          <w:rFonts w:ascii="Arial" w:cs="Arial" w:eastAsia="Arial" w:hAnsi="Arial"/>
          <w:sz w:val="16"/>
          <w:szCs w:val="16"/>
          <w:color w:val="auto"/>
        </w:rPr>
      </w:pPr>
    </w:p>
    <w:p>
      <w:pPr>
        <w:ind w:left="960" w:hanging="41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52"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7" w:lineRule="exact"/>
        <w:rPr>
          <w:sz w:val="20"/>
          <w:szCs w:val="20"/>
          <w:color w:val="auto"/>
        </w:rPr>
      </w:pPr>
    </w:p>
    <w:p>
      <w:pPr>
        <w:ind w:firstLine="546"/>
        <w:spacing w:after="0" w:line="285"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National Institutes of Health, or NIH, Guidelines for Research Involving Recombinant or Synthetic Nucleic Acid Molecules, or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74"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80" w:firstLine="546"/>
        <w:spacing w:after="0" w:line="268" w:lineRule="auto"/>
        <w:rPr>
          <w:sz w:val="20"/>
          <w:szCs w:val="20"/>
          <w:color w:val="auto"/>
        </w:rPr>
      </w:pPr>
      <w:r>
        <w:rPr>
          <w:rFonts w:ascii="Arial" w:cs="Arial" w:eastAsia="Arial" w:hAnsi="Arial"/>
          <w:sz w:val="17"/>
          <w:szCs w:val="17"/>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Clinical studies typically are conducted in three sequential phases that may overlap or be combined:</w:t>
      </w:r>
    </w:p>
    <w:p>
      <w:pPr>
        <w:spacing w:after="0" w:line="117" w:lineRule="exact"/>
        <w:rPr>
          <w:sz w:val="20"/>
          <w:szCs w:val="20"/>
          <w:color w:val="auto"/>
        </w:rPr>
      </w:pPr>
    </w:p>
    <w:p>
      <w:pPr>
        <w:ind w:left="960" w:right="180" w:hanging="412"/>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75" w:lineRule="exact"/>
        <w:rPr>
          <w:rFonts w:ascii="Arial" w:cs="Arial" w:eastAsia="Arial" w:hAnsi="Arial"/>
          <w:sz w:val="18"/>
          <w:szCs w:val="18"/>
          <w:color w:val="auto"/>
        </w:rPr>
      </w:pPr>
    </w:p>
    <w:p>
      <w:pPr>
        <w:ind w:left="960" w:right="120" w:hanging="412"/>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75" w:lineRule="exact"/>
        <w:rPr>
          <w:rFonts w:ascii="Arial" w:cs="Arial" w:eastAsia="Arial" w:hAnsi="Arial"/>
          <w:sz w:val="18"/>
          <w:szCs w:val="18"/>
          <w:color w:val="auto"/>
        </w:rPr>
      </w:pPr>
    </w:p>
    <w:p>
      <w:pPr>
        <w:ind w:left="960" w:right="120" w:hanging="412"/>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clinical studies are intended to establish the overall risk/benefit ratio of the product and provide an adequate basis for approval and product labeling.</w:t>
      </w:r>
    </w:p>
    <w:p>
      <w:pPr>
        <w:spacing w:after="0" w:line="184"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57"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72" w:lineRule="exact"/>
        <w:rPr>
          <w:sz w:val="20"/>
          <w:szCs w:val="20"/>
          <w:color w:val="auto"/>
        </w:rPr>
      </w:pPr>
    </w:p>
    <w:p>
      <w:pPr>
        <w:ind w:right="200" w:firstLine="546"/>
        <w:spacing w:after="0" w:line="255" w:lineRule="auto"/>
        <w:rPr>
          <w:sz w:val="20"/>
          <w:szCs w:val="20"/>
          <w:color w:val="auto"/>
        </w:rPr>
      </w:pPr>
      <w:r>
        <w:rPr>
          <w:rFonts w:ascii="Arial" w:cs="Arial" w:eastAsia="Arial" w:hAnsi="Arial"/>
          <w:sz w:val="18"/>
          <w:szCs w:val="18"/>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ind w:right="60" w:firstLine="546"/>
        <w:spacing w:after="0" w:line="291" w:lineRule="auto"/>
        <w:rPr>
          <w:sz w:val="20"/>
          <w:szCs w:val="20"/>
          <w:color w:val="auto"/>
        </w:rPr>
      </w:pPr>
      <w:r>
        <w:rPr>
          <w:rFonts w:ascii="Arial" w:cs="Arial" w:eastAsia="Arial" w:hAnsi="Arial"/>
          <w:sz w:val="16"/>
          <w:szCs w:val="16"/>
          <w:color w:val="auto"/>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180" w:firstLine="546"/>
        <w:spacing w:after="0" w:line="301" w:lineRule="auto"/>
        <w:rPr>
          <w:sz w:val="20"/>
          <w:szCs w:val="20"/>
          <w:color w:val="auto"/>
        </w:rPr>
      </w:pPr>
      <w:r>
        <w:rPr>
          <w:rFonts w:ascii="Arial" w:cs="Arial" w:eastAsia="Arial" w:hAnsi="Arial"/>
          <w:sz w:val="16"/>
          <w:szCs w:val="16"/>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57"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82"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18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GTPs. These are FDA regulations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20" w:firstLine="546"/>
        <w:spacing w:after="0" w:line="257" w:lineRule="auto"/>
        <w:rPr>
          <w:sz w:val="20"/>
          <w:szCs w:val="20"/>
          <w:color w:val="auto"/>
        </w:rPr>
      </w:pPr>
      <w:r>
        <w:rPr>
          <w:rFonts w:ascii="Arial" w:cs="Arial" w:eastAsia="Arial" w:hAnsi="Arial"/>
          <w:sz w:val="18"/>
          <w:szCs w:val="18"/>
          <w:color w:val="auto"/>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8" w:lineRule="exact"/>
        <w:rPr>
          <w:sz w:val="20"/>
          <w:szCs w:val="20"/>
          <w:color w:val="auto"/>
        </w:rPr>
      </w:pPr>
    </w:p>
    <w:p>
      <w:pPr>
        <w:ind w:right="80" w:firstLine="546"/>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ind w:right="120" w:firstLine="546"/>
        <w:spacing w:after="0" w:line="273"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jc w:val="both"/>
        <w:ind w:right="200" w:firstLine="546"/>
        <w:spacing w:after="0" w:line="285"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Orphan product designation does not convey any advantage in or shorten the duration of the regulatory review and approval process.</w:t>
      </w:r>
    </w:p>
    <w:p>
      <w:pPr>
        <w:spacing w:after="0" w:line="211" w:lineRule="exact"/>
        <w:rPr>
          <w:sz w:val="20"/>
          <w:szCs w:val="20"/>
          <w:color w:val="auto"/>
        </w:rPr>
      </w:pPr>
    </w:p>
    <w:p>
      <w:pPr>
        <w:ind w:right="80" w:firstLine="546"/>
        <w:spacing w:after="0" w:line="288"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right="20"/>
        <w:spacing w:after="0" w:line="263" w:lineRule="auto"/>
        <w:rPr>
          <w:sz w:val="20"/>
          <w:szCs w:val="20"/>
          <w:color w:val="auto"/>
        </w:rPr>
      </w:pPr>
      <w:r>
        <w:rPr>
          <w:rFonts w:ascii="Arial" w:cs="Arial" w:eastAsia="Arial" w:hAnsi="Arial"/>
          <w:sz w:val="18"/>
          <w:szCs w:val="18"/>
          <w:color w:val="auto"/>
        </w:rPr>
        <w:t>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84"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71"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71"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for products being considered for accelerated approval, the FDA generally requires, unless otherwise informed by the agency, that all advertising and promotional materials intended for dissemination of publication within 120 days of marketing approval be submitted to the agency for review during the pre-approval review period.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Regenerative Medicine Advanced Therapies Designation</w:t>
      </w:r>
    </w:p>
    <w:p>
      <w:pPr>
        <w:spacing w:after="0" w:line="117" w:lineRule="exact"/>
        <w:rPr>
          <w:sz w:val="20"/>
          <w:szCs w:val="20"/>
          <w:color w:val="auto"/>
        </w:rPr>
      </w:pPr>
    </w:p>
    <w:p>
      <w:pPr>
        <w:ind w:firstLine="546"/>
        <w:spacing w:after="0" w:line="285" w:lineRule="auto"/>
        <w:rPr>
          <w:sz w:val="20"/>
          <w:szCs w:val="20"/>
          <w:color w:val="auto"/>
        </w:rPr>
      </w:pPr>
      <w:r>
        <w:rPr>
          <w:rFonts w:ascii="Arial" w:cs="Arial" w:eastAsia="Arial" w:hAnsi="Arial"/>
          <w:sz w:val="16"/>
          <w:szCs w:val="16"/>
          <w:color w:val="auto"/>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the FDA designate a drug as a RMAT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the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the FDA’s other expedited development programs, RMAT designation does not change the standards for approval but may expedite the development or approval process.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7"/>
          <w:szCs w:val="17"/>
          <w:color w:val="auto"/>
        </w:rPr>
        <w:t>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81"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85"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Manufacturers and other parties involved in the drug supply chain for prescription drug products must also comply with product tracking and tracing requirements and for notifying the FDA of counterfeit, diverted, stolen and intentionally adulterate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2" w:lineRule="exact"/>
        <w:rPr>
          <w:sz w:val="20"/>
          <w:szCs w:val="20"/>
          <w:color w:val="auto"/>
        </w:rPr>
      </w:pPr>
    </w:p>
    <w:p>
      <w:pPr>
        <w:ind w:right="260" w:firstLine="546"/>
        <w:spacing w:after="0" w:line="259"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firstLine="546"/>
        <w:spacing w:after="0" w:line="289" w:lineRule="auto"/>
        <w:rPr>
          <w:sz w:val="20"/>
          <w:szCs w:val="20"/>
          <w:color w:val="auto"/>
        </w:rPr>
      </w:pPr>
      <w:r>
        <w:rPr>
          <w:rFonts w:ascii="Arial" w:cs="Arial" w:eastAsia="Arial" w:hAnsi="Arial"/>
          <w:sz w:val="16"/>
          <w:szCs w:val="16"/>
          <w:color w:val="auto"/>
        </w:rPr>
        <w:t>The 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66"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A reference biological product is granted four and 12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4"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540"/>
        <w:spacing w:after="0" w:line="263" w:lineRule="auto"/>
        <w:rPr>
          <w:sz w:val="20"/>
          <w:szCs w:val="20"/>
          <w:color w:val="auto"/>
        </w:rPr>
      </w:pPr>
      <w:r>
        <w:rPr>
          <w:rFonts w:ascii="Arial" w:cs="Arial" w:eastAsia="Arial" w:hAnsi="Arial"/>
          <w:sz w:val="18"/>
          <w:szCs w:val="18"/>
          <w:color w:val="auto"/>
        </w:rPr>
        <w:t>Clinical Trial Application, or CTA, must be submitted for each clinical trial to each country’s national health authority and an independent ethics committee, much like the FDA and an IRB, respectively. Once the CTA is approved in accordance with a country’s requirements, the corresponding clinical study may proceed.</w:t>
      </w:r>
    </w:p>
    <w:p>
      <w:pPr>
        <w:spacing w:after="0" w:line="184"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4"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To obtain regulatory approval of an investigational product under European Union regulatory systems, we must submit a marketing authorization application. The application used to file the BLA in the United States is similar to that required in the European Union, with the exception of, among other things, region-specific document requirements. 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79" w:lineRule="exact"/>
        <w:rPr>
          <w:sz w:val="20"/>
          <w:szCs w:val="20"/>
          <w:color w:val="auto"/>
        </w:rPr>
      </w:pPr>
    </w:p>
    <w:p>
      <w:pPr>
        <w:ind w:right="40" w:firstLine="546"/>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2" w:lineRule="exact"/>
        <w:rPr>
          <w:sz w:val="20"/>
          <w:szCs w:val="20"/>
          <w:color w:val="auto"/>
        </w:rPr>
      </w:pPr>
    </w:p>
    <w:p>
      <w:pPr>
        <w:ind w:right="400" w:firstLine="546"/>
        <w:spacing w:after="0" w:line="263"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76" w:lineRule="exact"/>
        <w:rPr>
          <w:sz w:val="20"/>
          <w:szCs w:val="20"/>
          <w:color w:val="auto"/>
        </w:rPr>
      </w:pPr>
    </w:p>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52" w:lineRule="exact"/>
        <w:rPr>
          <w:sz w:val="20"/>
          <w:szCs w:val="20"/>
          <w:color w:val="auto"/>
        </w:rPr>
      </w:pPr>
    </w:p>
    <w:p>
      <w:pPr>
        <w:ind w:right="340" w:firstLine="546"/>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GCPs and the applicable regulatory requirements and the ethical principles that have their origin in the Declaration of Helsinki.</w:t>
      </w:r>
    </w:p>
    <w:p>
      <w:pPr>
        <w:spacing w:after="0" w:line="187"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6" w:name="page37"/>
    <w:bookmarkEnd w:id="36"/>
    <w:p>
      <w:pPr>
        <w:ind w:left="5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ind w:left="960" w:right="40" w:hanging="412"/>
        <w:spacing w:after="0" w:line="270"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72" w:lineRule="exact"/>
        <w:rPr>
          <w:rFonts w:ascii="Arial" w:cs="Arial" w:eastAsia="Arial" w:hAnsi="Arial"/>
          <w:sz w:val="17"/>
          <w:szCs w:val="17"/>
          <w:color w:val="auto"/>
        </w:rPr>
      </w:pPr>
    </w:p>
    <w:p>
      <w:pPr>
        <w:ind w:left="960" w:hanging="412"/>
        <w:spacing w:after="0" w:line="271"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rFonts w:ascii="Arial" w:cs="Arial" w:eastAsia="Arial" w:hAnsi="Arial"/>
          <w:sz w:val="17"/>
          <w:szCs w:val="17"/>
          <w:color w:val="auto"/>
        </w:rPr>
      </w:pPr>
    </w:p>
    <w:p>
      <w:pPr>
        <w:ind w:left="960" w:right="20" w:hanging="412"/>
        <w:spacing w:after="0" w:line="259"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960" w:right="80" w:hanging="412"/>
        <w:spacing w:after="0" w:line="291"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ind w:left="960" w:hanging="412"/>
        <w:spacing w:after="0" w:line="279" w:lineRule="auto"/>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960" w:right="60" w:hanging="412"/>
        <w:spacing w:after="0" w:line="293"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physician assistants, nurse practitioners, clinical nurse specialists, certified registered nurse anesthetists and teaching hospitals, as well as ownership and investment interests held by the physicians described above and their immediate family members.</w:t>
      </w:r>
    </w:p>
    <w:p>
      <w:pPr>
        <w:spacing w:after="0" w:line="56" w:lineRule="exact"/>
        <w:rPr>
          <w:rFonts w:ascii="Arial" w:cs="Arial" w:eastAsia="Arial" w:hAnsi="Arial"/>
          <w:sz w:val="16"/>
          <w:szCs w:val="16"/>
          <w:color w:val="auto"/>
        </w:rPr>
      </w:pPr>
    </w:p>
    <w:p>
      <w:pPr>
        <w:ind w:left="960" w:right="40" w:hanging="412"/>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960" w:right="300" w:hanging="412"/>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6"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70"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87"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172" w:lineRule="exact"/>
        <w:rPr>
          <w:sz w:val="20"/>
          <w:szCs w:val="20"/>
          <w:color w:val="auto"/>
        </w:rPr>
      </w:pPr>
    </w:p>
    <w:p>
      <w:pPr>
        <w:ind w:right="400" w:firstLine="546"/>
        <w:spacing w:after="0" w:line="263" w:lineRule="auto"/>
        <w:rPr>
          <w:sz w:val="20"/>
          <w:szCs w:val="20"/>
          <w:color w:val="auto"/>
        </w:rPr>
      </w:pPr>
      <w:r>
        <w:rPr>
          <w:rFonts w:ascii="Arial" w:cs="Arial" w:eastAsia="Arial" w:hAnsi="Arial"/>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160" w:firstLine="546"/>
        <w:spacing w:after="0" w:line="259" w:lineRule="auto"/>
        <w:rPr>
          <w:sz w:val="20"/>
          <w:szCs w:val="20"/>
          <w:color w:val="auto"/>
        </w:rPr>
      </w:pPr>
      <w:r>
        <w:rPr>
          <w:rFonts w:ascii="Arial" w:cs="Arial" w:eastAsia="Arial" w:hAnsi="Arial"/>
          <w:sz w:val="18"/>
          <w:szCs w:val="18"/>
          <w:color w:val="auto"/>
        </w:rPr>
        <w:t>Regulators globally are also imposing greater monetary fines for privacy violations. For example, in 2016, the European Union adopted a new regulation governing data practices and privacy called the General Data Protection Regulation, or GDPR, which became effective on May 25, 2018. Non-compliance with the GDPR may result in monetary penalties of up to €20 million or 4% of worldwide revenue, whichever is higher. Notably, on January 21, 2019, Google was fined almost $57 million by French regulators for violating GDPR.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and UK Personal Data Collection</w:t>
      </w:r>
    </w:p>
    <w:p>
      <w:pPr>
        <w:spacing w:after="0" w:line="117"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The collection and use of personal health data in the European Union is governed by the provisions of the Data Protection Directive, and as of May 25, 2018 the GDPR. The GDPR applies to any company established in the European Union as well as to those outside the European Union if they collect and use personal data in connection with the offering of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73" w:lineRule="exact"/>
        <w:rPr>
          <w:sz w:val="20"/>
          <w:szCs w:val="20"/>
          <w:color w:val="auto"/>
        </w:rPr>
      </w:pPr>
    </w:p>
    <w:p>
      <w:pPr>
        <w:ind w:right="60" w:firstLine="546"/>
        <w:spacing w:after="0" w:line="270" w:lineRule="auto"/>
        <w:rPr>
          <w:sz w:val="20"/>
          <w:szCs w:val="20"/>
          <w:color w:val="auto"/>
        </w:rPr>
      </w:pPr>
      <w:r>
        <w:rPr>
          <w:rFonts w:ascii="Arial" w:cs="Arial" w:eastAsia="Arial" w:hAnsi="Arial"/>
          <w:sz w:val="17"/>
          <w:szCs w:val="17"/>
          <w:color w:val="auto"/>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40" w:firstLine="546"/>
        <w:spacing w:after="0" w:line="287"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created a new Medicare Part D coverage gap discount program, in which manufacturers must agree to offer 70% (as of 2019) point-of-sale discounts off negotiated prices of applicable brand drugs to eligible beneficiaries during their coverage gap period, as a condition for manufacturers’ outpatient drugs coverage under Medicare Part D; subjects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the Center for Medicare Innovation at Centers for Medicare &amp; Medicaid Services, or CMS, to test innovative payment and service delivery models to lower Medicare and Medicaid spending.</w:t>
      </w:r>
    </w:p>
    <w:p>
      <w:pPr>
        <w:spacing w:after="0" w:line="172"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left="560"/>
        <w:spacing w:after="0"/>
        <w:rPr>
          <w:sz w:val="20"/>
          <w:szCs w:val="20"/>
          <w:color w:val="auto"/>
        </w:rPr>
      </w:pPr>
      <w:r>
        <w:rPr>
          <w:rFonts w:ascii="Arial" w:cs="Arial" w:eastAsia="Arial" w:hAnsi="Arial"/>
          <w:sz w:val="17"/>
          <w:szCs w:val="17"/>
          <w:color w:val="auto"/>
        </w:rPr>
        <w:t>In addition, other legislative and regulatory changes have been proposed and adopted in the United States since the ACE was enacted:</w:t>
      </w:r>
    </w:p>
    <w:p>
      <w:pPr>
        <w:spacing w:after="0" w:line="237" w:lineRule="exact"/>
        <w:rPr>
          <w:sz w:val="20"/>
          <w:szCs w:val="20"/>
          <w:color w:val="auto"/>
        </w:rPr>
      </w:pPr>
    </w:p>
    <w:p>
      <w:pPr>
        <w:ind w:left="1340" w:right="60" w:hanging="387"/>
        <w:spacing w:after="0" w:line="275" w:lineRule="auto"/>
        <w:tabs>
          <w:tab w:leader="none" w:pos="1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w:t>
      </w:r>
    </w:p>
    <w:p>
      <w:pPr>
        <w:spacing w:after="0" w:line="176" w:lineRule="exact"/>
        <w:rPr>
          <w:rFonts w:ascii="Arial" w:cs="Arial" w:eastAsia="Arial" w:hAnsi="Arial"/>
          <w:sz w:val="17"/>
          <w:szCs w:val="17"/>
          <w:color w:val="auto"/>
        </w:rPr>
      </w:pPr>
    </w:p>
    <w:p>
      <w:pPr>
        <w:ind w:left="1340" w:right="300" w:hanging="387"/>
        <w:spacing w:after="0" w:line="277"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January 2, 2013, the U.S. American Taxpayer Relief Act of 2012 was signed into law, which, among other things, further reduced Medicare payments to several types of providers.</w:t>
      </w:r>
    </w:p>
    <w:p>
      <w:pPr>
        <w:spacing w:after="0" w:line="170" w:lineRule="exact"/>
        <w:rPr>
          <w:rFonts w:ascii="Arial" w:cs="Arial" w:eastAsia="Arial" w:hAnsi="Arial"/>
          <w:sz w:val="18"/>
          <w:szCs w:val="18"/>
          <w:color w:val="auto"/>
        </w:rPr>
      </w:pPr>
    </w:p>
    <w:p>
      <w:pPr>
        <w:ind w:left="1340" w:right="40" w:hanging="387"/>
        <w:spacing w:after="0" w:line="263"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83" w:lineRule="exact"/>
        <w:rPr>
          <w:rFonts w:ascii="Arial" w:cs="Arial" w:eastAsia="Arial" w:hAnsi="Arial"/>
          <w:sz w:val="18"/>
          <w:szCs w:val="18"/>
          <w:color w:val="auto"/>
        </w:rPr>
      </w:pPr>
    </w:p>
    <w:p>
      <w:pPr>
        <w:ind w:left="1340" w:right="60" w:hanging="387"/>
        <w:spacing w:after="0" w:line="275" w:lineRule="auto"/>
        <w:tabs>
          <w:tab w:leader="none" w:pos="1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6" w:lineRule="exact"/>
        <w:rPr>
          <w:rFonts w:ascii="Arial" w:cs="Arial" w:eastAsia="Arial" w:hAnsi="Arial"/>
          <w:sz w:val="17"/>
          <w:szCs w:val="17"/>
          <w:color w:val="auto"/>
        </w:rPr>
      </w:pPr>
    </w:p>
    <w:p>
      <w:pPr>
        <w:ind w:left="1340" w:right="460" w:hanging="387"/>
        <w:spacing w:after="0" w:line="277"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170" w:lineRule="exact"/>
        <w:rPr>
          <w:rFonts w:ascii="Arial" w:cs="Arial" w:eastAsia="Arial" w:hAnsi="Arial"/>
          <w:sz w:val="18"/>
          <w:szCs w:val="18"/>
          <w:color w:val="auto"/>
        </w:rPr>
      </w:pPr>
    </w:p>
    <w:p>
      <w:pPr>
        <w:ind w:left="1340" w:right="360" w:hanging="387"/>
        <w:spacing w:after="0" w:line="263"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184" w:lineRule="exact"/>
        <w:rPr>
          <w:sz w:val="20"/>
          <w:szCs w:val="20"/>
          <w:color w:val="auto"/>
        </w:rPr>
      </w:pPr>
    </w:p>
    <w:p>
      <w:pPr>
        <w:ind w:firstLine="802"/>
        <w:spacing w:after="0" w:line="284"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the U.S. Department of Health and Human Services, or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be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right="220"/>
        <w:spacing w:after="0" w:line="257" w:lineRule="auto"/>
        <w:rPr>
          <w:sz w:val="20"/>
          <w:szCs w:val="20"/>
          <w:color w:val="auto"/>
        </w:rPr>
      </w:pPr>
      <w:r>
        <w:rPr>
          <w:rFonts w:ascii="Arial" w:cs="Arial" w:eastAsia="Arial" w:hAnsi="Arial"/>
          <w:sz w:val="18"/>
          <w:szCs w:val="18"/>
          <w:color w:val="auto"/>
        </w:rPr>
        <w:t>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8"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We expect that additional foreign, federal and state healthcare reform measures will be adopted in the future, any of which could limit the amounts that foreign federal and state governments will pay for healthcare products and services, which could result in limited coverage and reimbursement and reduced demand for our products, if approved, or additional pricing pressures.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A decision by a third-party payor not to cover our gene therapies could reduce physician utilization of our products once approved and have a material adverse effect on our sales, results of operations and financial condition.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5" w:lineRule="exact"/>
        <w:rPr>
          <w:sz w:val="20"/>
          <w:szCs w:val="20"/>
          <w:color w:val="auto"/>
        </w:rPr>
      </w:pPr>
    </w:p>
    <w:p>
      <w:pPr>
        <w:ind w:right="440" w:firstLine="546"/>
        <w:spacing w:after="0" w:line="263" w:lineRule="auto"/>
        <w:rPr>
          <w:sz w:val="20"/>
          <w:szCs w:val="20"/>
          <w:color w:val="auto"/>
        </w:rPr>
      </w:pPr>
      <w:r>
        <w:rPr>
          <w:rFonts w:ascii="Arial" w:cs="Arial" w:eastAsia="Arial" w:hAnsi="Arial"/>
          <w:sz w:val="18"/>
          <w:szCs w:val="18"/>
          <w:color w:val="auto"/>
        </w:rPr>
        <w:t>In addition,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w:t>
      </w:r>
    </w:p>
    <w:p>
      <w:pPr>
        <w:spacing w:after="0" w:line="184"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As a result, the coverage determination process will require us to provide scientific and clinical support for the use of our products to each payor separately and will be a time-consuming process.</w:t>
      </w:r>
    </w:p>
    <w:p>
      <w:pPr>
        <w:spacing w:after="0" w:line="170" w:lineRule="exact"/>
        <w:rPr>
          <w:sz w:val="20"/>
          <w:szCs w:val="20"/>
          <w:color w:val="auto"/>
        </w:rPr>
      </w:pPr>
    </w:p>
    <w:p>
      <w:pPr>
        <w:ind w:right="240" w:firstLine="546"/>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payors do not consider a product to be cost-effective compared to other available therapies, they may not cover the product as a benefit under their plans or, if they do, the level of payment may not be sufficient to allow a company to sell its products at a profit. Factors payors consider in determining reimbursement are based on whether the product is:</w:t>
      </w:r>
    </w:p>
    <w:p>
      <w:pPr>
        <w:spacing w:after="0" w:line="70" w:lineRule="exact"/>
        <w:rPr>
          <w:sz w:val="20"/>
          <w:szCs w:val="20"/>
          <w:color w:val="auto"/>
        </w:rPr>
      </w:pPr>
    </w:p>
    <w:p>
      <w:pPr>
        <w:ind w:left="960" w:hanging="41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 w:name="page42"/>
    <w:bookmarkEnd w:id="41"/>
    <w:p>
      <w:pPr>
        <w:ind w:right="180" w:firstLine="546"/>
        <w:spacing w:after="0" w:line="254" w:lineRule="auto"/>
        <w:rPr>
          <w:sz w:val="20"/>
          <w:szCs w:val="20"/>
          <w:color w:val="auto"/>
        </w:rPr>
      </w:pPr>
      <w:r>
        <w:rPr>
          <w:rFonts w:ascii="Arial" w:cs="Arial" w:eastAsia="Arial" w:hAnsi="Arial"/>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As of December 31, 2021, we had 122 full-time employees, 30 of whom have Ph.D. or M.D. degrees. Of these full-time employees, 89 employees are engaged in research and development activities and 33 employees are engaged in finance, legal, human resources, facilities and general management. We have no collective bargaining agreements with our employees and we have not experienced any work stoppages. We consider our relationship with our employees to be good.</w:t>
      </w:r>
    </w:p>
    <w:p>
      <w:pPr>
        <w:spacing w:after="0" w:line="119" w:lineRule="exact"/>
        <w:rPr>
          <w:sz w:val="20"/>
          <w:szCs w:val="20"/>
          <w:color w:val="auto"/>
        </w:rPr>
      </w:pPr>
    </w:p>
    <w:p>
      <w:pPr>
        <w:jc w:val="both"/>
        <w:ind w:firstLine="535"/>
        <w:spacing w:after="0" w:line="286" w:lineRule="auto"/>
        <w:rPr>
          <w:sz w:val="20"/>
          <w:szCs w:val="20"/>
          <w:color w:val="auto"/>
        </w:rPr>
      </w:pPr>
      <w:r>
        <w:rPr>
          <w:rFonts w:ascii="Arial" w:cs="Arial" w:eastAsia="Arial" w:hAnsi="Arial"/>
          <w:sz w:val="17"/>
          <w:szCs w:val="17"/>
          <w:color w:val="auto"/>
        </w:rPr>
        <w:t>Our human capital resources objectives include, as applicable, retaining, incentivizing and integrating existing and new employees, and identifying and recruiting prospective new employees. The principal purposes of our incentive plans are to attract, retain and motivate selected employees, consultants and directors through the granting of stock-based compensation awards and cash-based performance bonus awards.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We are subject to the informational requirements of the Exchange Act and are required to file annual, quarterly and current reports, proxy statements and other information with the SEC. You can read our SEC filings at the SEC’s website at www.sec.gov. We also maintain a website at www.avrobio.com.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uncertainties, together with all other information in this Annual Report on Form 10-K,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Annual Report on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21" w:lineRule="exact"/>
        <w:rPr>
          <w:sz w:val="20"/>
          <w:szCs w:val="20"/>
          <w:color w:val="auto"/>
        </w:rPr>
      </w:pPr>
    </w:p>
    <w:p>
      <w:pPr>
        <w:ind w:left="560" w:right="66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firstLine="546"/>
        <w:spacing w:after="0" w:line="277" w:lineRule="auto"/>
        <w:rPr>
          <w:sz w:val="20"/>
          <w:szCs w:val="20"/>
          <w:color w:val="auto"/>
        </w:rPr>
      </w:pPr>
      <w:r>
        <w:rPr>
          <w:rFonts w:ascii="Arial" w:cs="Arial" w:eastAsia="Arial" w:hAnsi="Arial"/>
          <w:sz w:val="17"/>
          <w:szCs w:val="17"/>
          <w:color w:val="auto"/>
        </w:rPr>
        <w:t>Since inception, we have incurred net losses. We incurred net losses of $119.1 million and $119.7 million for the years ended December 31, 2021 and 2020, respectively. We historically financed our operations primarily through private placements of our preferred stock and, more recently, our initial public offering and follow-on public offerings of our common stock, as well as sales of our common stock under our “at-the-market” facility. In addition, in November 2021 we entered into the Term Loan Agreement.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68" w:lineRule="exact"/>
        <w:rPr>
          <w:sz w:val="20"/>
          <w:szCs w:val="20"/>
          <w:color w:val="auto"/>
        </w:rPr>
      </w:pPr>
    </w:p>
    <w:p>
      <w:pPr>
        <w:ind w:left="960" w:right="180" w:hanging="41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clinical trials, particularly if and as we commence and continue clinical-stage activities for our product candidates;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experience delays or interruptions in preclinical studies, clinical trials, or our supply chain due to the ongoing COVID-19 pandemic;</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960" w:right="500" w:hanging="41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960" w:right="520" w:hanging="41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and scientific personnel;</w:t>
      </w:r>
    </w:p>
    <w:p>
      <w:pPr>
        <w:spacing w:after="0" w:line="117" w:lineRule="exact"/>
        <w:rPr>
          <w:rFonts w:ascii="Arial" w:cs="Arial" w:eastAsia="Arial" w:hAnsi="Arial"/>
          <w:sz w:val="18"/>
          <w:szCs w:val="18"/>
          <w:color w:val="auto"/>
        </w:rPr>
      </w:pPr>
    </w:p>
    <w:p>
      <w:pPr>
        <w:ind w:left="960" w:right="840" w:hanging="41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to accommodate our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3" w:name="page44"/>
    <w:bookmarkEnd w:id="43"/>
    <w:p>
      <w:pPr>
        <w:ind w:left="5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right="200" w:firstLine="546"/>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960" w:right="340" w:hanging="41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960" w:right="440" w:hanging="41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960" w:right="280" w:hanging="412"/>
        <w:spacing w:after="0" w:line="342"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960" w:right="300" w:hanging="41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As of December 31, 2021, we had cash and cash equivalents of $189.6 million. We believe that our existing cash and cash equivalents as of December 31, 2021 will enable us to fund our operating expenses and capital expenditure requirements into the first quarter of 2024.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88" w:lineRule="exact"/>
        <w:rPr>
          <w:sz w:val="20"/>
          <w:szCs w:val="20"/>
          <w:color w:val="auto"/>
        </w:rPr>
      </w:pPr>
    </w:p>
    <w:p>
      <w:pPr>
        <w:ind w:right="40" w:firstLine="546"/>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Furthermore, we currently have a total of five investigational gene therapies in our pipeline, two of which are in clinical development. As a result, further development of these programs will require us to expend significant resources to advance these candidates.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4" w:name="page45"/>
    <w:bookmarkEnd w:id="44"/>
    <w:p>
      <w:pPr>
        <w:ind w:left="960" w:hanging="412"/>
        <w:spacing w:after="0" w:line="308"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laboratory testing, preclinical development and clinical trials for our current and future product candidates, including the extent of any impacts from the ongoing COVID-19 pandemic on these activities;</w:t>
      </w:r>
    </w:p>
    <w:p>
      <w:pPr>
        <w:spacing w:after="0" w:line="38" w:lineRule="exact"/>
        <w:rPr>
          <w:rFonts w:ascii="Arial" w:cs="Arial" w:eastAsia="Arial" w:hAnsi="Arial"/>
          <w:sz w:val="17"/>
          <w:szCs w:val="17"/>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60" w:right="560" w:hanging="412"/>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28" w:lineRule="exact"/>
        <w:rPr>
          <w:rFonts w:ascii="Arial" w:cs="Arial" w:eastAsia="Arial" w:hAnsi="Arial"/>
          <w:sz w:val="17"/>
          <w:szCs w:val="17"/>
          <w:color w:val="auto"/>
        </w:rPr>
      </w:pPr>
    </w:p>
    <w:p>
      <w:pPr>
        <w:ind w:left="960" w:right="360" w:hanging="412"/>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we can no longer draw $20.0 million of term loans that were contingent upon the achievement of certain milestones related to our development of AVR-RD-01 for Fabry disease.</w:t>
      </w:r>
    </w:p>
    <w:p>
      <w:pPr>
        <w:spacing w:after="0" w:line="65" w:lineRule="exact"/>
        <w:rPr>
          <w:sz w:val="20"/>
          <w:szCs w:val="20"/>
          <w:color w:val="auto"/>
        </w:rPr>
      </w:pPr>
    </w:p>
    <w:p>
      <w:pPr>
        <w:ind w:firstLine="618"/>
        <w:spacing w:after="0" w:line="255" w:lineRule="auto"/>
        <w:rPr>
          <w:sz w:val="20"/>
          <w:szCs w:val="20"/>
          <w:color w:val="auto"/>
        </w:rPr>
      </w:pPr>
      <w:r>
        <w:rPr>
          <w:rFonts w:ascii="Arial" w:cs="Arial" w:eastAsia="Arial" w:hAnsi="Arial"/>
          <w:sz w:val="18"/>
          <w:szCs w:val="18"/>
          <w:color w:val="auto"/>
        </w:rPr>
        <w:t>On November 2, 2021, we entered into the Term Loan Agreement. The Term Loan Agreement provided for term loans of up to $65.0 million in the aggregate available in three tranches, but due to the deprioritization of our Fabry program we can no longer draw $20.0 million of term loans that were contingent upon the achievement of certain milestones related to our development of AVR-RD-01 for Fabry disease. As a result, the amount that remains available to us for future drawdown, subject to satisfaction of the conditions in the Term Loan Agreement, is $30.0 million, $15.0 million of which requires the consent of the Agent and Lenders. The Term Loan Agreement contains various covenants that limit our ability to engage in specified types of transactions. These covenants limit our ability to, among other things:</w:t>
      </w:r>
    </w:p>
    <w:p>
      <w:pPr>
        <w:spacing w:after="0" w:line="84" w:lineRule="exact"/>
        <w:rPr>
          <w:sz w:val="20"/>
          <w:szCs w:val="20"/>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merge or consolidate or acquire all or substantially all of the capital stock or property of another entity;</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our organizational structure or type;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license, transfer, or dispose of certain assets;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cash dividends;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104" w:lineRule="exact"/>
        <w:rPr>
          <w:sz w:val="20"/>
          <w:szCs w:val="20"/>
          <w:color w:val="auto"/>
        </w:rPr>
      </w:pPr>
    </w:p>
    <w:p>
      <w:pPr>
        <w:ind w:firstLine="618"/>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Term Loan Agreement, the lenders could elect to declare all amounts outstanding to be immediately due and payable, proceed against the collateral in which we granted the Lenders a security interest under the Term Loan Agreement, or otherwise exercise the rights of a secured creditor. Amounts outstanding under the Term Loan Agreement are secured by all of our existing and future assets, excluding intellectual property, which is subject to a negative pledge arrangement.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firstLine="618"/>
        <w:spacing w:after="0" w:line="291" w:lineRule="auto"/>
        <w:rPr>
          <w:sz w:val="20"/>
          <w:szCs w:val="20"/>
          <w:color w:val="auto"/>
        </w:rPr>
      </w:pPr>
      <w:r>
        <w:rPr>
          <w:rFonts w:ascii="Arial" w:cs="Arial" w:eastAsia="Arial" w:hAnsi="Arial"/>
          <w:sz w:val="16"/>
          <w:szCs w:val="16"/>
          <w:color w:val="auto"/>
        </w:rPr>
        <w:t>At closing, we drew $15.0 million of the $30.0 million available to us as part of the first tranche. As executed, the Term Loan Agreement also provided the ability to access up to an additional $35.0 million, of which $20.0 million could be drawn in two additional tranches subject to the achievement of certain regulatory and clinical milestones, or the Milestone Funding, and of which $15.0 million could be drawn in an additional tranche with the approval of the Agent and the Lenders. However, as a result of the deprioritization of our Fabry disease program, we are no longer able to draw the $20.0 million of Milestone Funding per the terms of the Term Loan Agreement. Moreover, if the Agent and Lenders do not consent, we would not be able to draw down the final $15.0 million tranche of financing. If we are unable to access the final $15.0 million tranche, there can be no assurance that we will be able to obtain alternative financing to replace such tranche on commercially reasonable terms or at all, which could adversely impact our business.</w:t>
      </w:r>
    </w:p>
    <w:p>
      <w:pPr>
        <w:spacing w:after="0" w:line="31" w:lineRule="exact"/>
        <w:rPr>
          <w:sz w:val="20"/>
          <w:szCs w:val="20"/>
          <w:color w:val="auto"/>
        </w:rPr>
      </w:pPr>
    </w:p>
    <w:p>
      <w:pPr>
        <w:ind w:right="40" w:firstLine="618"/>
        <w:spacing w:after="0" w:line="259" w:lineRule="auto"/>
        <w:rPr>
          <w:sz w:val="20"/>
          <w:szCs w:val="20"/>
          <w:color w:val="auto"/>
        </w:rPr>
      </w:pPr>
      <w:r>
        <w:rPr>
          <w:rFonts w:ascii="Arial" w:cs="Arial" w:eastAsia="Arial" w:hAnsi="Arial"/>
          <w:sz w:val="18"/>
          <w:szCs w:val="18"/>
          <w:color w:val="auto"/>
        </w:rPr>
        <w:t>We may not have enough available cash to repay or refinance our indebtedness at the time any such repayment is required. In such an event, we may be required to delay, limit, reduce, or terminate our preclinical and clinical product development or grant others rights to develop and market product candidates that we would otherwise prefer to develop and market ourselves. Our business, financial condition, and results of operations could be materially adversely affected as a result.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560" w:right="480"/>
        <w:spacing w:after="0" w:line="342" w:lineRule="auto"/>
        <w:rPr>
          <w:sz w:val="20"/>
          <w:szCs w:val="20"/>
          <w:color w:val="auto"/>
        </w:rPr>
      </w:pPr>
      <w:r>
        <w:rPr>
          <w:rFonts w:ascii="Arial" w:cs="Arial" w:eastAsia="Arial" w:hAnsi="Arial"/>
          <w:sz w:val="16"/>
          <w:szCs w:val="16"/>
          <w:b w:val="1"/>
          <w:bCs w:val="1"/>
          <w:i w:val="1"/>
          <w:iCs w:val="1"/>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16"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Public health crises such as pandemics or similar outbreaks could adversely impact our business. The ongoing COVID-19 pandemic has continued to disrupt normal business operations both in and outside of affected areas and has had significant negative impacts on businesses and financial markets worldwide. We continue to monitor our operations and follow applicable government recommendations and the majority of our employees, other than our laboratory staff, have continued to work from home. Notwithstanding these measures, the evolving COVID-19 pandemic, including potential outbreaks of new variants,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 We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6" w:name="page47"/>
    <w:bookmarkEnd w:id="46"/>
    <w:p>
      <w:pPr>
        <w:ind w:right="60"/>
        <w:spacing w:after="0" w:line="277" w:lineRule="auto"/>
        <w:rPr>
          <w:sz w:val="20"/>
          <w:szCs w:val="20"/>
          <w:color w:val="auto"/>
        </w:rPr>
      </w:pPr>
      <w:r>
        <w:rPr>
          <w:rFonts w:ascii="Arial" w:cs="Arial" w:eastAsia="Arial" w:hAnsi="Arial"/>
          <w:sz w:val="18"/>
          <w:szCs w:val="18"/>
          <w:color w:val="auto"/>
        </w:rPr>
        <w:t>may experience limitations in employee resources, including because of sickness of employees or their families or the desire of employees to avoid contact with individuals or large groups of people.</w:t>
      </w:r>
    </w:p>
    <w:p>
      <w:pPr>
        <w:spacing w:after="0" w:line="170" w:lineRule="exact"/>
        <w:rPr>
          <w:sz w:val="20"/>
          <w:szCs w:val="20"/>
          <w:color w:val="auto"/>
        </w:rPr>
      </w:pPr>
    </w:p>
    <w:p>
      <w:pPr>
        <w:ind w:right="60" w:firstLine="546"/>
        <w:spacing w:after="0" w:line="290" w:lineRule="auto"/>
        <w:rPr>
          <w:sz w:val="20"/>
          <w:szCs w:val="20"/>
          <w:color w:val="auto"/>
        </w:rPr>
      </w:pPr>
      <w:r>
        <w:rPr>
          <w:rFonts w:ascii="Arial" w:cs="Arial" w:eastAsia="Arial" w:hAnsi="Arial"/>
          <w:sz w:val="16"/>
          <w:szCs w:val="16"/>
          <w:color w:val="auto"/>
        </w:rPr>
        <w:t>In addition, clinical trial activities, including patient enrollment and data collection, are dependent upon global clinical trial sites which have been and continue to be adversely affected by the ongoing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dosing of new patients began to resume in the first half of 2021, our ability to continue clinical activities without further delay or interruption will depend on future developments that are highly uncertain and cannot be accurately predicted. Additionally, while ongoing data collection has continued for our patients that have been dosed, certain data collection was previously delayed and additional delays could result from COVID-19-related interruptions, particularly as new variants of the virus are identified and continue to spread. We are currently conducting and planning to conduct clinical trials for our product candidates in geographies that have been affected by COVID-19.</w:t>
      </w:r>
    </w:p>
    <w:p>
      <w:pPr>
        <w:spacing w:after="0" w:line="165"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Additional factors from the ongoing COVID-19 pandemic that have delayed and may continue to delay or otherwise adversely affect enrollment in or the progress of the clinical trials of our product candidates, as well as our business generally, include:</w:t>
      </w:r>
    </w:p>
    <w:p>
      <w:pPr>
        <w:spacing w:after="0" w:line="62" w:lineRule="exact"/>
        <w:rPr>
          <w:sz w:val="20"/>
          <w:szCs w:val="20"/>
          <w:color w:val="auto"/>
        </w:rPr>
      </w:pPr>
    </w:p>
    <w:p>
      <w:pPr>
        <w:jc w:val="both"/>
        <w:ind w:left="960" w:right="120" w:hanging="412"/>
        <w:spacing w:after="0" w:line="263"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960" w:hanging="412"/>
        <w:spacing w:after="0" w:line="279" w:lineRule="auto"/>
        <w:tabs>
          <w:tab w:leader="none" w:pos="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63" w:lineRule="exact"/>
        <w:rPr>
          <w:rFonts w:ascii="Arial" w:cs="Arial" w:eastAsia="Arial" w:hAnsi="Arial"/>
          <w:sz w:val="17"/>
          <w:szCs w:val="17"/>
          <w:color w:val="auto"/>
        </w:rPr>
      </w:pPr>
    </w:p>
    <w:p>
      <w:pPr>
        <w:ind w:left="960" w:right="460" w:hanging="412"/>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960" w:right="20" w:hanging="412"/>
        <w:spacing w:after="0" w:line="255"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84" w:lineRule="exact"/>
        <w:rPr>
          <w:rFonts w:ascii="Arial" w:cs="Arial" w:eastAsia="Arial" w:hAnsi="Arial"/>
          <w:sz w:val="18"/>
          <w:szCs w:val="18"/>
          <w:color w:val="auto"/>
        </w:rPr>
      </w:pPr>
    </w:p>
    <w:p>
      <w:pPr>
        <w:ind w:left="960" w:right="60" w:hanging="412"/>
        <w:spacing w:after="0" w:line="342" w:lineRule="auto"/>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15" w:lineRule="exact"/>
        <w:rPr>
          <w:rFonts w:ascii="Arial" w:cs="Arial" w:eastAsia="Arial" w:hAnsi="Arial"/>
          <w:sz w:val="16"/>
          <w:szCs w:val="16"/>
          <w:color w:val="auto"/>
        </w:rPr>
      </w:pPr>
    </w:p>
    <w:p>
      <w:pPr>
        <w:ind w:left="960" w:right="280" w:hanging="412"/>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ind w:right="140" w:firstLine="546"/>
        <w:spacing w:after="0" w:line="301" w:lineRule="auto"/>
        <w:rPr>
          <w:sz w:val="20"/>
          <w:szCs w:val="20"/>
          <w:color w:val="auto"/>
        </w:rPr>
      </w:pPr>
      <w:r>
        <w:rPr>
          <w:rFonts w:ascii="Arial" w:cs="Arial" w:eastAsia="Arial" w:hAnsi="Arial"/>
          <w:sz w:val="16"/>
          <w:szCs w:val="16"/>
          <w:color w:val="auto"/>
        </w:rPr>
        <w:t>Since the beginning of the COVID-19 pandemic, three vaccines for COVID-19 have received Emergency Use Authorization by the FDA and two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57" w:lineRule="exact"/>
        <w:rPr>
          <w:sz w:val="20"/>
          <w:szCs w:val="20"/>
          <w:color w:val="auto"/>
        </w:rPr>
      </w:pPr>
    </w:p>
    <w:p>
      <w:pPr>
        <w:ind w:right="160" w:firstLine="546"/>
        <w:spacing w:after="0" w:line="273" w:lineRule="auto"/>
        <w:rPr>
          <w:sz w:val="20"/>
          <w:szCs w:val="20"/>
          <w:color w:val="auto"/>
        </w:rPr>
      </w:pPr>
      <w:r>
        <w:rPr>
          <w:rFonts w:ascii="Arial" w:cs="Arial" w:eastAsia="Arial" w:hAnsi="Arial"/>
          <w:sz w:val="17"/>
          <w:szCs w:val="17"/>
          <w:color w:val="auto"/>
        </w:rPr>
        <w:t>These and other factors arising from the ongoing COVID-19 pandemic could worsen and further adversely impact our ability to conduct clinical trials and our business generally, and could have a material adverse impact on our operations and financial condition and results. The extent to which the ongoing COVID-19 pandemic impacts our operations or those of our third party partners will depend on future developments, which are highly uncertain and cannot be predicted with confidence, including the duration of the pandemic, the efficacy and safety of vaccines, including against emerging variants, the ability of third parties to manufacture and distribute vaccines and the public’s willingness to receive such vaccines, and new information that may emerge concerning mutations of the coronavirus that causes COVID-19, among others.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left="560" w:right="24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firstLine="546"/>
        <w:spacing w:after="0" w:line="285"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ongoing COVID-19 pandemic, especially if a resurgence of cases occurs. In addition, the implementation of our plato platform and upgrades, including our current conditioning regimen or any conditioning regimen we implement in the future,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as of March 1, 2022 we have only dosed nine patients using our plato platform, which includes six patients in our FAB-GT clinical trial for which we have halted enrollment.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lentiviral gene therapy.</w:t>
      </w:r>
    </w:p>
    <w:p>
      <w:pPr>
        <w:spacing w:after="0" w:line="176" w:lineRule="exact"/>
        <w:rPr>
          <w:sz w:val="20"/>
          <w:szCs w:val="20"/>
          <w:color w:val="auto"/>
        </w:rPr>
      </w:pPr>
    </w:p>
    <w:p>
      <w:pPr>
        <w:ind w:right="100" w:firstLine="546"/>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Europe, Japan or other major markets or how long it will take to commercialize our product candidates, if any are approved. Approvals by foreign regulatory authorities may not be indicative of what the FDA may require for approval, and vice versa.</w:t>
      </w:r>
    </w:p>
    <w:p>
      <w:pPr>
        <w:spacing w:after="0" w:line="166"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Before a clinical trial can begin at any institution, that institution’s review board, or IRB, ant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79"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57" w:lineRule="exact"/>
        <w:rPr>
          <w:sz w:val="20"/>
          <w:szCs w:val="20"/>
          <w:color w:val="auto"/>
        </w:rPr>
      </w:pPr>
    </w:p>
    <w:p>
      <w:pPr>
        <w:ind w:right="340" w:firstLine="546"/>
        <w:spacing w:after="0" w:line="259" w:lineRule="auto"/>
        <w:rPr>
          <w:sz w:val="20"/>
          <w:szCs w:val="20"/>
          <w:color w:val="auto"/>
        </w:rPr>
      </w:pPr>
      <w:r>
        <w:rPr>
          <w:rFonts w:ascii="Arial" w:cs="Arial" w:eastAsia="Arial" w:hAnsi="Arial"/>
          <w:sz w:val="18"/>
          <w:szCs w:val="18"/>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8" w:name="page49"/>
    <w:bookmarkEnd w:id="48"/>
    <w:p>
      <w:pPr>
        <w:ind w:right="80"/>
        <w:spacing w:after="0" w:line="257" w:lineRule="auto"/>
        <w:rPr>
          <w:sz w:val="20"/>
          <w:szCs w:val="20"/>
          <w:color w:val="auto"/>
        </w:rPr>
      </w:pPr>
      <w:r>
        <w:rPr>
          <w:rFonts w:ascii="Arial" w:cs="Arial" w:eastAsia="Arial" w:hAnsi="Arial"/>
          <w:sz w:val="18"/>
          <w:szCs w:val="18"/>
          <w:color w:val="auto"/>
        </w:rPr>
        <w:t>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88" w:lineRule="exact"/>
        <w:rPr>
          <w:sz w:val="20"/>
          <w:szCs w:val="20"/>
          <w:color w:val="auto"/>
        </w:rPr>
      </w:pPr>
    </w:p>
    <w:p>
      <w:pPr>
        <w:ind w:right="120" w:firstLine="546"/>
        <w:spacing w:after="0" w:line="254" w:lineRule="auto"/>
        <w:rPr>
          <w:sz w:val="20"/>
          <w:szCs w:val="20"/>
          <w:color w:val="auto"/>
        </w:rPr>
      </w:pPr>
      <w:r>
        <w:rPr>
          <w:rFonts w:ascii="Arial" w:cs="Arial" w:eastAsia="Arial" w:hAnsi="Arial"/>
          <w:sz w:val="18"/>
          <w:szCs w:val="18"/>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 impact on our gene therapy candidates or the duration or expense of any applicable regulatory development and review processes.</w:t>
      </w:r>
    </w:p>
    <w:p>
      <w:pPr>
        <w:spacing w:after="0" w:line="303" w:lineRule="exact"/>
        <w:rPr>
          <w:sz w:val="20"/>
          <w:szCs w:val="20"/>
          <w:color w:val="auto"/>
        </w:rPr>
      </w:pPr>
    </w:p>
    <w:p>
      <w:pPr>
        <w:jc w:val="both"/>
        <w:ind w:left="560" w:right="160"/>
        <w:spacing w:after="0" w:line="263"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6"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the Company’s investigational therapies, such as through expanded or Right to Try access, may lead to discovery of undesirable side effects that could have adverse effects on the development programs for current and future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the development of the product candidate may fail or be delayed, or, if the product candidate has received regulatory approval, such approval may be revoked or limited.</w:t>
      </w:r>
    </w:p>
    <w:p>
      <w:pPr>
        <w:spacing w:after="0" w:line="168" w:lineRule="exact"/>
        <w:rPr>
          <w:sz w:val="20"/>
          <w:szCs w:val="20"/>
          <w:color w:val="auto"/>
        </w:rPr>
      </w:pPr>
    </w:p>
    <w:p>
      <w:pPr>
        <w:ind w:right="20" w:firstLine="546"/>
        <w:spacing w:after="0" w:line="268" w:lineRule="auto"/>
        <w:rPr>
          <w:sz w:val="20"/>
          <w:szCs w:val="20"/>
          <w:color w:val="auto"/>
        </w:rPr>
      </w:pPr>
      <w:r>
        <w:rPr>
          <w:rFonts w:ascii="Arial" w:cs="Arial" w:eastAsia="Arial" w:hAnsi="Arial"/>
          <w:sz w:val="17"/>
          <w:szCs w:val="17"/>
          <w:color w:val="auto"/>
        </w:rPr>
        <w:t xml:space="preserve">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oncogenesis by the vectors, leading to malignant transformation of transduced cells. As more patients are dosed with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therapies and higher VCNs are achieved, it is expected that very rare cases of insertional oncogenesis may occur. For example, several patients with cerebral adrenoleukodystrophy treated in a third-party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clinical trial have been diagnosed with treatment-related myelodysplastic syndrome, with one case being deemed likely mediated by insertion of the lentiviral vector. In addition, persistent dominant clonal expansion due to vector integration has been observed in third-party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clinical trials. While our lentiviral gene therapy approach is designed to avoid immunogenicity against the drug product after administration, there can be no assurance that patients would not create antibodies that may impair treatment. In addition, although in the future we may potentially implement molecular cytogenetic screening, there can be no assurance that we will successfully implement such screening procedures in a timely manner or at all, or that, if implemented, they will enhance the safety profile of our gene therapy product candidates. If any of our gene therapy product candidates demonstrates adverse side effects at unacceptable rates or degrees of severity, we may decide or be required to halt or delay clinical development of such product candidates.</w:t>
      </w:r>
    </w:p>
    <w:p>
      <w:pPr>
        <w:spacing w:after="0" w:line="182"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9" w:name="page50"/>
    <w:bookmarkEnd w:id="49"/>
    <w:p>
      <w:pPr>
        <w:ind w:right="140"/>
        <w:spacing w:after="0" w:line="263" w:lineRule="auto"/>
        <w:rPr>
          <w:sz w:val="20"/>
          <w:szCs w:val="20"/>
          <w:color w:val="auto"/>
        </w:rPr>
      </w:pPr>
      <w:r>
        <w:rPr>
          <w:rFonts w:ascii="Arial" w:cs="Arial" w:eastAsia="Arial" w:hAnsi="Arial"/>
          <w:sz w:val="18"/>
          <w:szCs w:val="18"/>
          <w:color w:val="auto"/>
        </w:rPr>
        <w:t>from the bone marrow to create sufficient space in the bone marrow for the modified gene-corrected stem cells to engraft and produce their progeny. This procedure causes side effects and can transiently compromise the patient’s immune system, known as neutropenia, and reduce blood clotting, known as thrombocytopenia.</w:t>
      </w:r>
    </w:p>
    <w:p>
      <w:pPr>
        <w:spacing w:after="0" w:line="184" w:lineRule="exact"/>
        <w:rPr>
          <w:sz w:val="20"/>
          <w:szCs w:val="20"/>
          <w:color w:val="auto"/>
        </w:rPr>
      </w:pPr>
    </w:p>
    <w:p>
      <w:pPr>
        <w:ind w:firstLine="546"/>
        <w:spacing w:after="0" w:line="267" w:lineRule="auto"/>
        <w:rPr>
          <w:sz w:val="20"/>
          <w:szCs w:val="20"/>
          <w:color w:val="auto"/>
        </w:rPr>
      </w:pPr>
      <w:r>
        <w:rPr>
          <w:rFonts w:ascii="Arial" w:cs="Arial" w:eastAsia="Arial" w:hAnsi="Arial"/>
          <w:sz w:val="17"/>
          <w:szCs w:val="17"/>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a precision dosing program, TCI, to achieve a balance between the removal of a sufficient amount of bone marrow cells from a patient against potential risks such as toxicity or graft failure. In addition, we are evaluating the potential future use of alternative conditioning agents in lieu of the current busulfan TCI conditioning regimen. For example, we have entered into collaboration agreements with Jasper Therapeutics and Magenta Therapeutics and are currently evaluating the potential use of their respective monoclonal antibody conditioning agents. We are also evaluating the potential use of additional agents to tailor the conditioning regimen for certain disease indications. However, there can be no assurances these alternative conditioning regimens will be implemented or would be successful if implemented. Our conditioning regimens may not be successful or may nevertheless result in adverse side effects. For example, in each of our ongoing clinical trials several adverse events, including suppression of neutrophils and platelet counts following the conditioning process, have been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our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Although in the future we may potentially implement molecular cytogenetic screening as an additional risk reduction measure, there can be no guarantees that these procedures will be implemented in a timely manner or would be successful if implemented. Even if we are able to demonstrate that adverse events are not product-related, such occurrences could adversely affect patient recruitment or the ability of enrolled patients to complete the clinical trial, and lead to a decline in our stock price.</w:t>
      </w:r>
    </w:p>
    <w:p>
      <w:pPr>
        <w:spacing w:after="0" w:line="190" w:lineRule="exact"/>
        <w:rPr>
          <w:sz w:val="20"/>
          <w:szCs w:val="20"/>
          <w:color w:val="auto"/>
        </w:rPr>
      </w:pPr>
    </w:p>
    <w:p>
      <w:pPr>
        <w:ind w:right="300" w:firstLine="546"/>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spacing w:after="0" w:line="80" w:lineRule="exact"/>
        <w:rPr>
          <w:sz w:val="20"/>
          <w:szCs w:val="20"/>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40" w:firstLine="54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lead to a decline in our stock price, and significantly harm our business, prospects, financial condition and results of operations.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have never completed a pivotal or registrational clinical trial, and may be unable to do so for any product candidates we may develop.</w:t>
      </w:r>
    </w:p>
    <w:p>
      <w:pPr>
        <w:spacing w:after="0" w:line="140"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We are at an early stage of development for all of our product candidates. As of the date of this Annual Report, only 21 patients have been dosed in our clinical trials, which includes 14 patients from our Fabry program that we deprioritized in January 2022. Our ongoing clinical trials, as well as potentially additional pivotal clinical trials (also referred to as registrational trials), must be completed in order to obtain FDA or other regulatory approval to market these product candidates. We have limited experience in preparing, submitting and prosecuting regulatory filings, and have not previously submitted a biologics license application, or BLA, for any product candidate. Carrying out later-stage clinical trials is a complicated and lengthy process, and we do not expect that all data from patients participating in the clinical trials will be relevant or meaningful.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0" w:name="page51"/>
    <w:bookmarkEnd w:id="50"/>
    <w:p>
      <w:pPr>
        <w:ind w:right="40" w:firstLine="546"/>
        <w:spacing w:after="0" w:line="269" w:lineRule="auto"/>
        <w:rPr>
          <w:sz w:val="20"/>
          <w:szCs w:val="20"/>
          <w:color w:val="auto"/>
        </w:rPr>
      </w:pPr>
      <w:r>
        <w:rPr>
          <w:rFonts w:ascii="Arial" w:cs="Arial" w:eastAsia="Arial" w:hAnsi="Arial"/>
          <w:sz w:val="17"/>
          <w:szCs w:val="17"/>
          <w:color w:val="auto"/>
        </w:rPr>
        <w:t>In addition, across our Company-sponsored clinical trials we have dosed only two patients in the United States, and our interactions with the FDA have generally been limited. We cannot be certain how many additional clinical trials of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AVR-RD-02 and AVR-RD-04, and the sponsor of the collaborator-led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any of our product candidates.</w:t>
      </w:r>
    </w:p>
    <w:p>
      <w:pPr>
        <w:spacing w:after="0" w:line="179"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The ongoing Phase 1/2 clinical trial of AVR-RD-04 is being conducted by our collaborators at the University of California, San Diego. In addition, the planned Phase 1/2 clinical trial of AVR-RD-05 will be an investigator-sponsored trial conducted by our collaborators at The University of Manchester.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right="40" w:firstLine="546"/>
        <w:spacing w:after="0" w:line="285" w:lineRule="auto"/>
        <w:rPr>
          <w:sz w:val="20"/>
          <w:szCs w:val="20"/>
          <w:color w:val="auto"/>
        </w:rPr>
      </w:pPr>
      <w:r>
        <w:rPr>
          <w:rFonts w:ascii="Arial" w:cs="Arial" w:eastAsia="Arial" w:hAnsi="Arial"/>
          <w:sz w:val="16"/>
          <w:szCs w:val="16"/>
          <w:color w:val="auto"/>
        </w:rPr>
        <w:t xml:space="preserve">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For example, in January 2022 we announced the deprioritization of our Fabry program due to several factors, including new clinical data showing variable engraftment patterns from the five most recently dosed Phase 2 FAB-GT patients. Although previously reported data from 13 patients treated across our clinical-stage programs had shown durable engraftment out 9 to 54 months, the new data from the five most recently dosed Phase 2 FAB-GT patients were discordant with these other data and showed variable engraftment. Data from three of the five patients showed both a reduction to near baseline levels in alpha-galactosidase A enzyme activity in leukocytes and plasma, and a reduction in vector copy number in whole blood, potentially suggesting resistance to persistent engraftment of the genetically modified cells observed at three to nine months post infusion of AVR-RD-01. Based on our internal assessment, we believe, due to the large degree of heterogeneity in Fabry disease, that in some cases there may be intrinsic resistance to engraftment related to the unique underlying pathophysiology of untreated Fabry disease, potentially caused by the persistently stressed vascular endothelium. However, while this belief is based on a thorough review and analysis conducted by the Company, it remains a hypothesis and there can be no assurances that similar engraftment or other issues will not occur in clinical trials of our other product candidates, which are all based on our technology and the same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 approach utilized for AVR-RD-01. For example, although we believe the variable engraftment data were caused by factors intrinsic to certain Fabry disease patients and we do not anticipate readthrough to other clinical trials, if the variable engraftment data were actually caused, directly or indirectly, by any other factors, including any aspect of our plato platform or the conditioning process, we could see similar issues in other clinical trials.</w:t>
      </w:r>
    </w:p>
    <w:p>
      <w:pPr>
        <w:spacing w:after="0" w:line="284" w:lineRule="exact"/>
        <w:rPr>
          <w:sz w:val="20"/>
          <w:szCs w:val="20"/>
          <w:color w:val="auto"/>
        </w:rPr>
      </w:pPr>
    </w:p>
    <w:p>
      <w:pPr>
        <w:ind w:right="300" w:firstLine="546"/>
        <w:spacing w:after="0" w:line="259" w:lineRule="auto"/>
        <w:rPr>
          <w:sz w:val="20"/>
          <w:szCs w:val="20"/>
          <w:color w:val="auto"/>
        </w:rPr>
      </w:pPr>
      <w:r>
        <w:rPr>
          <w:rFonts w:ascii="Arial" w:cs="Arial" w:eastAsia="Arial" w:hAnsi="Arial"/>
          <w:sz w:val="18"/>
          <w:szCs w:val="18"/>
          <w:color w:val="auto"/>
        </w:rPr>
        <w:t>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ind w:right="200"/>
        <w:spacing w:after="0" w:line="263" w:lineRule="auto"/>
        <w:rPr>
          <w:sz w:val="20"/>
          <w:szCs w:val="20"/>
          <w:color w:val="auto"/>
        </w:rPr>
      </w:pPr>
      <w:r>
        <w:rPr>
          <w:rFonts w:ascii="Arial" w:cs="Arial" w:eastAsia="Arial" w:hAnsi="Arial"/>
          <w:sz w:val="18"/>
          <w:szCs w:val="18"/>
          <w:color w:val="auto"/>
        </w:rPr>
        <w:t>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w:t>
      </w:r>
    </w:p>
    <w:p>
      <w:pPr>
        <w:spacing w:after="0" w:line="184" w:lineRule="exact"/>
        <w:rPr>
          <w:sz w:val="20"/>
          <w:szCs w:val="20"/>
          <w:color w:val="auto"/>
        </w:rPr>
      </w:pPr>
    </w:p>
    <w:p>
      <w:pPr>
        <w:jc w:val="both"/>
        <w:ind w:right="20" w:firstLine="546"/>
        <w:spacing w:after="0" w:line="311" w:lineRule="auto"/>
        <w:rPr>
          <w:sz w:val="20"/>
          <w:szCs w:val="20"/>
          <w:color w:val="auto"/>
        </w:rPr>
      </w:pPr>
      <w:r>
        <w:rPr>
          <w:rFonts w:ascii="Arial" w:cs="Arial" w:eastAsia="Arial" w:hAnsi="Arial"/>
          <w:sz w:val="16"/>
          <w:szCs w:val="16"/>
          <w:color w:val="auto"/>
        </w:rPr>
        <w:t>We also may experience regulatory delays or rejections as a result of many factors, including due to changes in regulatory policy or the approval of competitive therapies during the period of our product candidate development. Any of our current or future product candidates may fail to show the desired safety and efficacy in clinical development despite positive results in preclinical studies. Any such failure would cause us to abandon the product candidate.</w:t>
      </w:r>
    </w:p>
    <w:p>
      <w:pPr>
        <w:spacing w:after="0" w:line="149"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Because our clinical trials are ongoing, the data that we report are preliminary and subject to change. As is typical in open-label studies in which interim reports are provided, the safety and efficacy data are regularly reviewed and validated. As a result, certain data may change over time, including reductions or increases in the number of reported safety events, until the database is locked at the end of the study.</w:t>
      </w:r>
    </w:p>
    <w:p>
      <w:pPr>
        <w:spacing w:after="0" w:line="287"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right="60" w:firstLine="546"/>
        <w:spacing w:after="0" w:line="288" w:lineRule="auto"/>
        <w:rPr>
          <w:sz w:val="20"/>
          <w:szCs w:val="20"/>
          <w:color w:val="auto"/>
        </w:rPr>
      </w:pPr>
      <w:r>
        <w:rPr>
          <w:rFonts w:ascii="Arial" w:cs="Arial" w:eastAsia="Arial" w:hAnsi="Arial"/>
          <w:sz w:val="16"/>
          <w:szCs w:val="16"/>
          <w:color w:val="auto"/>
        </w:rPr>
        <w:t>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ongoing clinical trials and certain data collection has been delayed. While patient enrollment and dosing activities have begun to resume, there could be additional pauses in the future as a result of the ongoing COVID-19 pandemic or other factors.</w:t>
      </w:r>
    </w:p>
    <w:p>
      <w:pPr>
        <w:spacing w:after="0" w:line="168"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We may not be able to identify, recruit and enroll a sufficient number of patients, or those with required or desired characteristics, to complete our clinical trials in a timely manner or at all. Although we currently expect to have enrolled by the end of 2022 up to a total of eight patients in our Company-sponsored clinical trial of AVR-RD-02 for Gaucher disease type 1, which we refer to as the Guard1 clinical trial, there can be no assurances we will achieve that goal or any of our other patient enrollment goals. For example, in 2019 we encountered delays in the enrollment of patients in the Guard1 clinical trial due to patient pre-screening failures that impacted the commencement of enrollment. Additionally, as a result of the COVID-19 pandemic, in 2020 we encountered protracted timelines with our Guard1 investigational site startup activities, which also impacted patient enrollment.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7" w:lineRule="exact"/>
        <w:rPr>
          <w:sz w:val="20"/>
          <w:szCs w:val="20"/>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960" w:right="420" w:hanging="412"/>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160" w:firstLine="546"/>
        <w:spacing w:after="0" w:line="253" w:lineRule="auto"/>
        <w:rPr>
          <w:sz w:val="20"/>
          <w:szCs w:val="20"/>
          <w:color w:val="auto"/>
        </w:rPr>
      </w:pPr>
      <w:r>
        <w:rPr>
          <w:rFonts w:ascii="Arial" w:cs="Arial" w:eastAsia="Arial" w:hAnsi="Arial"/>
          <w:sz w:val="18"/>
          <w:szCs w:val="18"/>
          <w:color w:val="auto"/>
        </w:rPr>
        <w:t>We have expanded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spacing w:after="0" w:line="196"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960" w:hanging="412"/>
        <w:spacing w:after="0"/>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difficulty in establishing or managing relationships with contract research organizations, or CROs, clinical study sites and physicians;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960" w:right="200" w:hanging="41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jc w:val="both"/>
        <w:ind w:right="420" w:firstLine="546"/>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ind w:left="560" w:right="4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right="100" w:firstLine="546"/>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firstLine="546"/>
        <w:spacing w:after="0" w:line="284"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CTA (including amendments) and IND for our Guard1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we expect that the FDA, Health Canada or other regulatory authorities will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collaborator-sponsored clinical study of AVR-RD-04 for cystinosis in the United States, which has been cleared by the FDA, does not include our LV2 lentiviral vector or our automated manufacturing platform. Additionally, the study drug for the planned investigator-sponsored clinical study of AVR-RD-05 for Hunter syndrome will not be manufactured using our plato platform, and neither the automated, closed manufacturing system nor LV2 will be used in connection with this clinical trial. Moreover, we are currently evaluating the implementation of an additional, new conditioning regimen that utilizes conditioning agents other than busulfan. We anticipate that we will be required to submit comparability data in future regulatory filings relating to our transition to LV2, the automated manufacturing platform and any new conditioning regiment that we implement.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left="56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103" w:lineRule="exact"/>
        <w:rPr>
          <w:sz w:val="20"/>
          <w:szCs w:val="20"/>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700" w:firstLine="54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8" w:lineRule="exact"/>
        <w:rPr>
          <w:sz w:val="20"/>
          <w:szCs w:val="20"/>
          <w:color w:val="auto"/>
        </w:rPr>
      </w:pPr>
    </w:p>
    <w:p>
      <w:pPr>
        <w:ind w:left="560" w:right="84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38"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Only one of our ongoing clinical trials utilizes our commercial-scale plato platform.</w:t>
      </w:r>
    </w:p>
    <w:p>
      <w:pPr>
        <w:spacing w:after="0" w:line="117"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While we have submitted and intend to continue to submit comparability studies to the FDA and other regulatory agencies, as needed, with respect to our implementation of our commercial-scale plato platform,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We intend to continue implementing our commercial-scale plato platform, including heightened vector efficiency, our closed, automated manufacturing system and utilization of a customized conditioning regimen, in connection with each of our 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5" w:name="page56"/>
    <w:bookmarkEnd w:id="55"/>
    <w:p>
      <w:pPr>
        <w:ind w:left="560" w:right="40"/>
        <w:spacing w:after="0" w:line="311" w:lineRule="auto"/>
        <w:rPr>
          <w:sz w:val="20"/>
          <w:szCs w:val="20"/>
          <w:color w:val="auto"/>
        </w:rPr>
      </w:pPr>
      <w:r>
        <w:rPr>
          <w:rFonts w:ascii="Arial" w:cs="Arial" w:eastAsia="Arial" w:hAnsi="Arial"/>
          <w:sz w:val="16"/>
          <w:szCs w:val="16"/>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41"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61" w:lineRule="exact"/>
        <w:rPr>
          <w:sz w:val="20"/>
          <w:szCs w:val="20"/>
          <w:color w:val="auto"/>
        </w:rPr>
      </w:pPr>
    </w:p>
    <w:p>
      <w:pPr>
        <w:ind w:right="80" w:firstLine="546"/>
        <w:spacing w:after="0" w:line="271" w:lineRule="auto"/>
        <w:rPr>
          <w:sz w:val="20"/>
          <w:szCs w:val="20"/>
          <w:color w:val="auto"/>
        </w:rPr>
      </w:pPr>
      <w:r>
        <w:rPr>
          <w:rFonts w:ascii="Arial" w:cs="Arial" w:eastAsia="Arial" w:hAnsi="Arial"/>
          <w:sz w:val="17"/>
          <w:szCs w:val="17"/>
          <w:color w:val="auto"/>
        </w:rPr>
        <w:t>We anticipate competing with the largest pharmaceutical companies in the world. For example, for Gaucher disease, Sanofi Genzyme, Pfizer, and Shire, acquired by Takeda Pharmaceutical Company Ltd., market existing enzyme replacement therapies, or ERTs, that represent the standard of care for Gaucher patients. For Gaucher disease we also expect to compete with oral therapies marketed by Actelion and Sanofi. Sanofi also markets an enzyme replacement therapy for Pompe disease, and Shire markets an enzyme replacement therapy for Hunter syndrome. Cystinosis is currently treated by therapies marketed by Horizon Orphan, Mylan, Chiesi, Recordati, Orphan Europe and Leadiant Biosciences. In addition, we may compete with other gene therapy companies in our industry such as Freeline Therapeutics, Generation Bio, Prevail Therapeutics or Graphite Bio. In particular, a number of gene therapy companies have announced preclinical or clinical non-viral and adeno-associated viral based gene therapy programs that, if successful in obtaining regulatory approval, could compete with our gene therapies.</w:t>
      </w:r>
    </w:p>
    <w:p>
      <w:pPr>
        <w:spacing w:after="0" w:line="178" w:lineRule="exact"/>
        <w:rPr>
          <w:sz w:val="20"/>
          <w:szCs w:val="20"/>
          <w:color w:val="auto"/>
        </w:rPr>
      </w:pPr>
    </w:p>
    <w:p>
      <w:pPr>
        <w:jc w:val="both"/>
        <w:ind w:right="120" w:firstLine="546"/>
        <w:spacing w:after="0" w:line="287"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8"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79" w:lineRule="exact"/>
        <w:rPr>
          <w:sz w:val="20"/>
          <w:szCs w:val="20"/>
          <w:color w:val="auto"/>
        </w:rPr>
      </w:pPr>
    </w:p>
    <w:p>
      <w:pPr>
        <w:ind w:left="560" w:right="100"/>
        <w:spacing w:after="0" w:line="279"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63" w:lineRule="exact"/>
        <w:rPr>
          <w:sz w:val="20"/>
          <w:szCs w:val="20"/>
          <w:color w:val="auto"/>
        </w:rPr>
      </w:pPr>
    </w:p>
    <w:p>
      <w:pPr>
        <w:ind w:right="180" w:firstLine="546"/>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ind w:right="60"/>
        <w:spacing w:after="0" w:line="290" w:lineRule="auto"/>
        <w:rPr>
          <w:sz w:val="20"/>
          <w:szCs w:val="20"/>
          <w:color w:val="auto"/>
        </w:rPr>
      </w:pPr>
      <w:r>
        <w:rPr>
          <w:rFonts w:ascii="Arial" w:cs="Arial" w:eastAsia="Arial" w:hAnsi="Arial"/>
          <w:sz w:val="16"/>
          <w:szCs w:val="16"/>
          <w:color w:val="auto"/>
        </w:rPr>
        <w:t>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65" w:lineRule="exact"/>
        <w:rPr>
          <w:sz w:val="20"/>
          <w:szCs w:val="20"/>
          <w:color w:val="auto"/>
        </w:rPr>
      </w:pPr>
    </w:p>
    <w:p>
      <w:pPr>
        <w:ind w:right="80" w:firstLine="546"/>
        <w:spacing w:after="0" w:line="271"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In July 2021 we received Fast Track Designation from the FDA for AVR-RD-04 for the treatment of cystinosis to improve renal function. However, the FDA has broad discretion whether or not to grant this designation, so even if we believe another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288" w:lineRule="exact"/>
        <w:rPr>
          <w:sz w:val="20"/>
          <w:szCs w:val="20"/>
          <w:color w:val="auto"/>
        </w:rPr>
      </w:pPr>
    </w:p>
    <w:p>
      <w:pPr>
        <w:ind w:left="560" w:right="6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right="20" w:firstLine="546"/>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80" w:firstLine="546"/>
        <w:spacing w:after="0" w:line="290" w:lineRule="auto"/>
        <w:rPr>
          <w:sz w:val="20"/>
          <w:szCs w:val="20"/>
          <w:color w:val="auto"/>
        </w:rPr>
      </w:pPr>
      <w:r>
        <w:rPr>
          <w:rFonts w:ascii="Arial" w:cs="Arial" w:eastAsia="Arial" w:hAnsi="Arial"/>
          <w:sz w:val="16"/>
          <w:szCs w:val="16"/>
          <w:color w:val="auto"/>
        </w:rPr>
        <w:t>In October 2019 and March 2020, the FDA granted our requests for orphan drug designation for AVR-RD-02 for the treatment of Gaucher disease and AVR-RD-04 for the treatment of cystinosis, respectively. In September 2020 and March 2021 we announced that the European Commission granted our request for orphan drug designation for AVR-RD-02 for the treatment of Gaucher disease and AVR-RD-04 for the treatment of cystinosis, respectively. However, if we request orphan drug designation (or the foreign equivalent) for any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65" w:lineRule="exact"/>
        <w:rPr>
          <w:sz w:val="20"/>
          <w:szCs w:val="20"/>
          <w:color w:val="auto"/>
        </w:rPr>
      </w:pPr>
    </w:p>
    <w:p>
      <w:pPr>
        <w:ind w:right="100" w:firstLine="546"/>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nine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1"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0" w:lineRule="exact"/>
        <w:rPr>
          <w:sz w:val="20"/>
          <w:szCs w:val="20"/>
          <w:color w:val="auto"/>
        </w:rPr>
      </w:pPr>
    </w:p>
    <w:p>
      <w:pPr>
        <w:ind w:left="960" w:right="540" w:hanging="41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960" w:right="300" w:hanging="41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6" w:lineRule="exact"/>
        <w:rPr>
          <w:sz w:val="20"/>
          <w:szCs w:val="20"/>
          <w:color w:val="auto"/>
        </w:rPr>
      </w:pPr>
    </w:p>
    <w:p>
      <w:pPr>
        <w:jc w:val="both"/>
        <w:ind w:right="20" w:firstLine="546"/>
        <w:spacing w:after="0" w:line="301" w:lineRule="auto"/>
        <w:rPr>
          <w:sz w:val="20"/>
          <w:szCs w:val="20"/>
          <w:color w:val="auto"/>
        </w:rPr>
      </w:pPr>
      <w:r>
        <w:rPr>
          <w:rFonts w:ascii="Arial" w:cs="Arial" w:eastAsia="Arial" w:hAnsi="Arial"/>
          <w:sz w:val="16"/>
          <w:szCs w:val="16"/>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manufacturing procedures conform to cGMP regulations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340"/>
        <w:spacing w:after="0" w:line="279" w:lineRule="auto"/>
        <w:rPr>
          <w:sz w:val="20"/>
          <w:szCs w:val="20"/>
          <w:color w:val="auto"/>
        </w:rPr>
      </w:pPr>
      <w:r>
        <w:rPr>
          <w:rFonts w:ascii="Arial" w:cs="Arial" w:eastAsia="Arial" w:hAnsi="Arial"/>
          <w:sz w:val="17"/>
          <w:szCs w:val="17"/>
          <w:color w:val="auto"/>
        </w:rPr>
        <w:t>applicable product tracking and tracing requirements.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29" w:lineRule="exact"/>
        <w:rPr>
          <w:sz w:val="20"/>
          <w:szCs w:val="20"/>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960" w:right="20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66"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In addition, certain of our current or future product candidates may not demonstrate in patients any or all of the pharmacological benefits we believe they may possess or compare favorably to existing, approved therapies, such as ERT.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440"/>
        <w:spacing w:after="0" w:line="263" w:lineRule="auto"/>
        <w:rPr>
          <w:sz w:val="20"/>
          <w:szCs w:val="20"/>
          <w:color w:val="auto"/>
        </w:rPr>
      </w:pPr>
      <w:r>
        <w:rPr>
          <w:rFonts w:ascii="Arial" w:cs="Arial" w:eastAsia="Arial" w:hAnsi="Arial"/>
          <w:sz w:val="18"/>
          <w:szCs w:val="18"/>
          <w:color w:val="auto"/>
        </w:rPr>
        <w:t>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84" w:lineRule="exact"/>
        <w:rPr>
          <w:sz w:val="20"/>
          <w:szCs w:val="20"/>
          <w:color w:val="auto"/>
        </w:rPr>
      </w:pPr>
    </w:p>
    <w:p>
      <w:pPr>
        <w:ind w:right="520" w:firstLine="546"/>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left="560" w:right="7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220" w:firstLine="546"/>
        <w:spacing w:after="0" w:line="286" w:lineRule="auto"/>
        <w:rPr>
          <w:sz w:val="20"/>
          <w:szCs w:val="20"/>
          <w:color w:val="auto"/>
        </w:rPr>
      </w:pPr>
      <w:r>
        <w:rPr>
          <w:rFonts w:ascii="Arial" w:cs="Arial" w:eastAsia="Arial" w:hAnsi="Arial"/>
          <w:sz w:val="17"/>
          <w:szCs w:val="17"/>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65"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8"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60" w:right="5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Any of these third parties may terminate their engagements with us or renegotiate the terms of our agreements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0" w:name="page61"/>
    <w:bookmarkEnd w:id="60"/>
    <w:p>
      <w:pPr>
        <w:ind w:right="100" w:firstLine="546"/>
        <w:spacing w:after="0" w:line="289"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will not be available.</w:t>
      </w:r>
    </w:p>
    <w:p>
      <w:pPr>
        <w:spacing w:after="0" w:line="166" w:lineRule="exact"/>
        <w:rPr>
          <w:sz w:val="20"/>
          <w:szCs w:val="20"/>
          <w:color w:val="auto"/>
        </w:rPr>
      </w:pPr>
    </w:p>
    <w:p>
      <w:pPr>
        <w:ind w:right="700" w:firstLine="546"/>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62" w:lineRule="exact"/>
        <w:rPr>
          <w:sz w:val="20"/>
          <w:szCs w:val="20"/>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960" w:right="560" w:hanging="412"/>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0"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92" w:lineRule="exact"/>
        <w:rPr>
          <w:sz w:val="20"/>
          <w:szCs w:val="20"/>
          <w:color w:val="auto"/>
        </w:rPr>
      </w:pPr>
    </w:p>
    <w:p>
      <w:pPr>
        <w:ind w:left="560" w:right="60"/>
        <w:spacing w:after="0" w:line="340" w:lineRule="auto"/>
        <w:rPr>
          <w:sz w:val="20"/>
          <w:szCs w:val="20"/>
          <w:color w:val="auto"/>
        </w:rPr>
      </w:pPr>
      <w:r>
        <w:rPr>
          <w:rFonts w:ascii="Arial" w:cs="Arial" w:eastAsia="Arial" w:hAnsi="Arial"/>
          <w:sz w:val="15"/>
          <w:szCs w:val="15"/>
          <w:b w:val="1"/>
          <w:bCs w:val="1"/>
          <w:i w:val="1"/>
          <w:iCs w:val="1"/>
          <w:color w:val="auto"/>
        </w:rPr>
        <w:t>We currently rely, and expect to continue to rely, on sole source suppliers for our automated, closed cell processing system; vector supply; plasmid supply; and cell culture media supply, and we plan to rely on a sole source supplier of drug product manufacturing. In addition, we are dependent on a limited number of suppliers for some of our other components and materials used in our product candidates.</w:t>
      </w:r>
    </w:p>
    <w:p>
      <w:pPr>
        <w:spacing w:after="0" w:line="23"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 xml:space="preserve">We have moved our cell processing to an automated, closed system with a sole source supplier. In addition, we currently rely, and expect to continue to rely, on sole source suppliers for vector supply, plasmid supply and cell culture media, and we are planning to rely on a sole source supplier of drug product for our Company-sponsored clinical trials. Our sole source suppliers may be unwilling or unable to supply product to us reliably, continuously or at the levels we anticipate or are required by our clinical trial activities. Although we have entered into written supply agreements with our sole source suppliers, such </w:t>
      </w:r>
      <w:r>
        <w:rPr>
          <w:rFonts w:ascii="Arial" w:cs="Arial" w:eastAsia="Arial" w:hAnsi="Arial"/>
          <w:sz w:val="17"/>
          <w:szCs w:val="17"/>
          <w:color w:val="333333"/>
        </w:rPr>
        <w:t>suppliers could still delay, suspend, or terminate supply of product to us for a number of reasons, including manufacturing or quality issues,</w:t>
      </w:r>
      <w:r>
        <w:rPr>
          <w:rFonts w:ascii="Arial" w:cs="Arial" w:eastAsia="Arial" w:hAnsi="Arial"/>
          <w:sz w:val="17"/>
          <w:szCs w:val="17"/>
          <w:color w:val="auto"/>
        </w:rPr>
        <w:t xml:space="preserve"> </w:t>
      </w:r>
      <w:r>
        <w:rPr>
          <w:rFonts w:ascii="Arial" w:cs="Arial" w:eastAsia="Arial" w:hAnsi="Arial"/>
          <w:sz w:val="17"/>
          <w:szCs w:val="17"/>
          <w:color w:val="333333"/>
        </w:rPr>
        <w:t>payment disputes with us, bankruptcy or insolvency, or other occurrences.</w:t>
      </w:r>
    </w:p>
    <w:p>
      <w:pPr>
        <w:spacing w:after="0" w:line="70"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In addition, we currently depend on a limited number of suppliers for some of the other components necessary for our product candidates. We cannot be sure that any of our suppliers will remain in business, or that they will not be purchased by one of our competitors or another company that is not interested in continuing to produce these materials for our intended purpose. Our use of a sole source or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equipment. Any of our vendors may be unable or unwilling to meet our future demands for our clinical trials or commercial sale. Establishing additional or replacement suppliers for these components and materials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81"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spacing w:after="0" w:line="272" w:lineRule="auto"/>
        <w:rPr>
          <w:sz w:val="20"/>
          <w:szCs w:val="20"/>
          <w:color w:val="auto"/>
        </w:rPr>
      </w:pPr>
      <w:r>
        <w:rPr>
          <w:rFonts w:ascii="Arial" w:cs="Arial" w:eastAsia="Arial" w:hAnsi="Arial"/>
          <w:sz w:val="17"/>
          <w:szCs w:val="17"/>
          <w:color w:val="auto"/>
        </w:rPr>
        <w:t>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77"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reliance on suppliers subjects us to a number of risks that could harm our reputation, business, and financial condition, including, among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03" w:lineRule="exact"/>
        <w:rPr>
          <w:sz w:val="20"/>
          <w:szCs w:val="20"/>
          <w:color w:val="auto"/>
        </w:rPr>
      </w:pPr>
    </w:p>
    <w:p>
      <w:pPr>
        <w:ind w:left="960" w:right="680" w:hanging="41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 or trade sanctions, embargoes, and heightened export requirements resulting from the war in Ukraine;</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40" w:lineRule="exact"/>
        <w:rPr>
          <w:rFonts w:ascii="Arial" w:cs="Arial" w:eastAsia="Arial" w:hAnsi="Arial"/>
          <w:sz w:val="16"/>
          <w:szCs w:val="16"/>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960" w:right="280" w:hanging="41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8" w:lineRule="exact"/>
        <w:rPr>
          <w:sz w:val="20"/>
          <w:szCs w:val="20"/>
          <w:color w:val="auto"/>
        </w:rPr>
      </w:pPr>
    </w:p>
    <w:p>
      <w:pPr>
        <w:ind w:left="560" w:right="52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right="160" w:firstLine="546"/>
        <w:spacing w:after="0" w:line="257" w:lineRule="auto"/>
        <w:rPr>
          <w:sz w:val="20"/>
          <w:szCs w:val="20"/>
          <w:color w:val="auto"/>
        </w:rPr>
      </w:pPr>
      <w:r>
        <w:rPr>
          <w:rFonts w:ascii="Arial" w:cs="Arial" w:eastAsia="Arial" w:hAnsi="Arial"/>
          <w:sz w:val="18"/>
          <w:szCs w:val="18"/>
          <w:color w:val="auto"/>
        </w:rPr>
        <w:t>We currently rely on sole source suppliers of our automated, closed cell processing system; vector supply; plasmid supply; and cell culture media, and we are planning to rely on a sole source supplier of drug product for our Company-sponsored clinical trials. In addition, we currently depend on a limited number of suppliers for some of the other components necessary for our product candidates. Each of our suppliers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8"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spacing w:after="0" w:line="287" w:lineRule="auto"/>
        <w:rPr>
          <w:sz w:val="20"/>
          <w:szCs w:val="20"/>
          <w:color w:val="auto"/>
        </w:rPr>
      </w:pPr>
      <w:r>
        <w:rPr>
          <w:rFonts w:ascii="Arial" w:cs="Arial" w:eastAsia="Arial" w:hAnsi="Arial"/>
          <w:sz w:val="16"/>
          <w:szCs w:val="16"/>
          <w:color w:val="auto"/>
        </w:rPr>
        <w:t>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ongoing COVID-19 pandemic, the FDA may issue a complete response letter or defer action on our applications, and approval of the products may be delayed or may not be granted.</w:t>
      </w:r>
    </w:p>
    <w:p>
      <w:pPr>
        <w:spacing w:after="0" w:line="172"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2" w:lineRule="exact"/>
        <w:rPr>
          <w:sz w:val="20"/>
          <w:szCs w:val="20"/>
          <w:color w:val="auto"/>
        </w:rPr>
      </w:pPr>
    </w:p>
    <w:p>
      <w:pPr>
        <w:ind w:right="20" w:firstLine="546"/>
        <w:spacing w:after="0" w:line="301"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7" w:lineRule="exact"/>
        <w:rPr>
          <w:sz w:val="20"/>
          <w:szCs w:val="20"/>
          <w:color w:val="auto"/>
        </w:rPr>
      </w:pPr>
    </w:p>
    <w:p>
      <w:pPr>
        <w:jc w:val="both"/>
        <w:ind w:right="480" w:firstLine="546"/>
        <w:spacing w:after="0" w:line="296"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160"/>
        <w:spacing w:after="0" w:line="277" w:lineRule="auto"/>
        <w:rPr>
          <w:sz w:val="20"/>
          <w:szCs w:val="20"/>
          <w:color w:val="auto"/>
        </w:rPr>
      </w:pPr>
      <w:r>
        <w:rPr>
          <w:rFonts w:ascii="Arial" w:cs="Arial" w:eastAsia="Arial" w:hAnsi="Arial"/>
          <w:sz w:val="18"/>
          <w:szCs w:val="18"/>
          <w:color w:val="auto"/>
        </w:rPr>
        <w:t>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6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are in the preliminary stages of building our commercial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90"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We focus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our products, patients may become increasingly difficult to identify and access, and any approval we receive from regulatory agencies may be for a narrower indication and smaller patient population than anticipated, all of which would adversely affect our business, financial condition, results of operations and prospects.</w:t>
      </w:r>
    </w:p>
    <w:p>
      <w:pPr>
        <w:spacing w:after="0" w:line="303"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80" w:lineRule="exact"/>
        <w:rPr>
          <w:sz w:val="20"/>
          <w:szCs w:val="20"/>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960" w:right="380" w:hanging="412"/>
        <w:spacing w:after="0" w:line="308" w:lineRule="auto"/>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960" w:hanging="412"/>
        <w:spacing w:after="0"/>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right="40" w:firstLine="546"/>
        <w:spacing w:after="0" w:line="296"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61" w:lineRule="exact"/>
        <w:rPr>
          <w:sz w:val="20"/>
          <w:szCs w:val="20"/>
          <w:color w:val="auto"/>
        </w:rPr>
      </w:pPr>
    </w:p>
    <w:p>
      <w:pPr>
        <w:ind w:right="160" w:firstLine="546"/>
        <w:spacing w:after="0" w:line="275"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4"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9" w:lineRule="exact"/>
        <w:rPr>
          <w:sz w:val="20"/>
          <w:szCs w:val="20"/>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60" w:right="380" w:hanging="412"/>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960" w:right="180" w:hanging="412"/>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5" w:name="page66"/>
    <w:bookmarkEnd w:id="65"/>
    <w:p>
      <w:pPr>
        <w:ind w:right="160"/>
        <w:spacing w:after="0" w:line="259" w:lineRule="auto"/>
        <w:rPr>
          <w:sz w:val="20"/>
          <w:szCs w:val="20"/>
          <w:color w:val="auto"/>
        </w:rPr>
      </w:pPr>
      <w:r>
        <w:rPr>
          <w:rFonts w:ascii="Arial" w:cs="Arial" w:eastAsia="Arial" w:hAnsi="Arial"/>
          <w:sz w:val="18"/>
          <w:szCs w:val="18"/>
          <w:color w:val="auto"/>
        </w:rPr>
        <w:t>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w:t>
      </w:r>
      <w:r>
        <w:rPr>
          <w:rFonts w:ascii="Arial" w:cs="Arial" w:eastAsia="Arial" w:hAnsi="Arial"/>
          <w:sz w:val="18"/>
          <w:szCs w:val="18"/>
          <w:i w:val="1"/>
          <w:iCs w:val="1"/>
          <w:color w:val="auto"/>
        </w:rPr>
        <w:t>Business – Government Regulation – Coverage and Reimbursement</w:t>
      </w:r>
      <w:r>
        <w:rPr>
          <w:rFonts w:ascii="Arial" w:cs="Arial" w:eastAsia="Arial" w:hAnsi="Arial"/>
          <w:sz w:val="18"/>
          <w:szCs w:val="18"/>
          <w:color w:val="auto"/>
        </w:rPr>
        <w:t>.”</w:t>
      </w:r>
    </w:p>
    <w:p>
      <w:pPr>
        <w:spacing w:after="0" w:line="18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w:t>
      </w:r>
    </w:p>
    <w:p>
      <w:pPr>
        <w:spacing w:after="0" w:line="165" w:lineRule="exact"/>
        <w:rPr>
          <w:sz w:val="20"/>
          <w:szCs w:val="20"/>
          <w:color w:val="auto"/>
        </w:rPr>
      </w:pPr>
    </w:p>
    <w:p>
      <w:pPr>
        <w:ind w:right="140" w:firstLine="546"/>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left="56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right="120" w:firstLine="546"/>
        <w:spacing w:after="0" w:line="275"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84"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right="20" w:firstLine="546"/>
        <w:spacing w:after="0" w:line="293" w:lineRule="auto"/>
        <w:rPr>
          <w:sz w:val="20"/>
          <w:szCs w:val="20"/>
          <w:color w:val="auto"/>
        </w:rPr>
      </w:pPr>
      <w:r>
        <w:rPr>
          <w:rFonts w:ascii="Arial" w:cs="Arial" w:eastAsia="Arial" w:hAnsi="Arial"/>
          <w:sz w:val="16"/>
          <w:szCs w:val="16"/>
          <w:color w:val="auto"/>
        </w:rPr>
        <w:t xml:space="preserve">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See Section entitled </w:t>
      </w:r>
      <w:r>
        <w:rPr>
          <w:rFonts w:ascii="Arial" w:cs="Arial" w:eastAsia="Arial" w:hAnsi="Arial"/>
          <w:sz w:val="16"/>
          <w:szCs w:val="16"/>
          <w:i w:val="1"/>
          <w:iCs w:val="1"/>
          <w:color w:val="auto"/>
        </w:rPr>
        <w:t>“Business - Government Regulation – Healthcare Reform.”</w:t>
      </w:r>
      <w:r>
        <w:rPr>
          <w:rFonts w:ascii="Arial" w:cs="Arial" w:eastAsia="Arial" w:hAnsi="Arial"/>
          <w:sz w:val="16"/>
          <w:szCs w:val="16"/>
          <w:color w:val="auto"/>
        </w:rPr>
        <w:t xml:space="preserve"> We cannot predict the initiatives that may be adopted in the future.</w:t>
      </w:r>
    </w:p>
    <w:p>
      <w:pPr>
        <w:spacing w:after="0" w:line="164"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adversely affect:</w:t>
      </w:r>
    </w:p>
    <w:p>
      <w:pPr>
        <w:spacing w:after="0" w:line="62" w:lineRule="exact"/>
        <w:rPr>
          <w:sz w:val="20"/>
          <w:szCs w:val="20"/>
          <w:color w:val="auto"/>
        </w:rPr>
      </w:pPr>
    </w:p>
    <w:p>
      <w:pPr>
        <w:ind w:left="1340" w:hanging="387"/>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demand for any of our product candidates, if approved;</w:t>
      </w:r>
    </w:p>
    <w:p>
      <w:pPr>
        <w:spacing w:after="0" w:line="238" w:lineRule="exact"/>
        <w:rPr>
          <w:rFonts w:ascii="Arial" w:cs="Arial" w:eastAsia="Arial" w:hAnsi="Arial"/>
          <w:sz w:val="18"/>
          <w:szCs w:val="18"/>
          <w:color w:val="auto"/>
        </w:rPr>
      </w:pPr>
    </w:p>
    <w:p>
      <w:pPr>
        <w:ind w:left="1340" w:hanging="387"/>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set a price that we believe is fair for any of our product candidates, if approved;</w:t>
      </w:r>
    </w:p>
    <w:p>
      <w:pPr>
        <w:spacing w:after="0" w:line="238" w:lineRule="exact"/>
        <w:rPr>
          <w:rFonts w:ascii="Arial" w:cs="Arial" w:eastAsia="Arial" w:hAnsi="Arial"/>
          <w:sz w:val="18"/>
          <w:szCs w:val="18"/>
          <w:color w:val="auto"/>
        </w:rPr>
      </w:pPr>
    </w:p>
    <w:p>
      <w:pPr>
        <w:ind w:left="1340" w:hanging="387"/>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8" w:lineRule="exact"/>
        <w:rPr>
          <w:rFonts w:ascii="Arial" w:cs="Arial" w:eastAsia="Arial" w:hAnsi="Arial"/>
          <w:sz w:val="18"/>
          <w:szCs w:val="18"/>
          <w:color w:val="auto"/>
        </w:rPr>
      </w:pPr>
    </w:p>
    <w:p>
      <w:pPr>
        <w:ind w:left="1340" w:hanging="387"/>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238" w:lineRule="exact"/>
        <w:rPr>
          <w:rFonts w:ascii="Arial" w:cs="Arial" w:eastAsia="Arial" w:hAnsi="Arial"/>
          <w:sz w:val="18"/>
          <w:szCs w:val="18"/>
          <w:color w:val="auto"/>
        </w:rPr>
      </w:pPr>
    </w:p>
    <w:p>
      <w:pPr>
        <w:ind w:left="1340" w:hanging="387"/>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39" w:lineRule="exact"/>
        <w:rPr>
          <w:sz w:val="20"/>
          <w:szCs w:val="20"/>
          <w:color w:val="auto"/>
        </w:rPr>
      </w:pPr>
    </w:p>
    <w:p>
      <w:pPr>
        <w:ind w:right="140" w:firstLine="54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80" w:firstLine="546"/>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64" w:lineRule="exact"/>
        <w:rPr>
          <w:sz w:val="20"/>
          <w:szCs w:val="20"/>
          <w:color w:val="auto"/>
        </w:rPr>
      </w:pPr>
    </w:p>
    <w:p>
      <w:pPr>
        <w:ind w:right="420" w:firstLine="546"/>
        <w:spacing w:after="0" w:line="257"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left="560" w:right="160"/>
        <w:spacing w:after="0" w:line="340" w:lineRule="auto"/>
        <w:rPr>
          <w:sz w:val="20"/>
          <w:szCs w:val="20"/>
          <w:color w:val="auto"/>
        </w:rPr>
      </w:pPr>
      <w:r>
        <w:rPr>
          <w:rFonts w:ascii="Arial" w:cs="Arial" w:eastAsia="Arial" w:hAnsi="Arial"/>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Additionally, during the COVID-19 public health emergency, the FDA has stated it is continuing working to ensure timely reviews of applications for medical products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83" w:lineRule="exact"/>
        <w:rPr>
          <w:sz w:val="20"/>
          <w:szCs w:val="20"/>
          <w:color w:val="auto"/>
        </w:rPr>
      </w:pPr>
    </w:p>
    <w:p>
      <w:pPr>
        <w:ind w:left="560" w:right="60"/>
        <w:spacing w:after="0" w:line="375"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 w:lineRule="exact"/>
        <w:rPr>
          <w:sz w:val="20"/>
          <w:szCs w:val="20"/>
          <w:color w:val="auto"/>
        </w:rPr>
      </w:pPr>
    </w:p>
    <w:p>
      <w:pPr>
        <w:jc w:val="both"/>
        <w:ind w:right="140" w:firstLine="546"/>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560" w:right="12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right="100" w:firstLine="546"/>
        <w:spacing w:after="0" w:line="269" w:lineRule="auto"/>
        <w:rPr>
          <w:sz w:val="20"/>
          <w:szCs w:val="20"/>
          <w:color w:val="auto"/>
        </w:rPr>
      </w:pPr>
      <w:r>
        <w:rPr>
          <w:rFonts w:ascii="Arial" w:cs="Arial" w:eastAsia="Arial" w:hAnsi="Arial"/>
          <w:sz w:val="17"/>
          <w:szCs w:val="17"/>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gene therapy trials, and the resulting publicity could result in a decline in our stock price,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7"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We implemented a reduction in force in January 2022 in connection with the deprioritization of our Fabry disease program, and personnel decisions like these may have an adverse impact on the morale of our continuing employees. While we believe that our relations with our continuing employees to be good, there can be no assurance that we can avoid hiring and retention challenges for skilled personnel in the future.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our ability to recruit and retain qualified personnel could be impacted by other factors, such as remote or hybrid working arrangements, including those resulting from the ongoing COVID-19 pandemic, which could impact employees’ productivity and morale, as well as any failure to succeed in preclinical or clinical trials. The inability to recruit or the loss of the services of any executive, key employee, consultant or advisor may impede the progress of our research, development and commercialization objectives.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need to expand our operations and we may experience difficulties in managing this growth, which could disrupt our operations.</w:t>
      </w:r>
    </w:p>
    <w:p>
      <w:pPr>
        <w:spacing w:after="0" w:line="140" w:lineRule="exact"/>
        <w:rPr>
          <w:sz w:val="20"/>
          <w:szCs w:val="20"/>
          <w:color w:val="auto"/>
        </w:rPr>
      </w:pPr>
    </w:p>
    <w:p>
      <w:pPr>
        <w:ind w:right="40" w:firstLine="546"/>
        <w:spacing w:after="0" w:line="290" w:lineRule="auto"/>
        <w:rPr>
          <w:sz w:val="20"/>
          <w:szCs w:val="20"/>
          <w:color w:val="auto"/>
        </w:rPr>
      </w:pPr>
      <w:r>
        <w:rPr>
          <w:rFonts w:ascii="Arial" w:cs="Arial" w:eastAsia="Arial" w:hAnsi="Arial"/>
          <w:sz w:val="16"/>
          <w:szCs w:val="16"/>
          <w:color w:val="auto"/>
        </w:rPr>
        <w:t>As we mature, we may need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9" w:name="page70"/>
    <w:bookmarkEnd w:id="69"/>
    <w:p>
      <w:pPr>
        <w:ind w:left="56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120" w:firstLine="546"/>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4"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left="560" w:right="76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7" w:lineRule="exact"/>
        <w:rPr>
          <w:sz w:val="20"/>
          <w:szCs w:val="20"/>
          <w:color w:val="auto"/>
        </w:rPr>
      </w:pPr>
    </w:p>
    <w:p>
      <w:pPr>
        <w:jc w:val="both"/>
        <w:ind w:left="560" w:right="80"/>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jc w:val="both"/>
        <w:ind w:right="340"/>
        <w:spacing w:after="0" w:line="263" w:lineRule="auto"/>
        <w:rPr>
          <w:sz w:val="20"/>
          <w:szCs w:val="20"/>
          <w:color w:val="auto"/>
        </w:rPr>
      </w:pPr>
      <w:r>
        <w:rPr>
          <w:rFonts w:ascii="Arial" w:cs="Arial" w:eastAsia="Arial" w:hAnsi="Arial"/>
          <w:sz w:val="18"/>
          <w:szCs w:val="18"/>
          <w:color w:val="auto"/>
        </w:rPr>
        <w:t>These laws will impact, among other things, our proposed sales, marketing and educational programs. In addition, we may be subject to patient privacy laws by both the federal government and the states in which we conduct our business. See section entitled “</w:t>
      </w:r>
      <w:r>
        <w:rPr>
          <w:rFonts w:ascii="Arial" w:cs="Arial" w:eastAsia="Arial" w:hAnsi="Arial"/>
          <w:sz w:val="18"/>
          <w:szCs w:val="18"/>
          <w:i w:val="1"/>
          <w:iCs w:val="1"/>
          <w:color w:val="auto"/>
        </w:rPr>
        <w:t>Business – Government Regulation – Other</w:t>
      </w:r>
      <w:r>
        <w:rPr>
          <w:rFonts w:ascii="Arial" w:cs="Arial" w:eastAsia="Arial" w:hAnsi="Arial"/>
          <w:sz w:val="18"/>
          <w:szCs w:val="18"/>
          <w:color w:val="auto"/>
        </w:rPr>
        <w:t xml:space="preserve"> </w:t>
      </w:r>
      <w:r>
        <w:rPr>
          <w:rFonts w:ascii="Arial" w:cs="Arial" w:eastAsia="Arial" w:hAnsi="Arial"/>
          <w:sz w:val="18"/>
          <w:szCs w:val="18"/>
          <w:i w:val="1"/>
          <w:iCs w:val="1"/>
          <w:color w:val="auto"/>
        </w:rPr>
        <w:t>Healthcare Laws and Compliance Requirements</w:t>
      </w:r>
      <w:r>
        <w:rPr>
          <w:rFonts w:ascii="Arial" w:cs="Arial" w:eastAsia="Arial" w:hAnsi="Arial"/>
          <w:sz w:val="18"/>
          <w:szCs w:val="18"/>
          <w:color w:val="auto"/>
        </w:rPr>
        <w:t>.”</w:t>
      </w:r>
    </w:p>
    <w:p>
      <w:pPr>
        <w:spacing w:after="0" w:line="184"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88"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6" w:lineRule="exact"/>
        <w:rPr>
          <w:sz w:val="20"/>
          <w:szCs w:val="20"/>
          <w:color w:val="auto"/>
        </w:rPr>
      </w:pPr>
    </w:p>
    <w:p>
      <w:pPr>
        <w:ind w:right="80" w:firstLine="546"/>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73" w:lineRule="exact"/>
        <w:rPr>
          <w:sz w:val="20"/>
          <w:szCs w:val="20"/>
          <w:color w:val="auto"/>
        </w:rPr>
      </w:pPr>
    </w:p>
    <w:p>
      <w:pPr>
        <w:ind w:left="560" w:right="340"/>
        <w:spacing w:after="0" w:line="375" w:lineRule="auto"/>
        <w:rPr>
          <w:sz w:val="20"/>
          <w:szCs w:val="20"/>
          <w:color w:val="auto"/>
        </w:rPr>
      </w:pPr>
      <w:r>
        <w:rPr>
          <w:rFonts w:ascii="Arial" w:cs="Arial" w:eastAsia="Arial" w:hAnsi="Arial"/>
          <w:sz w:val="15"/>
          <w:szCs w:val="15"/>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right="20" w:firstLine="546"/>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spacing w:after="0" w:line="277" w:lineRule="auto"/>
        <w:rPr>
          <w:sz w:val="20"/>
          <w:szCs w:val="20"/>
          <w:color w:val="auto"/>
        </w:rPr>
      </w:pPr>
      <w:r>
        <w:rPr>
          <w:rFonts w:ascii="Arial" w:cs="Arial" w:eastAsia="Arial" w:hAnsi="Arial"/>
          <w:sz w:val="18"/>
          <w:szCs w:val="18"/>
          <w:color w:val="auto"/>
        </w:rPr>
        <w:t>failed to comply with data protection laws, or breached our contractual obligations, even if we are not found liable, could be expensive and time-consuming to defend and could result in adverse publicity that could harm our business.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right="40" w:firstLine="546"/>
        <w:spacing w:after="0" w:line="286" w:lineRule="auto"/>
        <w:rPr>
          <w:sz w:val="20"/>
          <w:szCs w:val="20"/>
          <w:color w:val="auto"/>
        </w:rPr>
      </w:pPr>
      <w:r>
        <w:rPr>
          <w:rFonts w:ascii="Arial" w:cs="Arial" w:eastAsia="Arial" w:hAnsi="Arial"/>
          <w:sz w:val="16"/>
          <w:szCs w:val="16"/>
          <w:color w:val="auto"/>
        </w:rPr>
        <w:t>We currently plan to conduct clinical trials in the European Union, or EU, and the United Kingdom, or UK, and as a result will be subject to additional privacy restrictions. The collection, use, disclosure, transfer or other processing of personal health data in the EU is governed by the provisions of the General Data Protection Regulation, or GDPR.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 obligations with respect to any clinical trials conducted in the European Economic Area, or EEA, by expanding the definition of personal data to include coded data and requiring changes to informed consent practices and more detailed notices for clinical trial subjects and investigators. In addition, the GDPR imposes strict rules on the transfer of personal data out of the European Union, including to the United States, and as a result increases scrutiny that such rules may apply to transfers of personal data from any clinical trial sites located in the EU and the UK to the United States. The GDPR also permits data protection authorities to require destruction of improperly gathered or used personal data and/or impose substantial fines for violations of the GDPR, which can be up to four percent of global revenues or 20 million Euros,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70" w:lineRule="exact"/>
        <w:rPr>
          <w:sz w:val="20"/>
          <w:szCs w:val="20"/>
          <w:color w:val="auto"/>
        </w:rPr>
      </w:pPr>
    </w:p>
    <w:p>
      <w:pPr>
        <w:jc w:val="both"/>
        <w:ind w:right="360" w:firstLine="546"/>
        <w:spacing w:after="0" w:line="263" w:lineRule="auto"/>
        <w:rPr>
          <w:sz w:val="20"/>
          <w:szCs w:val="20"/>
          <w:color w:val="auto"/>
        </w:rPr>
      </w:pPr>
      <w:r>
        <w:rPr>
          <w:rFonts w:ascii="Arial" w:cs="Arial" w:eastAsia="Arial" w:hAnsi="Arial"/>
          <w:sz w:val="18"/>
          <w:szCs w:val="18"/>
          <w:color w:val="auto"/>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European Union.</w:t>
      </w:r>
    </w:p>
    <w:p>
      <w:pPr>
        <w:spacing w:after="0" w:line="76" w:lineRule="exact"/>
        <w:rPr>
          <w:sz w:val="20"/>
          <w:szCs w:val="20"/>
          <w:color w:val="auto"/>
        </w:rPr>
      </w:pPr>
    </w:p>
    <w:p>
      <w:pPr>
        <w:ind w:right="80" w:firstLine="546"/>
        <w:spacing w:after="0" w:line="253" w:lineRule="auto"/>
        <w:rPr>
          <w:sz w:val="20"/>
          <w:szCs w:val="20"/>
          <w:color w:val="auto"/>
        </w:rPr>
      </w:pPr>
      <w:r>
        <w:rPr>
          <w:rFonts w:ascii="Arial" w:cs="Arial" w:eastAsia="Arial" w:hAnsi="Arial"/>
          <w:sz w:val="18"/>
          <w:szCs w:val="18"/>
          <w:color w:val="auto"/>
        </w:rPr>
        <w:t>Further, the UK exited the EU effective January 31, 2020, subject to a transition period that ended December 31, 2020. Following the UK’s withdrawal from the EU on January 31, 2020, pursuant to the transitional arrangements agreed to between the UK and EU, the GDPR continued to have effect under law in the UK, and continued to do so until December 31, 2020 as if the UK remained a member state of the EU for such purposes. Following December 31, 2020, and the expiry of those transitional arrangements, the data protection obligations of the GDPR continue to apply to UK-related processing of personal data in substantially unvaried form and fashion under the so-called “UK GDPR” (i.e., the GDPR as it continues to form part of UK law by virtue of section 3 of the European Union (Withdrawal) Act 2018, as amended (including by the various Data Protection, Privacy and Electronic Communications (Amendments etc.) (EU Exit) Regulations)).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84"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UK is not subject to the EC’s new standard contractual clauses but has published a draft version of a UK-specific transfer mechanism, which, once finalized, will enable transfers from the UK. We will be required to implement these new safeguards when conducting restricted data transfers under the EU and UK GDPR and doing so will require significant effort and cost.</w:t>
      </w:r>
    </w:p>
    <w:p>
      <w:pPr>
        <w:spacing w:after="0" w:line="87"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Further, certain European data protection laws restrict transfers of personal data to countries outside Europe that do not ensure an adequate level of protection, like the United States (so-called “third countries”). These transfers are prohibited unless an appropriate safeguard specified by the European data protection laws is implemented, such as the Standard Contractual Clauses, or SCCs, approved by the European Commission, or a derogation applies. The Court of Justice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right="40"/>
        <w:spacing w:after="0" w:line="284" w:lineRule="auto"/>
        <w:rPr>
          <w:sz w:val="20"/>
          <w:szCs w:val="20"/>
          <w:color w:val="auto"/>
        </w:rPr>
      </w:pPr>
      <w:r>
        <w:rPr>
          <w:rFonts w:ascii="Arial" w:cs="Arial" w:eastAsia="Arial" w:hAnsi="Arial"/>
          <w:sz w:val="16"/>
          <w:szCs w:val="16"/>
          <w:color w:val="auto"/>
        </w:rPr>
        <w:t xml:space="preserve">European Union, or CJEU, in its decision in Case C-311/18 </w:t>
      </w:r>
      <w:r>
        <w:rPr>
          <w:rFonts w:ascii="Arial" w:cs="Arial" w:eastAsia="Arial" w:hAnsi="Arial"/>
          <w:sz w:val="16"/>
          <w:szCs w:val="16"/>
          <w:i w:val="1"/>
          <w:iCs w:val="1"/>
          <w:color w:val="auto"/>
        </w:rPr>
        <w:t>(Data Protection Commissioner v Facebook Ireland and Maximillian Schrems</w:t>
      </w:r>
      <w:r>
        <w:rPr>
          <w:rFonts w:ascii="Arial" w:cs="Arial" w:eastAsia="Arial" w:hAnsi="Arial"/>
          <w:sz w:val="16"/>
          <w:szCs w:val="16"/>
          <w:color w:val="auto"/>
        </w:rPr>
        <w:t>, or Schrems II,) deemed that the SCCs are valid. However, the CJEU ruled that transfers made pursuant to the SCCs and other alternative transfer mechanisms need to be assessed on a case-by-case basis taking into account the legal regime applicable in the destination country, in particular regarding applicable surveillance laws and relevant rights of individuals with respect to the transferred personal data, to ensure an “essentially equivalent” level of protection to that guaranteed in the EEA in the jurisdiction where the data importer is based. On June 4, 2021, the European Commission published new versions of the SCCs, or New SCCs, which seek to address the issues identified by the CJEU’s Schrems II decision and provide further details regarding the transfer assessments of the importer third country’s laws that the parties are required to conduct when implementing the New SCCs. On June 18, 2021, the European Data Protection Board, or EDPB, issued its final guidance following the CJEU’s decision that imposes significant new diligence requirements on transferring data outside the EEA, including under an approved transfer mechanism. This guidance requires an “essential equivalency” assessment of the laws of the destination country transferred. If the “essentially equivalent” level of protection standard outlined by the CJEU’s decision is not satisfied in the destination country, the exporting entity must then assess if supplementary technical, organizational and/or contractual measures can be put in place that, in combination with the chosen transfer mechanism, would address the deficiency in the laws and ensure that essentially equivalent protection can be given to the data. Complying with this guidance will be expensive and time consuming and may ultimately prevent us from transferring personal data outside the EEA, which would cause significant business disruption. At present, there are few, if any, viable alternatives to the SCCs. The risks associated with such exports of personal data from locations within Europe are particularly relevant to our business as our group comprises several operating entities, many of which are located, and/or sponsor clinical trials, in Europe. We have yet to adopt and implement comprehensive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our facing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279" w:lineRule="exact"/>
        <w:rPr>
          <w:sz w:val="20"/>
          <w:szCs w:val="20"/>
          <w:color w:val="auto"/>
        </w:rPr>
      </w:pPr>
    </w:p>
    <w:p>
      <w:pPr>
        <w:jc w:val="both"/>
        <w:ind w:left="56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3"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ind w:right="60" w:firstLine="546"/>
        <w:spacing w:after="0" w:line="290" w:lineRule="auto"/>
        <w:rPr>
          <w:sz w:val="20"/>
          <w:szCs w:val="20"/>
          <w:color w:val="auto"/>
        </w:rPr>
      </w:pPr>
      <w:r>
        <w:rPr>
          <w:rFonts w:ascii="Arial" w:cs="Arial" w:eastAsia="Arial" w:hAnsi="Arial"/>
          <w:sz w:val="16"/>
          <w:szCs w:val="16"/>
          <w:color w:val="auto"/>
        </w:rPr>
        <w:t>We carry master product liability insurance of $5.0 million per occurrence and $5.0 million in the aggregate in the United States. For studies conducted in certain countries outside the United States,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65"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5"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0" w:lineRule="exact"/>
        <w:rPr>
          <w:sz w:val="20"/>
          <w:szCs w:val="20"/>
          <w:color w:val="auto"/>
        </w:rPr>
      </w:pPr>
    </w:p>
    <w:p>
      <w:pPr>
        <w:ind w:left="560" w:right="90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As of December 31, 2021 and 2020, we had federal and state net operating loss carryforwards of $313.0 million and $214.0 million, respectively, and federal research and development tax credit carryforwards of approximately $6.2 million and $3.7 million, respectively. If not utilized, the net operating loss carryforwards and research and development credits will generally expire at various dates through 2038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4" w:name="page75"/>
    <w:bookmarkEnd w:id="74"/>
    <w:p>
      <w:pPr>
        <w:ind w:right="20"/>
        <w:spacing w:after="0" w:line="254" w:lineRule="auto"/>
        <w:rPr>
          <w:sz w:val="20"/>
          <w:szCs w:val="20"/>
          <w:color w:val="auto"/>
        </w:rPr>
      </w:pPr>
      <w:r>
        <w:rPr>
          <w:rFonts w:ascii="Arial" w:cs="Arial" w:eastAsia="Arial" w:hAnsi="Arial"/>
          <w:sz w:val="18"/>
          <w:szCs w:val="18"/>
          <w:color w:val="auto"/>
        </w:rPr>
        <w:t>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For taxable years beginning after December 31, 2020, deductions for federal net operating losses arising in taxable years beginning after December 31, 2017 may only offset 80% of taxable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129"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95"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6" w:lineRule="exact"/>
        <w:rPr>
          <w:sz w:val="20"/>
          <w:szCs w:val="20"/>
          <w:color w:val="auto"/>
        </w:rPr>
      </w:pPr>
    </w:p>
    <w:p>
      <w:pPr>
        <w:ind w:right="120" w:firstLine="546"/>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ind w:right="160" w:firstLine="546"/>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ind w:firstLine="546"/>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5"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which we deprioritized in January 2022) and affiliates of Lund University (relevant to AVR-RD-02 and our Gaucher type 1 program). In addition, we have in-licensed patents and patent applications from BioMarin Pharmaceutical Inc., or BioMarin (relevant to AVR-RD-03 and our Pompe program), GenStem Therapeutics, Inc., which was subsequently assigned to Papillon Therapeutics, Inc., or Papillon, (relevant to AVR-RD-04 and 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p>
    <w:p>
      <w:pPr>
        <w:spacing w:after="0" w:line="181"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cystinosis,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right="40" w:firstLine="546"/>
        <w:spacing w:after="0" w:line="293"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Papillon,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64"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303" w:lineRule="exact"/>
        <w:rPr>
          <w:sz w:val="20"/>
          <w:szCs w:val="20"/>
          <w:color w:val="auto"/>
        </w:rPr>
      </w:pPr>
    </w:p>
    <w:p>
      <w:pPr>
        <w:ind w:left="560" w:right="38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right="120" w:firstLine="546"/>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1"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AVR-RD-02 or AVR-RD-06, and the patent applications that we in-licensed related to AVR-RD-04 and AVR-RD-05 are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line="254" w:lineRule="auto"/>
        <w:rPr>
          <w:sz w:val="20"/>
          <w:szCs w:val="20"/>
          <w:color w:val="auto"/>
        </w:rPr>
      </w:pPr>
      <w:r>
        <w:rPr>
          <w:rFonts w:ascii="Arial" w:cs="Arial" w:eastAsia="Arial" w:hAnsi="Arial"/>
          <w:sz w:val="18"/>
          <w:szCs w:val="18"/>
          <w:color w:val="auto"/>
        </w:rPr>
        <w:t>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5" w:lineRule="exact"/>
        <w:rPr>
          <w:sz w:val="20"/>
          <w:szCs w:val="20"/>
          <w:color w:val="auto"/>
        </w:rPr>
      </w:pPr>
    </w:p>
    <w:p>
      <w:pPr>
        <w:ind w:right="20" w:firstLine="54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4"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86" w:lineRule="exact"/>
        <w:rPr>
          <w:sz w:val="20"/>
          <w:szCs w:val="20"/>
          <w:color w:val="auto"/>
        </w:rPr>
      </w:pPr>
    </w:p>
    <w:p>
      <w:pPr>
        <w:ind w:right="80" w:firstLine="546"/>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8" w:name="page79"/>
    <w:bookmarkEnd w:id="78"/>
    <w:p>
      <w:pPr>
        <w:ind w:left="560" w:right="320"/>
        <w:spacing w:after="0" w:line="342"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 w:lineRule="exact"/>
        <w:rPr>
          <w:sz w:val="20"/>
          <w:szCs w:val="20"/>
          <w:color w:val="auto"/>
        </w:rPr>
      </w:pPr>
    </w:p>
    <w:p>
      <w:pPr>
        <w:ind w:right="20" w:firstLine="546"/>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6"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152" w:lineRule="exact"/>
        <w:rPr>
          <w:sz w:val="20"/>
          <w:szCs w:val="20"/>
          <w:color w:val="auto"/>
        </w:rPr>
      </w:pPr>
    </w:p>
    <w:p>
      <w:pPr>
        <w:ind w:right="20" w:firstLine="546"/>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3"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Some of the intellectual property rights we have licensed, including rights licensed to us by Papillon,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originally licensed from GenStem Therapeutics, Inc., who subsequently assigned the license to Papillon.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9" w:name="page80"/>
    <w:bookmarkEnd w:id="79"/>
    <w:p>
      <w:pPr>
        <w:ind w:right="160"/>
        <w:spacing w:after="0" w:line="290" w:lineRule="auto"/>
        <w:rPr>
          <w:sz w:val="20"/>
          <w:szCs w:val="20"/>
          <w:color w:val="auto"/>
        </w:rPr>
      </w:pPr>
      <w:r>
        <w:rPr>
          <w:rFonts w:ascii="Arial" w:cs="Arial" w:eastAsia="Arial" w:hAnsi="Arial"/>
          <w:sz w:val="16"/>
          <w:szCs w:val="16"/>
          <w:color w:val="auto"/>
        </w:rPr>
        <w:t>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ind w:firstLine="546"/>
        <w:spacing w:after="0" w:line="285"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76" w:lineRule="exact"/>
        <w:rPr>
          <w:sz w:val="20"/>
          <w:szCs w:val="20"/>
          <w:color w:val="auto"/>
        </w:rPr>
      </w:pPr>
    </w:p>
    <w:p>
      <w:pPr>
        <w:ind w:right="380" w:firstLine="546"/>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ind w:firstLine="546"/>
        <w:spacing w:after="0" w:line="275"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6"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firstLine="546"/>
        <w:spacing w:after="0" w:line="287" w:lineRule="auto"/>
        <w:rPr>
          <w:sz w:val="20"/>
          <w:szCs w:val="20"/>
          <w:color w:val="auto"/>
        </w:rPr>
      </w:pPr>
      <w:r>
        <w:rPr>
          <w:rFonts w:ascii="Arial" w:cs="Arial" w:eastAsia="Arial" w:hAnsi="Arial"/>
          <w:sz w:val="16"/>
          <w:szCs w:val="16"/>
          <w:color w:val="auto"/>
        </w:rPr>
        <w:t>We have registered the marks “AVROBIO” and “plato” with the USPTO and in certain other countries, but we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left="56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60" w:right="48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960" w:right="18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960" w:right="26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60" w:right="32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960" w:right="38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7" w:lineRule="exact"/>
        <w:rPr>
          <w:rFonts w:ascii="Arial" w:cs="Arial" w:eastAsia="Arial" w:hAnsi="Arial"/>
          <w:sz w:val="18"/>
          <w:szCs w:val="18"/>
          <w:color w:val="auto"/>
        </w:rPr>
      </w:pPr>
    </w:p>
    <w:p>
      <w:pPr>
        <w:ind w:left="960" w:right="800" w:hanging="412"/>
        <w:spacing w:after="0" w:line="308" w:lineRule="auto"/>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960" w:right="74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or IPO, in June 2018, through March 1, 2022, the trading price of our common stock has ranged from $53.70 to $1.28.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80" w:lineRule="exact"/>
        <w:rPr>
          <w:sz w:val="20"/>
          <w:szCs w:val="20"/>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results or delays in ongoing or planned preclinical studies or clinical trials;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to comply with the terms of our Term Loan Agreement;</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2" w:name="page83"/>
    <w:bookmarkEnd w:id="82"/>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960" w:right="360" w:hanging="412"/>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62" w:lineRule="exact"/>
        <w:rPr>
          <w:rFonts w:ascii="Arial" w:cs="Arial" w:eastAsia="Arial" w:hAnsi="Arial"/>
          <w:sz w:val="18"/>
          <w:szCs w:val="18"/>
          <w:color w:val="auto"/>
        </w:rPr>
      </w:pPr>
    </w:p>
    <w:p>
      <w:pPr>
        <w:ind w:left="960" w:right="20" w:hanging="412"/>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right="160" w:firstLine="546"/>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120" w:firstLine="546"/>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4"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3" w:name="page84"/>
    <w:bookmarkEnd w:id="83"/>
    <w:p>
      <w:pPr>
        <w:ind w:left="560" w:right="1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20" w:firstLine="546"/>
        <w:spacing w:after="0" w:line="253" w:lineRule="auto"/>
        <w:rPr>
          <w:sz w:val="20"/>
          <w:szCs w:val="20"/>
          <w:color w:val="auto"/>
        </w:rPr>
      </w:pPr>
      <w:r>
        <w:rPr>
          <w:rFonts w:ascii="Arial" w:cs="Arial" w:eastAsia="Arial" w:hAnsi="Arial"/>
          <w:sz w:val="18"/>
          <w:szCs w:val="18"/>
          <w:color w:val="auto"/>
        </w:rPr>
        <w:t>Based on shares outstanding as of March 10, 2022, our executive officers, directors, five percent stockholders and their affiliates beneficially owned approximately 36%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304"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60" w:firstLine="546"/>
        <w:spacing w:after="0" w:line="287" w:lineRule="auto"/>
        <w:rPr>
          <w:sz w:val="20"/>
          <w:szCs w:val="20"/>
          <w:color w:val="auto"/>
        </w:rPr>
      </w:pPr>
      <w:r>
        <w:rPr>
          <w:rFonts w:ascii="Arial" w:cs="Arial" w:eastAsia="Arial" w:hAnsi="Arial"/>
          <w:sz w:val="16"/>
          <w:szCs w:val="16"/>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w:t>
      </w:r>
    </w:p>
    <w:p>
      <w:pPr>
        <w:spacing w:after="0" w:line="2" w:lineRule="exact"/>
        <w:rPr>
          <w:sz w:val="20"/>
          <w:szCs w:val="20"/>
          <w:color w:val="auto"/>
        </w:rPr>
      </w:pPr>
    </w:p>
    <w:p>
      <w:pPr>
        <w:ind w:firstLine="8"/>
        <w:spacing w:after="0" w:line="253" w:lineRule="auto"/>
        <w:tabs>
          <w:tab w:leader="none" w:pos="3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84" w:lineRule="exact"/>
        <w:rPr>
          <w:rFonts w:ascii="Arial" w:cs="Arial" w:eastAsia="Arial" w:hAnsi="Arial"/>
          <w:sz w:val="18"/>
          <w:szCs w:val="18"/>
          <w:color w:val="auto"/>
        </w:rPr>
      </w:pPr>
    </w:p>
    <w:p>
      <w:pPr>
        <w:ind w:left="960" w:hanging="412"/>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960" w:right="520" w:hanging="412"/>
        <w:spacing w:after="0" w:line="263"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960" w:right="180" w:hanging="412"/>
        <w:spacing w:after="0" w:line="342"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960" w:hanging="412"/>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Annual Report on Form 10-K. In particular, we have not included in this Annual Report, and do not intend to include in our 2021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ind w:left="560" w:right="76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5"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jc w:val="both"/>
        <w:ind w:left="560" w:right="4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95"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0" w:lineRule="exact"/>
        <w:rPr>
          <w:sz w:val="20"/>
          <w:szCs w:val="20"/>
          <w:color w:val="auto"/>
        </w:rPr>
      </w:pPr>
    </w:p>
    <w:p>
      <w:pPr>
        <w:ind w:left="560"/>
        <w:spacing w:after="0" w:line="286" w:lineRule="auto"/>
        <w:rPr>
          <w:sz w:val="20"/>
          <w:szCs w:val="20"/>
          <w:color w:val="auto"/>
        </w:rPr>
      </w:pPr>
      <w:r>
        <w:rPr>
          <w:rFonts w:ascii="Arial" w:cs="Arial" w:eastAsia="Arial" w:hAnsi="Arial"/>
          <w:sz w:val="17"/>
          <w:szCs w:val="17"/>
          <w:b w:val="1"/>
          <w:bCs w:val="1"/>
          <w:i w:val="1"/>
          <w:iCs w:val="1"/>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287"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If we are unable to successfully remediate any future material weaknesses in our internal control over financial reporting, the accuracy and timing of our financial reporting may be adversely affected, we may be unable to maintain compliance with securities law requirements regarding timely filing of periodic reports in addition to</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ind w:right="260"/>
        <w:spacing w:after="0" w:line="277" w:lineRule="auto"/>
        <w:rPr>
          <w:sz w:val="20"/>
          <w:szCs w:val="20"/>
          <w:color w:val="auto"/>
        </w:rPr>
      </w:pPr>
      <w:r>
        <w:rPr>
          <w:rFonts w:ascii="Arial" w:cs="Arial" w:eastAsia="Arial" w:hAnsi="Arial"/>
          <w:sz w:val="18"/>
          <w:szCs w:val="18"/>
          <w:color w:val="auto"/>
        </w:rPr>
        <w:t>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300"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right="120" w:firstLine="546"/>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March 1, 2022,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Term Loan Agreement restricts our ability to pay certain kinds of dividends or to make certain kinds of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4" w:lineRule="exact"/>
        <w:rPr>
          <w:sz w:val="20"/>
          <w:szCs w:val="20"/>
          <w:color w:val="auto"/>
        </w:rPr>
      </w:pPr>
    </w:p>
    <w:p>
      <w:pPr>
        <w:ind w:left="560" w:right="38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6"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960" w:right="500" w:hanging="412"/>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960" w:right="240" w:hanging="412"/>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960" w:right="580" w:hanging="412"/>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6" w:name="page87"/>
    <w:bookmarkEnd w:id="86"/>
    <w:p>
      <w:pPr>
        <w:ind w:left="960" w:hanging="41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960" w:right="20" w:hanging="412"/>
        <w:spacing w:after="0" w:line="263"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80" w:firstLine="546"/>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w:t>
      </w:r>
    </w:p>
    <w:p>
      <w:pPr>
        <w:spacing w:after="0" w:line="2" w:lineRule="exact"/>
        <w:rPr>
          <w:sz w:val="20"/>
          <w:szCs w:val="20"/>
          <w:color w:val="auto"/>
        </w:rPr>
      </w:pPr>
    </w:p>
    <w:p>
      <w:pPr>
        <w:ind w:right="20" w:firstLine="8"/>
        <w:spacing w:after="0" w:line="251"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97"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in February 2022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74"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jc w:val="both"/>
        <w:ind w:right="60" w:firstLine="546"/>
        <w:spacing w:after="0" w:line="287"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w:t>
      </w:r>
    </w:p>
    <w:p>
      <w:pPr>
        <w:spacing w:after="0" w:line="2" w:lineRule="exact"/>
        <w:rPr>
          <w:sz w:val="20"/>
          <w:szCs w:val="20"/>
          <w:color w:val="auto"/>
        </w:rPr>
      </w:pPr>
    </w:p>
    <w:p>
      <w:pPr>
        <w:ind w:right="20"/>
        <w:spacing w:after="0" w:line="358" w:lineRule="auto"/>
        <w:rPr>
          <w:sz w:val="20"/>
          <w:szCs w:val="20"/>
          <w:color w:val="auto"/>
        </w:rPr>
      </w:pPr>
      <w:r>
        <w:rPr>
          <w:rFonts w:ascii="Arial" w:cs="Arial" w:eastAsia="Arial" w:hAnsi="Arial"/>
          <w:sz w:val="16"/>
          <w:szCs w:val="16"/>
          <w:color w:val="auto"/>
        </w:rPr>
        <w:t>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802"/>
        <w:spacing w:after="0" w:line="254" w:lineRule="auto"/>
        <w:rPr>
          <w:sz w:val="20"/>
          <w:szCs w:val="20"/>
          <w:color w:val="auto"/>
        </w:rPr>
      </w:pPr>
      <w:r>
        <w:rPr>
          <w:rFonts w:ascii="Arial" w:cs="Arial" w:eastAsia="Arial" w:hAnsi="Arial"/>
          <w:sz w:val="18"/>
          <w:szCs w:val="18"/>
          <w:color w:val="auto"/>
        </w:rPr>
        <w:t>Our corporate headquarters are located in Cambridge, Massachusetts. Our current leased facility for our corporate headquarters encompasses approximately 11,218 square feet of office space. The lease for this facility expires in January 2023. In August 2018, we entered into a sub-sublease for 13,643 square feet of laboratory space located in Cambridge Massachusetts, or the Lab Sub-Sublease, which was set to expire in April 2022. In January 2022, we amended the Lab Sub-Sublease to increase the premises to a total of 26,114 square feet and extend the term through April 30, 2023. In June 2020, we entered into a lease agreement for 3,885 square feet office space located in Toronto, Ontario, Canada, which expires in June 2025. We believe that our office and laboratory space is sufficient to meet our current needs and that suitable additional space or alternative space will be available as needed on commercially reasonable terms.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80" w:firstLine="546"/>
        <w:spacing w:after="0" w:line="257"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9" w:name="page90"/>
    <w:bookmarkEnd w:id="89"/>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540"/>
        <w:spacing w:after="0" w:line="377"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i w:val="1"/>
          <w:iCs w:val="1"/>
          <w:color w:val="auto"/>
        </w:rPr>
        <w:t>Market Information</w:t>
      </w:r>
    </w:p>
    <w:p>
      <w:pPr>
        <w:spacing w:after="0" w:line="2"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Our common stock is traded on the Nasdaq Global Select Market under the symbol “AVRO”. Trading of our common stock commenced on June 21, 2018, following the completion of our initial public offering. Prior to that time, there was no established public trading market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 of Common Stock</w:t>
      </w:r>
    </w:p>
    <w:p>
      <w:pPr>
        <w:spacing w:after="0" w:line="117"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As of March 10, 2022, the number of holders of record of our common stock was eight. The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117"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 Use of Proceeds from Registered Offerings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sell any unregistered equity securities during the period covered by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i w:val="1"/>
          <w:iCs w:val="1"/>
          <w:color w:val="auto"/>
        </w:rPr>
        <w:t>Our management’s discussion and analysis of our financial condition and results of operations are based upon our consolidated financial statements included in this Annual Report on Form 10-K, which have been prepared by us in accordance with United States generally accepted accounting principles, or GAAP, and with Regulation S-X promulgated under the Securities Exchange Act of 1934, as amended. This discussion and analysis should be read in conjunction with the consolidated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1A. Risk Factors of this Annual Report on Form 10-K,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46"/>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$3.4 billion in worldwide net sales in 2021.</w:t>
      </w:r>
    </w:p>
    <w:p>
      <w:pPr>
        <w:spacing w:after="0" w:line="178"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Our initial pipeline is comprised of five lentiviral-based gene therapy programs: AVR-RD-04 for the treatment of cystinosis; AVR-RD-02 for the treatment of Gaucher disease type 1; AVR-RD-05 for the treatment of Hunter syndrome; AVR-RD-06 for the treatment of Gaucher disease type 3; and AVR-RD-03 for the treatment of Pompe disease.</w:t>
      </w:r>
    </w:p>
    <w:p>
      <w:pPr>
        <w:spacing w:after="0" w:line="184"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AVR-RD-04 is currently being studied for the treatment of cystinosis by our collaborators at the University of California, San Diego, or UCSD, in a Phase 1/2 collaborator-sponsored clinical trial, and as of March 1, 2022 four patients have been dosed. Three patients have been dosed as of March 1, 2022 in our Company-sponsored Phase 1/2 clinical trial of AVR-RD-02 for the treatment of Gaucher disease type 1, which we refer to as the Guard1 clinical trial, and we are actively recruiting additional potential patients for our currently active sites. AVR-RD-05 is being studied for the treatment of Hunter syndrome by our collaborators at The University of Manchester, and a Phase 1/2 investigator-sponsored clinical trial is expected to be initiated in 2023. AVR-RD-06 is our preclinical program for the treatment of Gaucher disease type 3, and we expect to engage with regulatory authorities this year to discuss a potential Phase 2/3 clinical trial. Our AVR-RD-03 program for Pompe disease has completed preclinical development, and we are planning to engage with regulatory authorities this year to discuss a potential path to the clinic with the goal of initiating a clinical trial in 2023. In January 2022 we announced the deprioritization of AVR-RD-01, our investigational gene therapy program for Fabry disease. This decision was made due to several factors, including new clinical data showing variable engraftment patterns from the five most recently dosed patients in the Company’s Phase 2 clinical trial of AVR-RD-01 for the treatment of Fabry disease, which we refer to as the FAB-GT clinical trial. As a result of the deprioritization, the Company has stopped enrollment of its Phase 2 FAB-GT clinical trial and will focus on its other pipeline programs.</w:t>
      </w:r>
    </w:p>
    <w:p>
      <w:pPr>
        <w:spacing w:after="0" w:line="179" w:lineRule="exact"/>
        <w:rPr>
          <w:sz w:val="20"/>
          <w:szCs w:val="20"/>
          <w:color w:val="auto"/>
        </w:rPr>
      </w:pPr>
    </w:p>
    <w:p>
      <w:pPr>
        <w:ind w:right="200" w:firstLine="546"/>
        <w:spacing w:after="0" w:line="291"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December 31, 2021,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and gross cash proceeds, before deducting commissions and expenses, of $23.5 million from sales of our common stock through our “at-the-market” (ATM) facility.</w:t>
      </w:r>
    </w:p>
    <w:p>
      <w:pPr>
        <w:spacing w:after="0" w:line="166" w:lineRule="exact"/>
        <w:rPr>
          <w:sz w:val="20"/>
          <w:szCs w:val="20"/>
          <w:color w:val="auto"/>
        </w:rPr>
      </w:pPr>
    </w:p>
    <w:p>
      <w:pPr>
        <w:jc w:val="both"/>
        <w:ind w:right="240" w:firstLine="546"/>
        <w:spacing w:after="0" w:line="263" w:lineRule="auto"/>
        <w:rPr>
          <w:sz w:val="20"/>
          <w:szCs w:val="20"/>
          <w:color w:val="auto"/>
        </w:rPr>
      </w:pPr>
      <w:r>
        <w:rPr>
          <w:rFonts w:ascii="Arial" w:cs="Arial" w:eastAsia="Arial" w:hAnsi="Arial"/>
          <w:sz w:val="18"/>
          <w:szCs w:val="18"/>
          <w:color w:val="auto"/>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$119.1 million and $119.7 million for the years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ind w:right="60"/>
        <w:spacing w:after="0" w:line="254" w:lineRule="auto"/>
        <w:rPr>
          <w:sz w:val="20"/>
          <w:szCs w:val="20"/>
          <w:color w:val="auto"/>
        </w:rPr>
      </w:pPr>
      <w:r>
        <w:rPr>
          <w:rFonts w:ascii="Arial" w:cs="Arial" w:eastAsia="Arial" w:hAnsi="Arial"/>
          <w:sz w:val="18"/>
          <w:szCs w:val="18"/>
          <w:color w:val="auto"/>
        </w:rPr>
        <w:t>ended December 31, 2021 and 2020, respectively. As of December 31, 2021, we had an accumulated deficit of $383.5 million. We expect to continue to incur significant expenses for at least the next several years as we advance our current and future product candidates from discovery through preclinical development and clinical trials and seek regulatory approval of our product candidates. Our pipeline consists of five investigational gene therapies, two of which are currently in clinical development. As a result, further development of these programs will require us to expend significant resources to advance these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195"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follow-on offerings and sales of common stock under our “at-the-market” facility, or ATM Facility, as well as proceeds from our Loan and Security Agreement, or Term Loan Agreement, with the lenders party thereto from time to time, or the Lenders, and Silicon Valley Bank, as administrative agent and collateral agent for the Lenders, or the Agent. We may also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5" w:lineRule="exact"/>
        <w:rPr>
          <w:sz w:val="20"/>
          <w:szCs w:val="20"/>
          <w:color w:val="auto"/>
        </w:rPr>
      </w:pPr>
    </w:p>
    <w:p>
      <w:pPr>
        <w:jc w:val="both"/>
        <w:ind w:right="120" w:firstLine="546"/>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260" w:firstLine="546"/>
        <w:spacing w:after="0" w:line="301" w:lineRule="auto"/>
        <w:rPr>
          <w:sz w:val="20"/>
          <w:szCs w:val="20"/>
          <w:color w:val="auto"/>
        </w:rPr>
      </w:pPr>
      <w:r>
        <w:rPr>
          <w:rFonts w:ascii="Arial" w:cs="Arial" w:eastAsia="Arial" w:hAnsi="Arial"/>
          <w:sz w:val="16"/>
          <w:szCs w:val="16"/>
          <w:color w:val="auto"/>
        </w:rPr>
        <w:t>As of December 31, 2021, we had cash and cash equivalents of $189.6 million. We believe that our existing cash and cash equivalents as of December 31, 2021 will enable us to fund our operating expenses and capital expenditure requirements into the first quarter of 2024. We have based this estimate on assumptions that may prove to be wrong, and we could exhaust our available capital resources sooner than we expect. See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Resources.</w:t>
      </w:r>
      <w:r>
        <w:rPr>
          <w:rFonts w:ascii="Arial" w:cs="Arial" w:eastAsia="Arial" w:hAnsi="Arial"/>
          <w:sz w:val="16"/>
          <w:szCs w:val="16"/>
          <w:color w:val="auto"/>
        </w:rPr>
        <w:t>” To finance our operations beyond that point, we will need to raise additional capital, which cannot be assured.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6" w:lineRule="exact"/>
        <w:rPr>
          <w:sz w:val="20"/>
          <w:szCs w:val="20"/>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44" w:lineRule="exact"/>
        <w:rPr>
          <w:rFonts w:ascii="Arial" w:cs="Arial" w:eastAsia="Arial" w:hAnsi="Arial"/>
          <w:sz w:val="18"/>
          <w:szCs w:val="18"/>
          <w:color w:val="auto"/>
        </w:rPr>
      </w:pPr>
    </w:p>
    <w:p>
      <w:pPr>
        <w:ind w:left="960" w:right="180" w:hanging="412"/>
        <w:spacing w:after="0" w:line="342" w:lineRule="auto"/>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5" w:lineRule="exact"/>
        <w:rPr>
          <w:rFonts w:ascii="Arial" w:cs="Arial" w:eastAsia="Arial" w:hAnsi="Arial"/>
          <w:sz w:val="16"/>
          <w:szCs w:val="16"/>
          <w:color w:val="auto"/>
        </w:rPr>
      </w:pPr>
    </w:p>
    <w:p>
      <w:pPr>
        <w:ind w:left="960" w:hanging="41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62" w:lineRule="exact"/>
        <w:rPr>
          <w:rFonts w:ascii="Arial" w:cs="Arial" w:eastAsia="Arial" w:hAnsi="Arial"/>
          <w:sz w:val="18"/>
          <w:szCs w:val="18"/>
          <w:color w:val="auto"/>
        </w:rPr>
      </w:pPr>
    </w:p>
    <w:p>
      <w:pPr>
        <w:ind w:left="960" w:hanging="412"/>
        <w:spacing w:after="0" w:line="207" w:lineRule="exact"/>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our preclinical activities;</w:t>
      </w:r>
    </w:p>
    <w:p>
      <w:pPr>
        <w:spacing w:after="0" w:line="144" w:lineRule="exact"/>
        <w:rPr>
          <w:rFonts w:ascii="Arial" w:cs="Arial" w:eastAsia="Arial" w:hAnsi="Arial"/>
          <w:sz w:val="18"/>
          <w:szCs w:val="18"/>
          <w:color w:val="auto"/>
        </w:rPr>
      </w:pPr>
    </w:p>
    <w:p>
      <w:pPr>
        <w:ind w:left="960" w:right="520" w:hanging="41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ind w:firstLine="546"/>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right="300" w:firstLine="546"/>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our research and development expenses related to our product candidates (in thousands):</w:t>
      </w:r>
    </w:p>
    <w:p>
      <w:pPr>
        <w:spacing w:after="0" w:line="230"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Year Ended</w:t>
      </w:r>
    </w:p>
    <w:p>
      <w:pPr>
        <w:jc w:val="center"/>
        <w:ind w:left="5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Gaucher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Cystinosis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Hunter</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Other research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5,138</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47,523</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83,114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87,236</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960" w:hanging="412"/>
        <w:spacing w:after="0"/>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67" w:lineRule="exact"/>
        <w:rPr>
          <w:rFonts w:ascii="Arial" w:cs="Arial" w:eastAsia="Arial" w:hAnsi="Arial"/>
          <w:sz w:val="16"/>
          <w:szCs w:val="16"/>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93" w:name="page94"/>
    <w:bookmarkEnd w:id="93"/>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risks disclosed in the section entitled “Risk Factors” of this Annual Report on Form 10-K.</w:t>
      </w:r>
    </w:p>
    <w:p>
      <w:pPr>
        <w:spacing w:after="0" w:line="252" w:lineRule="exact"/>
        <w:rPr>
          <w:sz w:val="20"/>
          <w:szCs w:val="20"/>
          <w:color w:val="auto"/>
        </w:rPr>
      </w:pPr>
    </w:p>
    <w:p>
      <w:pPr>
        <w:ind w:right="120" w:firstLine="546"/>
        <w:spacing w:after="0" w:line="289"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60" w:firstLine="546"/>
        <w:spacing w:after="0" w:line="263"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other commercialization-related expenses as a result of our preparation for commercial operations, especially as it relates to the sales and marketing of our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Other (expense) income, net primarily consists of interest income earned on our cash and cash equivalents, changes in foreign currency, and interest expense related to our Term Loan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consolidated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83,114</w:t>
            </w:r>
          </w:p>
        </w:tc>
        <w:tc>
          <w:tcPr>
            <w:tcW w:w="160" w:type="dxa"/>
            <w:vAlign w:val="bottom"/>
          </w:tcPr>
          <w:p>
            <w:pPr>
              <w:spacing w:after="0"/>
              <w:rPr>
                <w:sz w:val="19"/>
                <w:szCs w:val="19"/>
                <w:color w:val="auto"/>
              </w:rPr>
            </w:pP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87,236</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(4,122)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0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32,992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120,228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(120,228)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(expense) income:</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income, net</w:t>
            </w:r>
          </w:p>
        </w:tc>
        <w:tc>
          <w:tcPr>
            <w:tcW w:w="2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(expense) income, net</w:t>
            </w:r>
          </w:p>
        </w:tc>
        <w:tc>
          <w:tcPr>
            <w:tcW w:w="20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loss</w:t>
            </w:r>
          </w:p>
        </w:tc>
        <w:tc>
          <w:tcPr>
            <w:tcW w:w="20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(119,712)</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40" w:type="dxa"/>
            <w:vAlign w:val="bottom"/>
            <w:vMerge w:val="restart"/>
          </w:tcPr>
          <w:p>
            <w:pPr>
              <w:jc w:val="right"/>
              <w:ind w:right="730"/>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expenses decreased by $4.1 million to $83.1 million for the year ended December 31, 2021, from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$87.2 million for the year ended December 31, 2020. This decrease was attributable to $9.1 million in non-recurring license fees incurred in 2020,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included an $8.0 million expense related to a one-time, upfront fee paid as consideration for in-licensing the Hunter syndrome program, a $1.2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 in non-cash stock-based compensation, and a $0.5 million decrease in other expenses. These decreases were partially offset by a $6.7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personnel-related costs.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General and administrative expenses increased by $2.7 million to $35.7 million for the year ended December 31, 2021, from $33.0 million for the year ended December 31, 2020. This increase was attributable to a $4.2 million increase in non-cash stock-based compensation and a $1.5 million increase in personnel-related costs, offset in part by a decrease in other expenses, primarily related to facilities costs, professional fees and legal fees, of $3.0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ind w:right="120" w:firstLine="546"/>
        <w:spacing w:after="0" w:line="263" w:lineRule="auto"/>
        <w:rPr>
          <w:sz w:val="20"/>
          <w:szCs w:val="20"/>
          <w:color w:val="auto"/>
        </w:rPr>
      </w:pPr>
      <w:r>
        <w:rPr>
          <w:rFonts w:ascii="Arial" w:cs="Arial" w:eastAsia="Arial" w:hAnsi="Arial"/>
          <w:sz w:val="18"/>
          <w:szCs w:val="18"/>
          <w:color w:val="auto"/>
        </w:rPr>
        <w:t>Other (expense) income, net was $(0.3) million for the year ended December 31, 2021, compared to $0.5 million of other income, net for the year ended December 31, 2020. The change was primarily due to a decrease of $0.6 million related to a decrease in interest income and $0.2 million in interest expense related to the Term Loan Agreement which was entered into during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initial public offering, or IPO, and we have raised additional capital through subsequent follow-on offerings and our ATM Facility, as well as through our Term Loan Agreement. Through December 31, 2021, we had received gross cash proceeds of $87.5 million from sales of our preferred stock; gross cash proceeds, before deducting underwriting discounts and commissions and expenses, of $428.1 million from sales of our common stock through our IPO and follow-on public offerings; $23.5 million in gross proceeds from the sale of our common stock under our ATM Facility; and we had drawn $15.0 million in term loans under our Term Loan Agreement.</w:t>
      </w:r>
    </w:p>
    <w:p>
      <w:pPr>
        <w:spacing w:after="0" w:line="195" w:lineRule="exact"/>
        <w:rPr>
          <w:sz w:val="20"/>
          <w:szCs w:val="20"/>
          <w:color w:val="auto"/>
        </w:rPr>
      </w:pPr>
    </w:p>
    <w:p>
      <w:pPr>
        <w:ind w:right="100" w:firstLine="546"/>
        <w:spacing w:after="0" w:line="301" w:lineRule="auto"/>
        <w:rPr>
          <w:sz w:val="20"/>
          <w:szCs w:val="20"/>
          <w:color w:val="auto"/>
        </w:rPr>
      </w:pPr>
      <w:r>
        <w:rPr>
          <w:rFonts w:ascii="Arial" w:cs="Arial" w:eastAsia="Arial" w:hAnsi="Arial"/>
          <w:sz w:val="16"/>
          <w:szCs w:val="16"/>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w:t>
      </w:r>
    </w:p>
    <w:p>
      <w:pPr>
        <w:spacing w:after="0" w:line="157"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4"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offering expenses payable by us, were $129.5 million.</w:t>
      </w:r>
    </w:p>
    <w:p>
      <w:pPr>
        <w:spacing w:after="0" w:line="171" w:lineRule="exact"/>
        <w:rPr>
          <w:sz w:val="20"/>
          <w:szCs w:val="20"/>
          <w:color w:val="auto"/>
        </w:rPr>
      </w:pPr>
    </w:p>
    <w:p>
      <w:pPr>
        <w:ind w:right="80" w:firstLine="546"/>
        <w:spacing w:after="0" w:line="311" w:lineRule="auto"/>
        <w:rPr>
          <w:sz w:val="20"/>
          <w:szCs w:val="20"/>
          <w:color w:val="auto"/>
        </w:rPr>
      </w:pPr>
      <w:r>
        <w:rPr>
          <w:rFonts w:ascii="Arial" w:cs="Arial" w:eastAsia="Arial" w:hAnsi="Arial"/>
          <w:sz w:val="16"/>
          <w:szCs w:val="16"/>
          <w:color w:val="auto"/>
        </w:rPr>
        <w:t>In February 2020, we closed an underwritten public offering, or the February 2020 Follow-On Offering, under the December 2019 Shelf of 4,350,000 shares of our common stock at a public offering price of $23.00 per share, less underwriting discounts and commissions. The net proceeds to us from this offering, after deducting underwriting discounts and commissions and other offering expenses payable by us, were $93.6 million.</w:t>
      </w:r>
    </w:p>
    <w:p>
      <w:pPr>
        <w:spacing w:after="0" w:line="149" w:lineRule="exact"/>
        <w:rPr>
          <w:sz w:val="20"/>
          <w:szCs w:val="20"/>
          <w:color w:val="auto"/>
        </w:rPr>
      </w:pPr>
    </w:p>
    <w:p>
      <w:pPr>
        <w:ind w:right="100" w:firstLine="546"/>
        <w:spacing w:after="0" w:line="308" w:lineRule="auto"/>
        <w:rPr>
          <w:sz w:val="20"/>
          <w:szCs w:val="20"/>
          <w:color w:val="auto"/>
        </w:rPr>
      </w:pPr>
      <w:r>
        <w:rPr>
          <w:rFonts w:ascii="Arial" w:cs="Arial" w:eastAsia="Arial" w:hAnsi="Arial"/>
          <w:sz w:val="18"/>
          <w:szCs w:val="18"/>
          <w:color w:val="auto"/>
        </w:rPr>
        <w:t>In June 2020, we sold an aggregate of 384,140 shares of common stock under the ATM Facility for net proceeds, after deducting commissions and other offering expenses payable by us, of $8.1 million.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95" w:name="page96"/>
    <w:bookmarkEnd w:id="95"/>
    <w:p>
      <w:pPr>
        <w:ind w:right="60" w:firstLine="546"/>
        <w:spacing w:after="0" w:line="303" w:lineRule="auto"/>
        <w:rPr>
          <w:sz w:val="20"/>
          <w:szCs w:val="20"/>
          <w:color w:val="auto"/>
        </w:rPr>
      </w:pPr>
      <w:r>
        <w:rPr>
          <w:rFonts w:ascii="Arial" w:cs="Arial" w:eastAsia="Arial" w:hAnsi="Arial"/>
          <w:sz w:val="17"/>
          <w:szCs w:val="17"/>
          <w:color w:val="auto"/>
        </w:rPr>
        <w:t>In November 2020, we closed an underwritten public offering, or the November 2020 Follow-On Offering, of 5,000,000 shares of our common stock at a public offering price of $15.00 per share, less underwriting discounts and commissions. The net proceeds to us from the November 2020 Follow-On Offering, after deducting underwriting discounts and commissions and other offering expenses payable by us, were $70.2 million.</w:t>
      </w:r>
    </w:p>
    <w:p>
      <w:pPr>
        <w:spacing w:after="0" w:line="151" w:lineRule="exact"/>
        <w:rPr>
          <w:sz w:val="20"/>
          <w:szCs w:val="20"/>
          <w:color w:val="auto"/>
        </w:rPr>
      </w:pPr>
    </w:p>
    <w:p>
      <w:pPr>
        <w:jc w:val="both"/>
        <w:ind w:right="160" w:firstLine="620"/>
        <w:spacing w:after="0" w:line="263" w:lineRule="auto"/>
        <w:rPr>
          <w:sz w:val="20"/>
          <w:szCs w:val="20"/>
          <w:color w:val="auto"/>
        </w:rPr>
      </w:pPr>
      <w:r>
        <w:rPr>
          <w:rFonts w:ascii="Arial" w:cs="Arial" w:eastAsia="Arial" w:hAnsi="Arial"/>
          <w:sz w:val="18"/>
          <w:szCs w:val="18"/>
          <w:color w:val="auto"/>
        </w:rPr>
        <w:t>In May 2021, we sold an aggregate of 1,829,268 shares of common stock under the ATM Facility for net proceeds, after deducting commissions and other offering expenses payable by us, of $14.5 million. As of December 31, 2021, approximately $26.5 million of common stock remained available for future issuance under the ATM Facility.</w:t>
      </w:r>
    </w:p>
    <w:p>
      <w:pPr>
        <w:spacing w:after="0" w:line="184" w:lineRule="exact"/>
        <w:rPr>
          <w:sz w:val="20"/>
          <w:szCs w:val="20"/>
          <w:color w:val="auto"/>
        </w:rPr>
      </w:pPr>
    </w:p>
    <w:p>
      <w:pPr>
        <w:ind w:right="60" w:firstLine="620"/>
        <w:spacing w:after="0" w:line="271" w:lineRule="auto"/>
        <w:rPr>
          <w:sz w:val="20"/>
          <w:szCs w:val="20"/>
          <w:color w:val="auto"/>
        </w:rPr>
      </w:pPr>
      <w:r>
        <w:rPr>
          <w:rFonts w:ascii="Arial" w:cs="Arial" w:eastAsia="Arial" w:hAnsi="Arial"/>
          <w:sz w:val="17"/>
          <w:szCs w:val="17"/>
          <w:color w:val="auto"/>
        </w:rPr>
        <w:t>On November 2, 2021, or the Closing Date, we entered into the Term Loan Agreement. The Term Loan Agreement provided for (i) on the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or the Milestone Funding; and (iii) an additional discretionary $15.0 million term loan facility available upon our request and approval by the Agent and the Lenders, or, collectively, the Term Loans. We drew $15.0 million in term loans on the Closing Date. As a result of the deprioritization of our Fabry disease program, we are no longer able to draw the $20.0 million of Milestone Funding per the terms of the Term Loan Agreement. The loan repayment schedule provides for interest only payments until November 1, 2024, followed by consecutive monthly payments of principal and interest. All unpaid principal and accrued and unpaid interest with respect to each term loan is due and payable in full on October 1, 2026.</w:t>
      </w:r>
    </w:p>
    <w:p>
      <w:pPr>
        <w:spacing w:after="0" w:line="178"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As of December 31, 2021, we had cash and cash equivalents of $189.6 million. Cash in excess of immediate requirements is invested primarily with a view to liquidity and capital preservation. We believe that our existing cash and cash equivalents as of December 31, 2021 will enable us to fund our operating expenses and capital expenditure requirements into the first quarter of 2024.</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57" w:lineRule="exact"/>
        <w:rPr>
          <w:sz w:val="20"/>
          <w:szCs w:val="20"/>
          <w:color w:val="auto"/>
        </w:rPr>
      </w:pPr>
    </w:p>
    <w:p>
      <w:pPr>
        <w:jc w:val="center"/>
        <w:ind w:left="3880"/>
        <w:spacing w:after="0"/>
        <w:rPr>
          <w:sz w:val="20"/>
          <w:szCs w:val="20"/>
          <w:color w:val="auto"/>
        </w:rPr>
      </w:pPr>
      <w:r>
        <w:rPr>
          <w:rFonts w:ascii="Arial" w:cs="Arial" w:eastAsia="Arial" w:hAnsi="Arial"/>
          <w:sz w:val="14"/>
          <w:szCs w:val="14"/>
          <w:b w:val="1"/>
          <w:bCs w:val="1"/>
          <w:color w:val="auto"/>
        </w:rPr>
        <w:t>Year Ended</w:t>
      </w:r>
    </w:p>
    <w:p>
      <w:pPr>
        <w:jc w:val="center"/>
        <w:ind w:left="38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48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(98,803)</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(2,461)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(1,177)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172,619</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w w:val="90"/>
              </w:rPr>
              <w:t>Net (decrease) increase in cash, cash equivalents and restricted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cash</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(70,115)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72,639</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60" w:type="dxa"/>
            <w:vAlign w:val="bottom"/>
            <w:vMerge w:val="restart"/>
          </w:tcPr>
          <w:p>
            <w:pPr>
              <w:jc w:val="right"/>
              <w:ind w:right="470"/>
              <w:spacing w:after="0"/>
              <w:rPr>
                <w:sz w:val="20"/>
                <w:szCs w:val="20"/>
                <w:color w:val="auto"/>
              </w:rPr>
            </w:pPr>
            <w:r>
              <w:rPr>
                <w:rFonts w:ascii="Arial" w:cs="Arial" w:eastAsia="Arial" w:hAnsi="Arial"/>
                <w:sz w:val="18"/>
                <w:szCs w:val="18"/>
                <w:color w:val="auto"/>
              </w:rPr>
              <w:t>90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the year ended December 31, 2021, operating activities used $98.0 million of cash and cash equivalents, resulting from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$119.1 million, partially off-set by net cash provided by changes in our operating assets and liabilities of $1.3 million and non-cash charges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$19.8 million. Net cash provided by changes in our operating assets and liabilities for the year ended December 31, 2021 consists primarily of a $2.1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increase in accrued expenses and other current liabilities, a $0.4 million decrease in other assets, and a $0.8 million increase in accounts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 $2.0 million increase in prepaid expenses and other current assets. The increase in accrued expenses and other current liabilities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an increase in accrued compensation and benefit costs.</w:t>
      </w:r>
    </w:p>
    <w:p>
      <w:pPr>
        <w:spacing w:after="0" w:line="211"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During the year ended December 31, 2020, operating activities used $98.8 million of cash and cash equivalents, resulting from our net loss of $119.7 million, partially off-set by net cash provided by changes in our operating assets and liabilities of $4.2 million and non-cash charges of $16.7 million. Net cash provided by changes in our operating assets and liabilities for the year ended December 31, 2020 consists primarily of a $3.9 million increase in accrued expenses and other current liabilities, a $1.1 million decrease in prepaid expenses and other current assets and a $0.1 million decrease in other assets, partially offset by a $0.9 million decrease in accounts payable. The increase in accrued expenses and other current liabilities was primarily due to a $3.4 million increase in accrued compensation and benefit costs.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840" w:firstLine="546"/>
        <w:spacing w:after="0" w:line="342" w:lineRule="auto"/>
        <w:rPr>
          <w:sz w:val="20"/>
          <w:szCs w:val="20"/>
          <w:color w:val="auto"/>
        </w:rPr>
      </w:pPr>
      <w:r>
        <w:rPr>
          <w:rFonts w:ascii="Arial" w:cs="Arial" w:eastAsia="Arial" w:hAnsi="Arial"/>
          <w:sz w:val="16"/>
          <w:szCs w:val="16"/>
          <w:color w:val="auto"/>
        </w:rPr>
        <w:t>Net cash used in investing activities was $2.5 million for the year ended December 31, 2021 compared to $1.2 million for the year ended December 31, 2020. The increase in cash used in investing activities was primarily due to an increase in purchases of property and equipment.</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0" w:firstLine="546"/>
        <w:spacing w:after="0" w:line="301" w:lineRule="auto"/>
        <w:rPr>
          <w:sz w:val="20"/>
          <w:szCs w:val="20"/>
          <w:color w:val="auto"/>
        </w:rPr>
      </w:pPr>
      <w:r>
        <w:rPr>
          <w:rFonts w:ascii="Arial" w:cs="Arial" w:eastAsia="Arial" w:hAnsi="Arial"/>
          <w:sz w:val="16"/>
          <w:szCs w:val="16"/>
          <w:color w:val="auto"/>
        </w:rPr>
        <w:t>Net cash provided by financing activities was $30.4 million for the year ended December 31, 2021 compared to $172.6 million for the year ended December 31, 2020. The decrease in cash provided by financing activities was primarily due to the $14.6 million in proceeds raised through our ATM Facility in 2021 and $15.0 million raised through the Term Loan Agreement in 2021, as compared to proceeds of $164.1 million raised collectively from the February 2020 Follow-On Offering and November 2020 Follow-On Offering, and proceeds of $8.1 million raised from our ATM Facility in 2020.</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Our expenses will also increase as we:</w:t>
      </w:r>
    </w:p>
    <w:p>
      <w:pPr>
        <w:spacing w:after="0" w:line="62" w:lineRule="exact"/>
        <w:rPr>
          <w:sz w:val="20"/>
          <w:szCs w:val="20"/>
          <w:color w:val="auto"/>
        </w:rPr>
      </w:pPr>
    </w:p>
    <w:p>
      <w:pPr>
        <w:ind w:left="960" w:right="240" w:hanging="41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the ongoing collaborator-sponsored clinical trial of AVR-RD-04 and our ongoing clinical trial of AVR-RD-02;</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future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44" w:lineRule="exact"/>
        <w:rPr>
          <w:rFonts w:ascii="Arial" w:cs="Arial" w:eastAsia="Arial" w:hAnsi="Arial"/>
          <w:sz w:val="18"/>
          <w:szCs w:val="18"/>
          <w:color w:val="auto"/>
        </w:rPr>
      </w:pPr>
    </w:p>
    <w:p>
      <w:pPr>
        <w:ind w:left="960" w:right="520" w:hanging="41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and scientific personnel;</w:t>
      </w:r>
    </w:p>
    <w:p>
      <w:pPr>
        <w:spacing w:after="0" w:line="144" w:lineRule="exact"/>
        <w:rPr>
          <w:rFonts w:ascii="Arial" w:cs="Arial" w:eastAsia="Arial" w:hAnsi="Arial"/>
          <w:sz w:val="18"/>
          <w:szCs w:val="18"/>
          <w:color w:val="auto"/>
        </w:rPr>
      </w:pPr>
    </w:p>
    <w:p>
      <w:pPr>
        <w:ind w:left="960" w:right="860" w:hanging="41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52"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We believe that our $189.6 million of existing cash and cash equivalents as of December 31, 2021, will enable us to fund our operating expenses and capital expenditure requirements into the first quarter of 2024. We have based these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7" w:name="page98"/>
    <w:bookmarkEnd w:id="97"/>
    <w:p>
      <w:pPr>
        <w:jc w:val="both"/>
        <w:ind w:right="140"/>
        <w:spacing w:after="0" w:line="263" w:lineRule="auto"/>
        <w:rPr>
          <w:sz w:val="20"/>
          <w:szCs w:val="20"/>
          <w:color w:val="auto"/>
        </w:rPr>
      </w:pPr>
      <w:r>
        <w:rPr>
          <w:rFonts w:ascii="Arial" w:cs="Arial" w:eastAsia="Arial" w:hAnsi="Arial"/>
          <w:sz w:val="18"/>
          <w:szCs w:val="18"/>
          <w:color w:val="auto"/>
        </w:rPr>
        <w:t>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84"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2021 and the effects that such obligations are expected to have on our liquidity and cash flows in future periods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0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w w:val="97"/>
              </w:rPr>
              <w:t>Less than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2"/>
              </w:rPr>
              <w:t>1 to 3</w:t>
            </w:r>
          </w:p>
        </w:tc>
        <w:tc>
          <w:tcPr>
            <w:tcW w:w="240" w:type="dxa"/>
            <w:vAlign w:val="bottom"/>
          </w:tcPr>
          <w:p>
            <w:pPr>
              <w:spacing w:after="0"/>
              <w:rPr>
                <w:sz w:val="11"/>
                <w:szCs w:val="11"/>
                <w:color w:val="auto"/>
              </w:rPr>
            </w:pPr>
          </w:p>
        </w:tc>
        <w:tc>
          <w:tcPr>
            <w:tcW w:w="108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4 to 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commitments (1)</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0" w:right="80" w:hanging="532"/>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leases for office and laboratory space, which are located in Cambridge, Massachusetts and Toronto, Canada. Those leases will expire from January 2023 to June 2025. The minimum lease payments above do not include any related common area maintenance charges or real estate taxes.</w:t>
      </w:r>
    </w:p>
    <w:p>
      <w:pPr>
        <w:spacing w:after="0" w:line="184"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In addition, pursuant to our license agreements with UHN, BioMarin, The University of Manchester, Papillon Therapeutics and the Lund University rights holders, we are required to make certain milestone and royalty payments to our licensors. See “Business—License Agreements” for additional details regarding our payment obligations to these licensors.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both"/>
        <w:ind w:right="120" w:firstLine="546"/>
        <w:spacing w:after="0" w:line="263" w:lineRule="auto"/>
        <w:rPr>
          <w:sz w:val="20"/>
          <w:szCs w:val="20"/>
          <w:color w:val="auto"/>
        </w:rPr>
      </w:pPr>
      <w:r>
        <w:rPr>
          <w:rFonts w:ascii="Arial" w:cs="Arial" w:eastAsia="Arial" w:hAnsi="Arial"/>
          <w:sz w:val="18"/>
          <w:szCs w:val="18"/>
          <w:color w:val="auto"/>
        </w:rPr>
        <w:t xml:space="preserve">While our significant accounting policies are described in more detail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8" w:name="page99"/>
    <w:bookmarkEnd w:id="98"/>
    <w:p>
      <w:pPr>
        <w:ind w:left="5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58" w:lineRule="exact"/>
        <w:rPr>
          <w:sz w:val="20"/>
          <w:szCs w:val="20"/>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52" w:lineRule="exact"/>
        <w:rPr>
          <w:sz w:val="20"/>
          <w:szCs w:val="20"/>
          <w:color w:val="auto"/>
        </w:rPr>
      </w:pPr>
    </w:p>
    <w:p>
      <w:pPr>
        <w:ind w:right="140" w:firstLine="546"/>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issued stock options, restricted stock and restricted stock units with service-based vesting conditions.</w:t>
      </w:r>
    </w:p>
    <w:p>
      <w:pPr>
        <w:spacing w:after="0" w:line="79" w:lineRule="exact"/>
        <w:rPr>
          <w:sz w:val="20"/>
          <w:szCs w:val="20"/>
          <w:color w:val="auto"/>
        </w:rPr>
      </w:pPr>
    </w:p>
    <w:p>
      <w:pPr>
        <w:jc w:val="both"/>
        <w:ind w:right="180" w:firstLine="546"/>
        <w:spacing w:after="0" w:line="263" w:lineRule="auto"/>
        <w:rPr>
          <w:sz w:val="20"/>
          <w:szCs w:val="20"/>
          <w:color w:val="auto"/>
        </w:rPr>
      </w:pPr>
      <w:r>
        <w:rPr>
          <w:rFonts w:ascii="Arial" w:cs="Arial" w:eastAsia="Arial" w:hAnsi="Arial"/>
          <w:sz w:val="18"/>
          <w:szCs w:val="18"/>
          <w:color w:val="auto"/>
        </w:rPr>
        <w:t>Modifications to stock-based awards are treated as an exchange of the original award for a new award with total compensation equal to the grant-date fair value of the original award plus any incremental value of the modification. The incremental value is based on the excess of the fair value of the modified award over the fair value of the original award immediately before the modification.</w:t>
      </w:r>
    </w:p>
    <w:p>
      <w:pPr>
        <w:spacing w:after="0" w:line="184"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 xml:space="preserve">Prior to the adoption of Accounting Standards Update (ASU) No. 2018-07,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 Share-Based Payment Accounting (ASU 2018-07)</w:t>
      </w:r>
      <w:r>
        <w:rPr>
          <w:rFonts w:ascii="Arial" w:cs="Arial" w:eastAsia="Arial" w:hAnsi="Arial"/>
          <w:sz w:val="17"/>
          <w:szCs w:val="17"/>
          <w:color w:val="auto"/>
        </w:rPr>
        <w:t>, as discussed in Note 2</w:t>
      </w:r>
      <w:r>
        <w:rPr>
          <w:rFonts w:ascii="Arial" w:cs="Arial" w:eastAsia="Arial" w:hAnsi="Arial"/>
          <w:sz w:val="17"/>
          <w:szCs w:val="17"/>
          <w:i w:val="1"/>
          <w:iCs w:val="1"/>
          <w:color w:val="auto"/>
        </w:rPr>
        <w:t xml:space="preserve"> “Summary of Significant Accounting Policies” </w:t>
      </w:r>
      <w:r>
        <w:rPr>
          <w:rFonts w:ascii="Arial" w:cs="Arial" w:eastAsia="Arial" w:hAnsi="Arial"/>
          <w:sz w:val="17"/>
          <w:szCs w:val="17"/>
          <w:color w:val="auto"/>
        </w:rPr>
        <w:t>to our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appearing elsewhere in this Annual Report, the measurement date for non-employee awards was generally the date the services were completed, resulting in financial reporting period adjustments to stock-based compensation during the vesting terms for changes in the fair value of the awards. After the adoption of ASU 2018-07, the measurement date for non-employee awards is the later of the adoption date of ASU 2018-07, or the date of grant, without change in the fair value of the award.</w:t>
      </w:r>
    </w:p>
    <w:p>
      <w:pPr>
        <w:spacing w:after="0" w:line="178"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4"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We determined the assumptions for the Black-Scholes option-pricing model as discussed below. Each of these inputs is subjective and generally requires significant judgment to determine.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99" w:name="page100"/>
    <w:bookmarkEnd w:id="99"/>
    <w:p>
      <w:pPr>
        <w:ind w:left="960" w:hanging="412"/>
        <w:spacing w:after="0" w:line="270" w:lineRule="auto"/>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Determination of the Fair Value of Common Stock. </w:t>
      </w:r>
      <w:r>
        <w:rPr>
          <w:rFonts w:ascii="Arial" w:cs="Arial" w:eastAsia="Arial" w:hAnsi="Arial"/>
          <w:sz w:val="17"/>
          <w:szCs w:val="17"/>
          <w:color w:val="auto"/>
        </w:rPr>
        <w:t>The fair value of our common stock is determined based on the quoted market price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Following the closing of our IPO, it was no longer necessary for our board of directors to estimate the fair market value of our common stock in connection with our accounting for granted equity awards.</w:t>
      </w:r>
    </w:p>
    <w:p>
      <w:pPr>
        <w:spacing w:after="0" w:line="72" w:lineRule="exact"/>
        <w:rPr>
          <w:rFonts w:ascii="Arial" w:cs="Arial" w:eastAsia="Arial" w:hAnsi="Arial"/>
          <w:sz w:val="17"/>
          <w:szCs w:val="17"/>
          <w:color w:val="auto"/>
        </w:rPr>
      </w:pPr>
    </w:p>
    <w:p>
      <w:pPr>
        <w:ind w:left="960" w:right="40" w:hanging="412"/>
        <w:spacing w:after="0" w:line="263"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granted has been determined using the simplified method, which uses the midpoint between the vesting date and the contractual term.</w:t>
      </w:r>
    </w:p>
    <w:p>
      <w:pPr>
        <w:spacing w:after="0" w:line="75" w:lineRule="exact"/>
        <w:rPr>
          <w:rFonts w:ascii="Arial" w:cs="Arial" w:eastAsia="Arial" w:hAnsi="Arial"/>
          <w:sz w:val="18"/>
          <w:szCs w:val="18"/>
          <w:color w:val="auto"/>
        </w:rPr>
      </w:pPr>
    </w:p>
    <w:p>
      <w:pPr>
        <w:ind w:left="960" w:right="80" w:hanging="41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date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maturity notes with terms approximately equal to the stock-based award’s expected term.</w:t>
      </w:r>
    </w:p>
    <w:p>
      <w:pPr>
        <w:spacing w:after="0" w:line="62" w:lineRule="exact"/>
        <w:rPr>
          <w:rFonts w:ascii="Arial" w:cs="Arial" w:eastAsia="Arial" w:hAnsi="Arial"/>
          <w:sz w:val="18"/>
          <w:szCs w:val="18"/>
          <w:color w:val="auto"/>
        </w:rPr>
      </w:pPr>
    </w:p>
    <w:p>
      <w:pPr>
        <w:ind w:left="960" w:right="140" w:hanging="412"/>
        <w:spacing w:after="0" w:line="263"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Because we do not have long-term trading history of our common stock, the expected volatility was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stock volatilities of several public companies within our industry that we consider to be comparable to our business over a period equivalent to the expected term of the stock-based awards.</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zero as we have not paid and do not anticipate paying any dividends in the foreseeable future.</w:t>
      </w:r>
    </w:p>
    <w:p>
      <w:pPr>
        <w:spacing w:after="0" w:line="264"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If any of the assumptions used in the Black-Scholes model change significantly, stock-based compensation for future awards may differ materially compared with the awards granted previously.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or we issue more than $1.0 billion of non-convertible debt securities over a three-year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46"/>
        <w:spacing w:after="0" w:line="308" w:lineRule="auto"/>
        <w:rPr>
          <w:sz w:val="20"/>
          <w:szCs w:val="20"/>
          <w:color w:val="auto"/>
        </w:rPr>
      </w:pPr>
      <w:r>
        <w:rPr>
          <w:rFonts w:ascii="Arial" w:cs="Arial" w:eastAsia="Arial" w:hAnsi="Arial"/>
          <w:sz w:val="17"/>
          <w:szCs w:val="17"/>
          <w:color w:val="auto"/>
        </w:rPr>
        <w:t xml:space="preserve">A description of recently issued accounting pronouncements that may potentially impact our financial position and results of operations is disclosed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to our audited financial statements appearing elsewhere in this Annual Report.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As of December 31, 2021, we had cash and cash equivalents of $189.6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debt-related obligations, financial position or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00" w:firstLine="546"/>
        <w:spacing w:after="0" w:line="271" w:lineRule="auto"/>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years ended December 31, 2021 and 2020, we recognized immaterial foreign currency transaction losses.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78" w:lineRule="exact"/>
        <w:rPr>
          <w:sz w:val="20"/>
          <w:szCs w:val="20"/>
          <w:color w:val="auto"/>
        </w:rPr>
      </w:pPr>
    </w:p>
    <w:p>
      <w:pPr>
        <w:ind w:right="340" w:firstLine="546"/>
        <w:spacing w:after="0" w:line="263"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All financial statements and supplementary data required to be filed hereunder are filed as listed under Item 15(a) of this Annual Report on Form 10-K and are incorporated herein by this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5" w:lineRule="exact"/>
        <w:rPr>
          <w:sz w:val="20"/>
          <w:szCs w:val="20"/>
          <w:color w:val="auto"/>
        </w:rPr>
      </w:pPr>
    </w:p>
    <w:p>
      <w:pPr>
        <w:ind w:right="380" w:firstLine="546"/>
        <w:spacing w:after="0" w:line="263" w:lineRule="auto"/>
        <w:rPr>
          <w:sz w:val="20"/>
          <w:szCs w:val="20"/>
          <w:color w:val="auto"/>
        </w:rPr>
      </w:pPr>
      <w:r>
        <w:rPr>
          <w:rFonts w:ascii="Arial" w:cs="Arial" w:eastAsia="Arial" w:hAnsi="Arial"/>
          <w:sz w:val="18"/>
          <w:szCs w:val="18"/>
          <w:color w:val="auto"/>
        </w:rPr>
        <w:t>Based on the evaluation of our disclosure controls and procedures as of December 31, 2021, our Chief Executive Officer and Chief Financial Officer concluded that our disclosure controls and procedures were effective at a reasonable assurance level as of the end of the period covered by this Annual Report on Form 10-K.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60" w:firstLine="546"/>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for the Company. Our internal control over financial reporting is designed to provide reasonable assurances regarding the reliability of financial reporting and the preparation of our consolidated financial statements in accordance with U.S. generally accepted accounting principles, or GAAP, and includes those policies and procedures that:</w:t>
      </w:r>
    </w:p>
    <w:p>
      <w:pPr>
        <w:spacing w:after="0" w:line="79" w:lineRule="exact"/>
        <w:rPr>
          <w:sz w:val="20"/>
          <w:szCs w:val="20"/>
          <w:color w:val="auto"/>
        </w:rPr>
      </w:pPr>
    </w:p>
    <w:p>
      <w:pPr>
        <w:ind w:left="940" w:right="60" w:hanging="392"/>
        <w:spacing w:after="0" w:line="277" w:lineRule="auto"/>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940" w:right="440" w:hanging="392"/>
        <w:spacing w:after="0" w:line="263" w:lineRule="auto"/>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5" w:lineRule="exact"/>
        <w:rPr>
          <w:rFonts w:ascii="Arial" w:cs="Arial" w:eastAsia="Arial" w:hAnsi="Arial"/>
          <w:sz w:val="18"/>
          <w:szCs w:val="18"/>
          <w:color w:val="auto"/>
        </w:rPr>
      </w:pPr>
    </w:p>
    <w:p>
      <w:pPr>
        <w:ind w:left="940" w:right="60" w:hanging="392"/>
        <w:spacing w:after="0" w:line="277" w:lineRule="auto"/>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or compliance with the policies or procedures may deteriorate.</w:t>
      </w:r>
    </w:p>
    <w:p>
      <w:pPr>
        <w:spacing w:after="0" w:line="292"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Our management, with the participation of its Chief Executive Officer and Chief Financial Officer, assessed our internal control over financial reporting as of December 31, 2021. Management based its assessment on criteria established in Internal Control—Integrated Framework issued by the Committee of Sponsoring Organizations of the Treadway Commission and concluded that our internal control over financial reporting was effective at the reasonable assurance level as of December 31, 2021.</w:t>
      </w:r>
    </w:p>
    <w:p>
      <w:pPr>
        <w:spacing w:after="0" w:line="79"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 transition period established by rules of the SEC for “emerging growth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firstLine="546"/>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year ended December 31, 2021 that has materially affected, or is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firstLine="546"/>
        <w:spacing w:after="0" w:line="311" w:lineRule="auto"/>
        <w:rPr>
          <w:sz w:val="20"/>
          <w:szCs w:val="20"/>
          <w:color w:val="auto"/>
        </w:rPr>
      </w:pPr>
      <w:r>
        <w:rPr>
          <w:rFonts w:ascii="Arial" w:cs="Arial" w:eastAsia="Arial" w:hAnsi="Arial"/>
          <w:sz w:val="16"/>
          <w:szCs w:val="16"/>
          <w:color w:val="auto"/>
        </w:rPr>
        <w:t>Certain information required by Part III is omitted from this Annual Report on Form 10-K and is incorporated by reference from our definitive proxy statement relating to our 2022 annual meeting of stockholders, pursuant to Regulation 14A of the Securities Exchange Act of 1934, as amended, also referred to in this Annual Report on Form 10-K as our 2022 Proxy Statement, which we expect to file with the SEC no later than April 29, 2022.</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Information required by this item with respect to our directors and executive officers and compliance with Section 16(a) of the Exchange Act will be included in our 2022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included in our 2022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380" w:firstLine="546"/>
        <w:spacing w:after="0" w:line="308" w:lineRule="auto"/>
        <w:rPr>
          <w:sz w:val="20"/>
          <w:szCs w:val="20"/>
          <w:color w:val="auto"/>
        </w:rPr>
      </w:pPr>
      <w:r>
        <w:rPr>
          <w:rFonts w:ascii="Arial" w:cs="Arial" w:eastAsia="Arial" w:hAnsi="Arial"/>
          <w:sz w:val="17"/>
          <w:szCs w:val="17"/>
          <w:color w:val="auto"/>
        </w:rPr>
        <w:t>The information required by this item regarding security ownership of certain beneficial owners and management and securities authorized for issuance under equity compensation plans will be included in our 2022 Proxy Statement and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40" w:firstLine="546"/>
        <w:spacing w:after="0" w:line="277"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included in our 2022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620" w:firstLine="546"/>
        <w:spacing w:after="0" w:line="277" w:lineRule="auto"/>
        <w:rPr>
          <w:sz w:val="20"/>
          <w:szCs w:val="20"/>
          <w:color w:val="auto"/>
        </w:rPr>
      </w:pPr>
      <w:r>
        <w:rPr>
          <w:rFonts w:ascii="Arial" w:cs="Arial" w:eastAsia="Arial" w:hAnsi="Arial"/>
          <w:sz w:val="18"/>
          <w:szCs w:val="18"/>
          <w:color w:val="auto"/>
        </w:rPr>
        <w:t>The information required by this item regarding principal accounting fees and services will be included in our 2022 Proxy Statement and is incorporated herein by reference.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3" w:name="page104"/>
    <w:bookmarkEnd w:id="103"/>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documents are included in this Annual Report on Form 10-K:</w:t>
      </w:r>
    </w:p>
    <w:p>
      <w:pPr>
        <w:spacing w:after="0" w:line="117" w:lineRule="exact"/>
        <w:rPr>
          <w:rFonts w:ascii="Arial" w:cs="Arial" w:eastAsia="Arial" w:hAnsi="Arial"/>
          <w:sz w:val="18"/>
          <w:szCs w:val="18"/>
          <w:color w:val="auto"/>
        </w:rPr>
      </w:pPr>
    </w:p>
    <w:p>
      <w:pPr>
        <w:ind w:left="880" w:right="1940" w:hanging="427"/>
        <w:spacing w:after="0" w:line="375" w:lineRule="auto"/>
        <w:tabs>
          <w:tab w:leader="none" w:pos="861"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following Report and Consolidated Financial Statements of the Company are included in this Annual Report: Report of Independent Registered Public Accounting Firm</w:t>
      </w:r>
    </w:p>
    <w:p>
      <w:pPr>
        <w:spacing w:after="0" w:line="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17" w:lineRule="exact"/>
        <w:rPr>
          <w:rFonts w:ascii="Arial" w:cs="Arial" w:eastAsia="Arial" w:hAnsi="Arial"/>
          <w:sz w:val="18"/>
          <w:szCs w:val="18"/>
          <w:color w:val="auto"/>
        </w:rPr>
      </w:pPr>
    </w:p>
    <w:p>
      <w:pPr>
        <w:ind w:left="880" w:right="5420"/>
        <w:spacing w:after="0" w:line="397" w:lineRule="auto"/>
        <w:rPr>
          <w:rFonts w:ascii="Arial" w:cs="Arial" w:eastAsia="Arial" w:hAnsi="Arial"/>
          <w:sz w:val="18"/>
          <w:szCs w:val="18"/>
          <w:color w:val="auto"/>
        </w:rPr>
      </w:pPr>
      <w:r>
        <w:rPr>
          <w:rFonts w:ascii="Arial" w:cs="Arial" w:eastAsia="Arial" w:hAnsi="Arial"/>
          <w:sz w:val="17"/>
          <w:szCs w:val="17"/>
          <w:color w:val="auto"/>
        </w:rPr>
        <w:t>Consolidated Statements of Operations and Comprehensive Loss Consolidated Statements of Stockholders’ Equity Consolidated Statements of Cash Flows</w:t>
      </w:r>
    </w:p>
    <w:p>
      <w:pPr>
        <w:spacing w:after="0" w:line="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860" w:hanging="407"/>
        <w:spacing w:after="0" w:line="277" w:lineRule="auto"/>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financial schedules have been omitted because the required information is either presented in the consolidated financial statements or the notes thereto or is not applicable or required.</w:t>
      </w:r>
    </w:p>
    <w:p>
      <w:pPr>
        <w:spacing w:after="0" w:line="62" w:lineRule="exact"/>
        <w:rPr>
          <w:rFonts w:ascii="Arial" w:cs="Arial" w:eastAsia="Arial" w:hAnsi="Arial"/>
          <w:sz w:val="18"/>
          <w:szCs w:val="18"/>
          <w:color w:val="auto"/>
        </w:rPr>
      </w:pPr>
    </w:p>
    <w:p>
      <w:pPr>
        <w:ind w:left="860" w:right="80" w:hanging="407"/>
        <w:spacing w:after="0" w:line="263" w:lineRule="auto"/>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40" w:type="dxa"/>
            <w:vAlign w:val="bottom"/>
            <w:gridSpan w:val="8"/>
            <w:vMerge w:val="restart"/>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0940" w:type="dxa"/>
            <w:vAlign w:val="bottom"/>
            <w:gridSpan w:val="8"/>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7"/>
                <w:szCs w:val="17"/>
                <w:color w:val="auto"/>
              </w:rPr>
            </w:pPr>
          </w:p>
        </w:tc>
        <w:tc>
          <w:tcPr>
            <w:tcW w:w="1280" w:type="dxa"/>
            <w:vAlign w:val="bottom"/>
            <w:tcBorders>
              <w:top w:val="single" w:sz="8" w:color="auto"/>
            </w:tcBorders>
            <w:gridSpan w:val="2"/>
          </w:tcPr>
          <w:p>
            <w:pPr>
              <w:spacing w:after="0"/>
              <w:rPr>
                <w:sz w:val="17"/>
                <w:szCs w:val="17"/>
                <w:color w:val="auto"/>
              </w:rPr>
            </w:pPr>
          </w:p>
        </w:tc>
        <w:tc>
          <w:tcPr>
            <w:tcW w:w="54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940" w:type="dxa"/>
            <w:vAlign w:val="bottom"/>
            <w:gridSpan w:val="8"/>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Operations and Comprehensive Loss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Consolidated Statements of Stockholders’ Equity</w:t>
              </w:r>
            </w:hyperlink>
          </w:p>
        </w:tc>
        <w:tc>
          <w:tcPr>
            <w:tcW w:w="1120" w:type="dxa"/>
            <w:vAlign w:val="bottom"/>
            <w:tcBorders>
              <w:top w:val="single" w:sz="8" w:color="0000EE"/>
            </w:tcBorders>
            <w:gridSpan w:val="2"/>
          </w:tcPr>
          <w:p>
            <w:pPr>
              <w:spacing w:after="0"/>
              <w:rPr>
                <w:sz w:val="17"/>
                <w:szCs w:val="17"/>
                <w:color w:val="auto"/>
              </w:rPr>
            </w:pPr>
          </w:p>
        </w:tc>
        <w:tc>
          <w:tcPr>
            <w:tcW w:w="62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Consolidated Statements of Cash Flows</w:t>
              </w:r>
            </w:hyperlink>
          </w:p>
        </w:tc>
        <w:tc>
          <w:tcPr>
            <w:tcW w:w="80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Notes to Consolidated Financial Statements</w:t>
              </w:r>
            </w:hyperlink>
          </w:p>
        </w:tc>
        <w:tc>
          <w:tcPr>
            <w:tcW w:w="77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5" w:name="page106"/>
    <w:bookmarkEnd w:id="10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AVROBIO,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audited the accompanying consolidated balance sheets of AVROBIO, Inc. (the Company) as of December 31, 2021 and 2020,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years then ended, in conformity with U.S. generally accepted accounting principles.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189,567</w:t>
            </w:r>
          </w:p>
        </w:tc>
        <w:tc>
          <w:tcPr>
            <w:tcW w:w="3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203,837</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6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3,486</w:t>
            </w:r>
          </w:p>
        </w:tc>
        <w:tc>
          <w:tcPr>
            <w:tcW w:w="300" w:type="dxa"/>
            <w:vAlign w:val="bottom"/>
          </w:tcPr>
          <w:p>
            <w:pPr>
              <w:spacing w:after="0"/>
              <w:rPr>
                <w:sz w:val="19"/>
                <w:szCs w:val="19"/>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1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Note payable, net of discount</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net of current portion</w:t>
            </w:r>
          </w:p>
        </w:tc>
        <w:tc>
          <w:tcPr>
            <w:tcW w:w="1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Stockholders’ equity:</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 shares authorized and</w:t>
            </w: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 shares issued or outstanding as of December 31, 2021 and 2020</w:t>
            </w: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480" w:type="dxa"/>
            <w:vAlign w:val="bottom"/>
          </w:tcPr>
          <w:p>
            <w:pPr>
              <w:ind w:left="260"/>
              <w:spacing w:after="0"/>
              <w:rPr>
                <w:sz w:val="20"/>
                <w:szCs w:val="20"/>
                <w:color w:val="auto"/>
              </w:rPr>
            </w:pPr>
            <w:r>
              <w:rPr>
                <w:rFonts w:ascii="Arial" w:cs="Arial" w:eastAsia="Arial" w:hAnsi="Arial"/>
                <w:sz w:val="18"/>
                <w:szCs w:val="18"/>
                <w:color w:val="auto"/>
              </w:rPr>
              <w:t>Common stock, $0.0001 par value; 150,000 shares authorized as of</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80"/>
              <w:spacing w:after="0"/>
              <w:rPr>
                <w:sz w:val="20"/>
                <w:szCs w:val="20"/>
                <w:color w:val="auto"/>
              </w:rPr>
            </w:pPr>
            <w:r>
              <w:rPr>
                <w:rFonts w:ascii="Arial" w:cs="Arial" w:eastAsia="Arial" w:hAnsi="Arial"/>
                <w:sz w:val="18"/>
                <w:szCs w:val="18"/>
                <w:color w:val="auto"/>
              </w:rPr>
              <w:t>December 31, 2021 and 2020; 43,652 and 41,569 shares issued and</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380"/>
              <w:spacing w:after="0"/>
              <w:rPr>
                <w:sz w:val="20"/>
                <w:szCs w:val="20"/>
                <w:color w:val="auto"/>
              </w:rPr>
            </w:pPr>
            <w:r>
              <w:rPr>
                <w:rFonts w:ascii="Arial" w:cs="Arial" w:eastAsia="Arial" w:hAnsi="Arial"/>
                <w:sz w:val="18"/>
                <w:szCs w:val="18"/>
                <w:color w:val="auto"/>
              </w:rPr>
              <w:t>outstanding as of December 31, 2021 and 2020, respectively</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(383,542)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(264,416)</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169,476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83,114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(118,841)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(119,126)</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(119,712)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(119,126)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89"/>
              <w:spacing w:after="0"/>
              <w:rPr>
                <w:sz w:val="20"/>
                <w:szCs w:val="20"/>
                <w:color w:val="auto"/>
              </w:rPr>
            </w:pPr>
            <w:r>
              <w:rPr>
                <w:rFonts w:ascii="Arial" w:cs="Arial" w:eastAsia="Arial" w:hAnsi="Arial"/>
                <w:sz w:val="13"/>
                <w:szCs w:val="13"/>
                <w:b w:val="1"/>
                <w:bCs w:val="1"/>
                <w:color w:val="auto"/>
              </w:rPr>
              <w:t>Additional</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Total</w:t>
            </w:r>
          </w:p>
        </w:tc>
      </w:tr>
      <w:tr>
        <w:trPr>
          <w:trHeight w:val="161"/>
        </w:trPr>
        <w:tc>
          <w:tcPr>
            <w:tcW w:w="378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89"/>
              <w:spacing w:after="0"/>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Stockholders’</w:t>
            </w:r>
          </w:p>
        </w:tc>
      </w:tr>
      <w:tr>
        <w:trPr>
          <w:trHeight w:val="156"/>
        </w:trPr>
        <w:tc>
          <w:tcPr>
            <w:tcW w:w="3780" w:type="dxa"/>
            <w:vAlign w:val="bottom"/>
          </w:tcPr>
          <w:p>
            <w:pPr>
              <w:spacing w:after="0"/>
              <w:rPr>
                <w:sz w:val="13"/>
                <w:szCs w:val="13"/>
                <w:color w:val="auto"/>
              </w:rPr>
            </w:pPr>
          </w:p>
        </w:tc>
        <w:tc>
          <w:tcPr>
            <w:tcW w:w="1120" w:type="dxa"/>
            <w:vAlign w:val="bottom"/>
          </w:tcPr>
          <w:p>
            <w:pPr>
              <w:jc w:val="right"/>
              <w:ind w:right="289"/>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3"/>
                <w:szCs w:val="13"/>
                <w:color w:val="auto"/>
              </w:rPr>
            </w:pPr>
          </w:p>
        </w:tc>
        <w:tc>
          <w:tcPr>
            <w:tcW w:w="880" w:type="dxa"/>
            <w:vAlign w:val="bottom"/>
          </w:tcPr>
          <w:p>
            <w:pPr>
              <w:jc w:val="right"/>
              <w:ind w:right="1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89"/>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Equity</w:t>
            </w:r>
          </w:p>
        </w:tc>
      </w:tr>
      <w:tr>
        <w:trPr>
          <w:trHeight w:val="155"/>
        </w:trPr>
        <w:tc>
          <w:tcPr>
            <w:tcW w:w="37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December 31, 2019</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31,643</w:t>
            </w:r>
          </w:p>
        </w:tc>
        <w:tc>
          <w:tcPr>
            <w:tcW w:w="28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ind w:right="730"/>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330,714</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(144,704)</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186,013</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tcPr>
          <w:p>
            <w:pPr>
              <w:ind w:left="260"/>
              <w:spacing w:after="0"/>
              <w:rPr>
                <w:sz w:val="20"/>
                <w:szCs w:val="20"/>
                <w:color w:val="auto"/>
              </w:rPr>
            </w:pPr>
            <w:r>
              <w:rPr>
                <w:rFonts w:ascii="Arial" w:cs="Arial" w:eastAsia="Arial" w:hAnsi="Arial"/>
                <w:sz w:val="14"/>
                <w:szCs w:val="14"/>
                <w:color w:val="auto"/>
              </w:rPr>
              <w:t>Vesting of restricted stock awards and units</w:t>
            </w:r>
          </w:p>
        </w:tc>
        <w:tc>
          <w:tcPr>
            <w:tcW w:w="1120" w:type="dxa"/>
            <w:vAlign w:val="bottom"/>
          </w:tcPr>
          <w:p>
            <w:pPr>
              <w:jc w:val="right"/>
              <w:spacing w:after="0"/>
              <w:rPr>
                <w:sz w:val="20"/>
                <w:szCs w:val="20"/>
                <w:color w:val="auto"/>
              </w:rPr>
            </w:pPr>
            <w:r>
              <w:rPr>
                <w:rFonts w:ascii="Arial" w:cs="Arial" w:eastAsia="Arial" w:hAnsi="Arial"/>
                <w:sz w:val="14"/>
                <w:szCs w:val="14"/>
                <w:color w:val="auto"/>
              </w:rPr>
              <w:t>31</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FF0FC"/>
          </w:tcPr>
          <w:p>
            <w:pPr>
              <w:spacing w:after="0"/>
              <w:rPr>
                <w:sz w:val="14"/>
                <w:szCs w:val="14"/>
                <w:color w:val="auto"/>
              </w:rPr>
            </w:pPr>
          </w:p>
        </w:tc>
      </w:tr>
      <w:tr>
        <w:trPr>
          <w:trHeight w:val="143"/>
        </w:trPr>
        <w:tc>
          <w:tcPr>
            <w:tcW w:w="37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 public</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780" w:type="dxa"/>
            <w:vAlign w:val="bottom"/>
          </w:tcPr>
          <w:p>
            <w:pPr>
              <w:ind w:left="360"/>
              <w:spacing w:after="0"/>
              <w:rPr>
                <w:sz w:val="20"/>
                <w:szCs w:val="20"/>
                <w:color w:val="auto"/>
              </w:rPr>
            </w:pPr>
            <w:r>
              <w:rPr>
                <w:rFonts w:ascii="Arial" w:cs="Arial" w:eastAsia="Arial" w:hAnsi="Arial"/>
                <w:sz w:val="14"/>
                <w:szCs w:val="14"/>
                <w:color w:val="auto"/>
              </w:rPr>
              <w:t>offerings, net of offering costs of $697</w:t>
            </w:r>
          </w:p>
        </w:tc>
        <w:tc>
          <w:tcPr>
            <w:tcW w:w="1120" w:type="dxa"/>
            <w:vAlign w:val="bottom"/>
          </w:tcPr>
          <w:p>
            <w:pPr>
              <w:jc w:val="right"/>
              <w:spacing w:after="0"/>
              <w:rPr>
                <w:sz w:val="20"/>
                <w:szCs w:val="20"/>
                <w:color w:val="auto"/>
              </w:rPr>
            </w:pPr>
            <w:r>
              <w:rPr>
                <w:rFonts w:ascii="Arial" w:cs="Arial" w:eastAsia="Arial" w:hAnsi="Arial"/>
                <w:sz w:val="14"/>
                <w:szCs w:val="14"/>
                <w:color w:val="auto"/>
              </w:rPr>
              <w:t>9,350</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163,848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163,849</w:t>
            </w:r>
          </w:p>
        </w:tc>
        <w:tc>
          <w:tcPr>
            <w:tcW w:w="120" w:type="dxa"/>
            <w:vAlign w:val="bottom"/>
          </w:tcPr>
          <w:p>
            <w:pPr>
              <w:spacing w:after="0"/>
              <w:rPr>
                <w:sz w:val="14"/>
                <w:szCs w:val="14"/>
                <w:color w:val="auto"/>
              </w:rPr>
            </w:pPr>
          </w:p>
        </w:tc>
      </w:tr>
      <w:tr>
        <w:trPr>
          <w:trHeight w:val="143"/>
        </w:trPr>
        <w:tc>
          <w:tcPr>
            <w:tcW w:w="3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under</w:t>
            </w:r>
          </w:p>
        </w:tc>
        <w:tc>
          <w:tcPr>
            <w:tcW w:w="1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7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ATM facility, net of offering costs of $67</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8,130</w:t>
            </w:r>
          </w:p>
        </w:tc>
        <w:tc>
          <w:tcPr>
            <w:tcW w:w="120" w:type="dxa"/>
            <w:vAlign w:val="bottom"/>
            <w:shd w:val="clear" w:color="auto" w:fill="CFF0FC"/>
          </w:tcPr>
          <w:p>
            <w:pPr>
              <w:spacing w:after="0"/>
              <w:rPr>
                <w:sz w:val="14"/>
                <w:szCs w:val="14"/>
                <w:color w:val="auto"/>
              </w:rPr>
            </w:pPr>
          </w:p>
        </w:tc>
      </w:tr>
      <w:tr>
        <w:trPr>
          <w:trHeight w:val="143"/>
        </w:trPr>
        <w:tc>
          <w:tcPr>
            <w:tcW w:w="37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under 2018 employee stock</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780" w:type="dxa"/>
            <w:vAlign w:val="bottom"/>
          </w:tcPr>
          <w:p>
            <w:pPr>
              <w:ind w:left="400"/>
              <w:spacing w:after="0"/>
              <w:rPr>
                <w:sz w:val="20"/>
                <w:szCs w:val="20"/>
                <w:color w:val="auto"/>
              </w:rPr>
            </w:pPr>
            <w:r>
              <w:rPr>
                <w:rFonts w:ascii="Arial" w:cs="Arial" w:eastAsia="Arial" w:hAnsi="Arial"/>
                <w:sz w:val="14"/>
                <w:szCs w:val="14"/>
                <w:color w:val="auto"/>
              </w:rPr>
              <w:t>purchase plan</w:t>
            </w: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4"/>
                <w:szCs w:val="14"/>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15,628</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15,628</w:t>
            </w:r>
          </w:p>
        </w:tc>
        <w:tc>
          <w:tcPr>
            <w:tcW w:w="120" w:type="dxa"/>
            <w:vAlign w:val="bottom"/>
            <w:shd w:val="clear" w:color="auto" w:fill="CFF0FC"/>
          </w:tcPr>
          <w:p>
            <w:pPr>
              <w:spacing w:after="0"/>
              <w:rPr>
                <w:sz w:val="14"/>
                <w:szCs w:val="14"/>
                <w:color w:val="auto"/>
              </w:rPr>
            </w:pPr>
          </w:p>
        </w:tc>
      </w:tr>
      <w:tr>
        <w:trPr>
          <w:trHeight w:val="162"/>
        </w:trPr>
        <w:tc>
          <w:tcPr>
            <w:tcW w:w="37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(119,712)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(119,712)</w:t>
            </w:r>
          </w:p>
        </w:tc>
      </w:tr>
      <w:tr>
        <w:trPr>
          <w:trHeight w:val="155"/>
        </w:trPr>
        <w:tc>
          <w:tcPr>
            <w:tcW w:w="37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December 31, 2020</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41,569</w:t>
            </w:r>
          </w:p>
        </w:tc>
        <w:tc>
          <w:tcPr>
            <w:tcW w:w="28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518,756</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(264,416)</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254,344</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18,579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18,579</w:t>
            </w:r>
          </w:p>
        </w:tc>
        <w:tc>
          <w:tcPr>
            <w:tcW w:w="120" w:type="dxa"/>
            <w:vAlign w:val="bottom"/>
          </w:tcPr>
          <w:p>
            <w:pPr>
              <w:spacing w:after="0"/>
              <w:rPr>
                <w:sz w:val="14"/>
                <w:szCs w:val="14"/>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780" w:type="dxa"/>
            <w:vAlign w:val="bottom"/>
          </w:tcPr>
          <w:p>
            <w:pPr>
              <w:ind w:left="260"/>
              <w:spacing w:after="0"/>
              <w:rPr>
                <w:sz w:val="20"/>
                <w:szCs w:val="20"/>
                <w:color w:val="auto"/>
              </w:rPr>
            </w:pPr>
            <w:r>
              <w:rPr>
                <w:rFonts w:ascii="Arial" w:cs="Arial" w:eastAsia="Arial" w:hAnsi="Arial"/>
                <w:sz w:val="14"/>
                <w:szCs w:val="14"/>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4"/>
                <w:szCs w:val="14"/>
                <w:color w:val="auto"/>
              </w:rPr>
              <w:t>226</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14"/>
                <w:szCs w:val="14"/>
                <w:color w:val="auto"/>
              </w:rPr>
            </w:pPr>
          </w:p>
        </w:tc>
      </w:tr>
      <w:tr>
        <w:trPr>
          <w:trHeight w:val="143"/>
        </w:trPr>
        <w:tc>
          <w:tcPr>
            <w:tcW w:w="3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under</w:t>
            </w:r>
          </w:p>
        </w:tc>
        <w:tc>
          <w:tcPr>
            <w:tcW w:w="1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7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ATM facility, net of offering costs of $47</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1,829</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14,550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14,550</w:t>
            </w:r>
          </w:p>
        </w:tc>
        <w:tc>
          <w:tcPr>
            <w:tcW w:w="120" w:type="dxa"/>
            <w:vAlign w:val="bottom"/>
            <w:shd w:val="clear" w:color="auto" w:fill="CFF0FC"/>
          </w:tcPr>
          <w:p>
            <w:pPr>
              <w:spacing w:after="0"/>
              <w:rPr>
                <w:sz w:val="14"/>
                <w:szCs w:val="14"/>
                <w:color w:val="auto"/>
              </w:rPr>
            </w:pPr>
          </w:p>
        </w:tc>
      </w:tr>
      <w:tr>
        <w:trPr>
          <w:trHeight w:val="143"/>
        </w:trPr>
        <w:tc>
          <w:tcPr>
            <w:tcW w:w="37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under 2018 employee stock</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780" w:type="dxa"/>
            <w:vAlign w:val="bottom"/>
          </w:tcPr>
          <w:p>
            <w:pPr>
              <w:ind w:left="400"/>
              <w:spacing w:after="0"/>
              <w:rPr>
                <w:sz w:val="20"/>
                <w:szCs w:val="20"/>
                <w:color w:val="auto"/>
              </w:rPr>
            </w:pPr>
            <w:r>
              <w:rPr>
                <w:rFonts w:ascii="Arial" w:cs="Arial" w:eastAsia="Arial" w:hAnsi="Arial"/>
                <w:sz w:val="14"/>
                <w:szCs w:val="14"/>
                <w:color w:val="auto"/>
              </w:rPr>
              <w:t>purchase plan</w:t>
            </w: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4"/>
                <w:szCs w:val="14"/>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(119,126)</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(119,126)</w:t>
            </w:r>
          </w:p>
        </w:tc>
      </w:tr>
      <w:tr>
        <w:trPr>
          <w:trHeight w:val="155"/>
        </w:trPr>
        <w:tc>
          <w:tcPr>
            <w:tcW w:w="3780" w:type="dxa"/>
            <w:vAlign w:val="bottom"/>
          </w:tcPr>
          <w:p>
            <w:pPr>
              <w:spacing w:after="0" w:line="155" w:lineRule="exact"/>
              <w:rPr>
                <w:sz w:val="20"/>
                <w:szCs w:val="20"/>
                <w:color w:val="auto"/>
              </w:rPr>
            </w:pPr>
            <w:r>
              <w:rPr>
                <w:rFonts w:ascii="Arial" w:cs="Arial" w:eastAsia="Arial" w:hAnsi="Arial"/>
                <w:sz w:val="14"/>
                <w:szCs w:val="14"/>
                <w:color w:val="auto"/>
              </w:rPr>
              <w:t>Balance as of December 31, 2021</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43,652</w:t>
            </w:r>
          </w:p>
        </w:tc>
        <w:tc>
          <w:tcPr>
            <w:tcW w:w="2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30"/>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553,014</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(383,542)</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169,476</w:t>
            </w:r>
          </w:p>
        </w:tc>
        <w:tc>
          <w:tcPr>
            <w:tcW w:w="120" w:type="dxa"/>
            <w:vAlign w:val="bottom"/>
          </w:tcPr>
          <w:p>
            <w:pPr>
              <w:spacing w:after="0"/>
              <w:rPr>
                <w:sz w:val="13"/>
                <w:szCs w:val="13"/>
                <w:color w:val="auto"/>
              </w:rPr>
            </w:pPr>
          </w:p>
        </w:tc>
      </w:tr>
      <w:tr>
        <w:trPr>
          <w:trHeight w:val="20"/>
        </w:trPr>
        <w:tc>
          <w:tcPr>
            <w:tcW w:w="3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4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(119,126)</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(119,712)</w:t>
            </w: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Deferred rent expense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(2,461)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00" w:type="dxa"/>
            <w:vAlign w:val="bottom"/>
          </w:tcPr>
          <w:p>
            <w:pPr>
              <w:spacing w:after="0"/>
              <w:rPr>
                <w:sz w:val="20"/>
                <w:szCs w:val="20"/>
                <w:color w:val="auto"/>
              </w:rPr>
            </w:pPr>
            <w:r>
              <w:rPr>
                <w:rFonts w:ascii="Arial" w:cs="Arial" w:eastAsia="Arial" w:hAnsi="Arial"/>
                <w:sz w:val="18"/>
                <w:szCs w:val="18"/>
                <w:color w:val="auto"/>
              </w:rPr>
              <w:t>Proceeds from issuance of common stock upon completion of public</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offerings, net of offering costs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164,053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debt</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Payments of issuance cost related to long-term debt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under ATM facility, net of offering costs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under 2018 employee stock purchase plan</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190,059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w:t>
            </w: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Interest paid</w:t>
            </w:r>
          </w:p>
        </w:tc>
        <w:tc>
          <w:tcPr>
            <w:tcW w:w="6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offering costs incurred but unpaid at period end</w:t>
            </w:r>
          </w:p>
        </w:tc>
        <w:tc>
          <w:tcPr>
            <w:tcW w:w="6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00" w:type="dxa"/>
            <w:vAlign w:val="bottom"/>
          </w:tcPr>
          <w:p>
            <w:pPr>
              <w:spacing w:after="0"/>
              <w:rPr>
                <w:sz w:val="20"/>
                <w:szCs w:val="20"/>
                <w:color w:val="auto"/>
              </w:rPr>
            </w:pPr>
            <w:r>
              <w:rPr>
                <w:rFonts w:ascii="Arial" w:cs="Arial" w:eastAsia="Arial" w:hAnsi="Arial"/>
                <w:sz w:val="18"/>
                <w:szCs w:val="18"/>
                <w:b w:val="1"/>
                <w:bCs w:val="1"/>
                <w:color w:val="auto"/>
                <w:w w:val="92"/>
              </w:rPr>
              <w:t>Reconciliation of cash, cash equivalents and restricted cash reported within the consolidated</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6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189,567</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190,059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0" w:name="page111"/>
    <w:bookmarkEnd w:id="110"/>
    <w:p>
      <w:pPr>
        <w:jc w:val="center"/>
        <w:ind w:right="-5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380" w:firstLine="546"/>
        <w:spacing w:after="0" w:line="277"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70" w:lineRule="exact"/>
        <w:rPr>
          <w:sz w:val="20"/>
          <w:szCs w:val="20"/>
          <w:color w:val="auto"/>
        </w:rPr>
      </w:pPr>
    </w:p>
    <w:p>
      <w:pPr>
        <w:ind w:right="140" w:firstLine="546"/>
        <w:spacing w:after="0" w:line="297"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1"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The Company has devoted substantially all of its efforts to research and development, business planning, acquiring operating assets, seeking protection for its technology and product candidates, and raising capital. Since inception, the Company has funded its operations through sales of preferred stock and common stock and a term loan facility. As of December 31, 2021, the Company had an accumulated deficit of $383,542. Although the Company has incurred recurring losses and expects to continue to incur losses for the foreseeable future, the Company expects that its existing cash and cash equivalents on hand as of December 31, 2021 of $189,567 will be sufficient to fund current planned operations and capital expenditure requirements for at least the next twelve months from the filing date of this Annual Report on Form 10-K with the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61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11" w:name="page112"/>
    <w:bookmarkEnd w:id="111"/>
    <w:p>
      <w:pPr>
        <w:ind w:right="200"/>
        <w:spacing w:after="0" w:line="220" w:lineRule="exact"/>
        <w:rPr>
          <w:sz w:val="20"/>
          <w:szCs w:val="20"/>
          <w:color w:val="auto"/>
        </w:rPr>
      </w:pPr>
      <w:r>
        <w:rPr>
          <w:rFonts w:ascii="Arial" w:cs="Arial" w:eastAsia="Arial" w:hAnsi="Arial"/>
          <w:sz w:val="18"/>
          <w:szCs w:val="18"/>
          <w:color w:val="auto"/>
        </w:rPr>
        <w:t>On an on</w:t>
      </w:r>
      <w:r>
        <w:rPr>
          <w:rFonts w:ascii="MS PGothic" w:cs="MS PGothic" w:eastAsia="MS PGothic" w:hAnsi="MS PGothic"/>
          <w:sz w:val="18"/>
          <w:szCs w:val="18"/>
          <w:color w:val="auto"/>
        </w:rPr>
        <w:t>‑</w:t>
      </w:r>
      <w:r>
        <w:rPr>
          <w:rFonts w:ascii="Arial" w:cs="Arial" w:eastAsia="Arial" w:hAnsi="Arial"/>
          <w:sz w:val="18"/>
          <w:szCs w:val="18"/>
          <w:color w:val="auto"/>
        </w:rPr>
        <w:t>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31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80" w:firstLine="546"/>
        <w:spacing w:after="0" w:line="377" w:lineRule="auto"/>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acquisition to be cash equivalents. As of December 31, 2021 and 2020, cash and cash equivalents were primarily held in interest-bearing money market funds.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80" w:firstLine="546"/>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0" w:lineRule="exact"/>
        <w:rPr>
          <w:sz w:val="20"/>
          <w:szCs w:val="20"/>
          <w:color w:val="auto"/>
        </w:rPr>
      </w:pPr>
    </w:p>
    <w:p>
      <w:pPr>
        <w:ind w:left="960" w:right="100" w:hanging="41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 Fair values are determined utilizing prices (unadjusted)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960" w:right="120" w:hanging="412"/>
        <w:spacing w:after="0" w:line="263"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5" w:lineRule="exact"/>
        <w:rPr>
          <w:rFonts w:ascii="Arial" w:cs="Arial" w:eastAsia="Arial" w:hAnsi="Arial"/>
          <w:sz w:val="18"/>
          <w:szCs w:val="18"/>
          <w:color w:val="auto"/>
        </w:rPr>
      </w:pPr>
    </w:p>
    <w:p>
      <w:pPr>
        <w:ind w:left="960" w:right="200" w:hanging="41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right="880" w:firstLine="546"/>
        <w:spacing w:after="0" w:line="224" w:lineRule="exact"/>
        <w:rPr>
          <w:sz w:val="20"/>
          <w:szCs w:val="20"/>
          <w:color w:val="auto"/>
        </w:rPr>
      </w:pPr>
      <w:r>
        <w:rPr>
          <w:rFonts w:ascii="Arial" w:cs="Arial" w:eastAsia="Arial" w:hAnsi="Arial"/>
          <w:sz w:val="17"/>
          <w:szCs w:val="17"/>
          <w:color w:val="auto"/>
        </w:rPr>
        <w:t>The carrying amounts of the Company’s financial instruments, which include cash equivalents, accounts payable, and accrued expenses, approximated their fair values as of December 31, 2021 and 2020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these instruments.</w:t>
      </w:r>
    </w:p>
    <w:p>
      <w:pPr>
        <w:spacing w:after="0" w:line="202" w:lineRule="exact"/>
        <w:rPr>
          <w:sz w:val="20"/>
          <w:szCs w:val="20"/>
          <w:color w:val="auto"/>
        </w:rPr>
      </w:pPr>
    </w:p>
    <w:p>
      <w:pPr>
        <w:ind w:right="220" w:firstLine="546"/>
        <w:spacing w:after="0" w:line="263" w:lineRule="auto"/>
        <w:rPr>
          <w:sz w:val="20"/>
          <w:szCs w:val="20"/>
          <w:color w:val="auto"/>
        </w:rPr>
      </w:pPr>
      <w:r>
        <w:rPr>
          <w:rFonts w:ascii="Arial" w:cs="Arial" w:eastAsia="Arial" w:hAnsi="Arial"/>
          <w:sz w:val="18"/>
          <w:szCs w:val="18"/>
          <w:color w:val="auto"/>
        </w:rPr>
        <w:t xml:space="preserve">The Company has evaluated the estimated fair value of financial instruments using available market information. The use of different market assumptions, estimation methodologies, or both, could have a significant effect on the estimated fair value amounts. See Note 4 </w:t>
      </w:r>
      <w:r>
        <w:rPr>
          <w:rFonts w:ascii="Arial" w:cs="Arial" w:eastAsia="Arial" w:hAnsi="Arial"/>
          <w:sz w:val="18"/>
          <w:szCs w:val="18"/>
          <w:i w:val="1"/>
          <w:iCs w:val="1"/>
          <w:color w:val="auto"/>
        </w:rPr>
        <w:t>“Fair Value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Liabilities” </w:t>
      </w:r>
      <w:r>
        <w:rPr>
          <w:rFonts w:ascii="Arial" w:cs="Arial" w:eastAsia="Arial" w:hAnsi="Arial"/>
          <w:sz w:val="18"/>
          <w:szCs w:val="18"/>
          <w:color w:val="auto"/>
        </w:rPr>
        <w:t>for further discussion.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720" w:firstLine="546"/>
        <w:spacing w:after="0" w:line="277" w:lineRule="auto"/>
        <w:rPr>
          <w:sz w:val="20"/>
          <w:szCs w:val="20"/>
          <w:color w:val="auto"/>
        </w:rPr>
      </w:pPr>
      <w:r>
        <w:rPr>
          <w:rFonts w:ascii="Arial" w:cs="Arial" w:eastAsia="Arial" w:hAnsi="Arial"/>
          <w:sz w:val="18"/>
          <w:szCs w:val="18"/>
          <w:color w:val="auto"/>
        </w:rPr>
        <w:t>Property and equipment are recorded at cost. Depreciation and amortization is calculated using the straight-line method over the following estimated useful lives of the assets: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280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c>
          <w:tcPr>
            <w:tcW w:w="2240" w:type="dxa"/>
            <w:vAlign w:val="bottom"/>
          </w:tcPr>
          <w:p>
            <w:pPr>
              <w:spacing w:after="0"/>
              <w:rPr>
                <w:sz w:val="14"/>
                <w:szCs w:val="14"/>
                <w:color w:val="auto"/>
              </w:rPr>
            </w:pPr>
          </w:p>
        </w:tc>
      </w:tr>
      <w:tr>
        <w:trPr>
          <w:trHeight w:val="223"/>
        </w:trPr>
        <w:tc>
          <w:tcPr>
            <w:tcW w:w="226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840" w:type="dxa"/>
            <w:vAlign w:val="bottom"/>
            <w:shd w:val="clear" w:color="auto" w:fill="CFF0FC"/>
          </w:tcPr>
          <w:p>
            <w:pPr>
              <w:spacing w:after="0"/>
              <w:rPr>
                <w:sz w:val="19"/>
                <w:szCs w:val="19"/>
                <w:color w:val="auto"/>
              </w:rPr>
            </w:pPr>
          </w:p>
        </w:tc>
        <w:tc>
          <w:tcPr>
            <w:tcW w:w="3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Computer equipment</w:t>
            </w:r>
          </w:p>
        </w:tc>
        <w:tc>
          <w:tcPr>
            <w:tcW w:w="84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2 years</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840" w:type="dxa"/>
            <w:vAlign w:val="bottom"/>
            <w:shd w:val="clear" w:color="auto" w:fill="CFF0FC"/>
          </w:tcPr>
          <w:p>
            <w:pPr>
              <w:spacing w:after="0"/>
              <w:rPr>
                <w:sz w:val="19"/>
                <w:szCs w:val="19"/>
                <w:color w:val="auto"/>
              </w:rPr>
            </w:pPr>
          </w:p>
        </w:tc>
        <w:tc>
          <w:tcPr>
            <w:tcW w:w="3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Lesser of lease term or 10 years</w:t>
            </w:r>
          </w:p>
        </w:tc>
        <w:tc>
          <w:tcPr>
            <w:tcW w:w="2240" w:type="dxa"/>
            <w:vAlign w:val="bottom"/>
          </w:tcPr>
          <w:p>
            <w:pPr>
              <w:spacing w:after="0"/>
              <w:rPr>
                <w:sz w:val="19"/>
                <w:szCs w:val="19"/>
                <w:color w:val="auto"/>
              </w:rPr>
            </w:pPr>
          </w:p>
        </w:tc>
      </w:tr>
      <w:tr>
        <w:trPr>
          <w:trHeight w:val="648"/>
        </w:trPr>
        <w:tc>
          <w:tcPr>
            <w:tcW w:w="2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940" w:type="dxa"/>
            <w:vAlign w:val="bottom"/>
            <w:gridSpan w:val="2"/>
          </w:tcPr>
          <w:p>
            <w:pPr>
              <w:ind w:left="440"/>
              <w:spacing w:after="0"/>
              <w:rPr>
                <w:sz w:val="20"/>
                <w:szCs w:val="20"/>
                <w:color w:val="auto"/>
              </w:rPr>
            </w:pPr>
            <w:r>
              <w:rPr>
                <w:rFonts w:ascii="Arial" w:cs="Arial" w:eastAsia="Arial" w:hAnsi="Arial"/>
                <w:sz w:val="18"/>
                <w:szCs w:val="18"/>
                <w:color w:val="auto"/>
              </w:rPr>
              <w:t>F-8</w:t>
            </w: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2" w:name="page113"/>
    <w:bookmarkEnd w:id="112"/>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did not record any impairment loss during the years ended December 31, 2021 and 2020.</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00" w:firstLine="545"/>
        <w:spacing w:after="0" w:line="273"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44" w:lineRule="exact"/>
        <w:rPr>
          <w:sz w:val="20"/>
          <w:szCs w:val="20"/>
          <w:color w:val="auto"/>
        </w:rPr>
      </w:pPr>
    </w:p>
    <w:p>
      <w:pPr>
        <w:ind w:right="160" w:firstLine="546"/>
        <w:spacing w:after="0" w:line="301" w:lineRule="auto"/>
        <w:rPr>
          <w:sz w:val="20"/>
          <w:szCs w:val="20"/>
          <w:color w:val="auto"/>
        </w:rPr>
      </w:pPr>
      <w:r>
        <w:rPr>
          <w:rFonts w:ascii="Arial" w:cs="Arial" w:eastAsia="Arial" w:hAnsi="Arial"/>
          <w:sz w:val="16"/>
          <w:szCs w:val="16"/>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equity (deficit) which includes certain changes in equity that are excluded from net income (loss). Comprehensive loss has been disclosed in the accompanying consolidated statements of operations and comprehensive loss and equals the Company’s net loss for all periods presented.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00" w:firstLine="546"/>
        <w:spacing w:after="0" w:line="300" w:lineRule="auto"/>
        <w:rPr>
          <w:sz w:val="20"/>
          <w:szCs w:val="20"/>
          <w:color w:val="auto"/>
        </w:rPr>
      </w:pPr>
      <w:r>
        <w:rPr>
          <w:rFonts w:ascii="Arial" w:cs="Arial" w:eastAsia="Arial" w:hAnsi="Arial"/>
          <w:sz w:val="16"/>
          <w:szCs w:val="16"/>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(expense) income, net in the consolidated statements of operations and comprehensive loss. During the years ended December 31, 2021 and 2020, the Company recorded foreign exchange losses of $61 and $203, respectively, in other expense in the consolidated statements of operations and comprehensive loss.</w:t>
      </w:r>
    </w:p>
    <w:p>
      <w:pPr>
        <w:spacing w:after="0" w:line="26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160" w:firstLine="546"/>
        <w:spacing w:after="0" w:line="257" w:lineRule="auto"/>
        <w:rPr>
          <w:sz w:val="20"/>
          <w:szCs w:val="20"/>
          <w:color w:val="auto"/>
        </w:rPr>
      </w:pPr>
      <w:r>
        <w:rPr>
          <w:rFonts w:ascii="Arial" w:cs="Arial" w:eastAsia="Arial" w:hAnsi="Arial"/>
          <w:sz w:val="18"/>
          <w:szCs w:val="18"/>
          <w:color w:val="auto"/>
        </w:rPr>
        <w:t>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13" w:name="page114"/>
    <w:bookmarkEnd w:id="113"/>
    <w:p>
      <w:pPr>
        <w:ind w:right="60"/>
        <w:spacing w:after="0" w:line="277" w:lineRule="auto"/>
        <w:rPr>
          <w:sz w:val="20"/>
          <w:szCs w:val="20"/>
          <w:color w:val="auto"/>
        </w:rPr>
      </w:pPr>
      <w:r>
        <w:rPr>
          <w:rFonts w:ascii="Arial" w:cs="Arial" w:eastAsia="Arial" w:hAnsi="Arial"/>
          <w:sz w:val="18"/>
          <w:szCs w:val="18"/>
          <w:color w:val="auto"/>
        </w:rPr>
        <w:t>balances at the end of any reporting period. Actual results could differ from the Company’s estimates. The Company’s historical accrual estimates have not been materially different from the actual costs.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546"/>
        <w:spacing w:after="0" w:line="275"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6" w:lineRule="exact"/>
        <w:rPr>
          <w:sz w:val="20"/>
          <w:szCs w:val="20"/>
          <w:color w:val="auto"/>
        </w:rPr>
      </w:pPr>
    </w:p>
    <w:p>
      <w:pPr>
        <w:ind w:right="80" w:firstLine="546"/>
        <w:spacing w:after="0" w:line="293" w:lineRule="auto"/>
        <w:rPr>
          <w:sz w:val="20"/>
          <w:szCs w:val="20"/>
          <w:color w:val="auto"/>
        </w:rPr>
      </w:pPr>
      <w:r>
        <w:rPr>
          <w:rFonts w:ascii="Arial" w:cs="Arial" w:eastAsia="Arial" w:hAnsi="Arial"/>
          <w:sz w:val="16"/>
          <w:szCs w:val="16"/>
          <w:color w:val="auto"/>
        </w:rPr>
        <w:t xml:space="preserve">Prior to the adoption of Accounting Standards Update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the measurement date for non-employee awards was generally the date the services are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financial reporting period adjustments to stock-based compensation during the vesting terms for changes in the fair value of the awards. Since the Company’s adoption of ASU 2018-07 in 2018,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64"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right="40" w:firstLine="546"/>
        <w:spacing w:after="0" w:line="268" w:lineRule="auto"/>
        <w:rPr>
          <w:sz w:val="20"/>
          <w:szCs w:val="20"/>
          <w:color w:val="auto"/>
        </w:rPr>
      </w:pPr>
      <w:r>
        <w:rPr>
          <w:rFonts w:ascii="Arial" w:cs="Arial" w:eastAsia="Arial" w:hAnsi="Arial"/>
          <w:sz w:val="17"/>
          <w:szCs w:val="17"/>
          <w:color w:val="auto"/>
        </w:rPr>
        <w:t xml:space="preserve">Given the absence of an active market for the Company’s common stock prior to its initial public offering (“IPO”),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227"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2021,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4" w:name="page115"/>
    <w:bookmarkEnd w:id="114"/>
    <w:p>
      <w:pPr>
        <w:jc w:val="both"/>
        <w:ind w:right="400"/>
        <w:spacing w:after="0" w:line="263" w:lineRule="auto"/>
        <w:rPr>
          <w:sz w:val="20"/>
          <w:szCs w:val="20"/>
          <w:color w:val="auto"/>
        </w:rPr>
      </w:pPr>
      <w:r>
        <w:rPr>
          <w:rFonts w:ascii="Arial" w:cs="Arial" w:eastAsia="Arial" w:hAnsi="Arial"/>
          <w:sz w:val="18"/>
          <w:szCs w:val="18"/>
          <w:color w:val="auto"/>
        </w:rPr>
        <w:t>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84" w:lineRule="exact"/>
        <w:rPr>
          <w:sz w:val="20"/>
          <w:szCs w:val="20"/>
          <w:color w:val="auto"/>
        </w:rPr>
      </w:pPr>
    </w:p>
    <w:p>
      <w:pPr>
        <w:ind w:right="200" w:firstLine="546"/>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Basic net loss per share is computed by dividing net loss by the weighted-average number of shares of common stock outstanding during the period, without consideration of potential dilutive securities. Diluted net loss per share is computed by adjusting the weighted-average shares outstanding for the potential dilutive effects of common stock equivalents outstanding during the period calculated in accordance with the treasury stock method. For purposes of the diluted net loss per share calculation, stock options and restricted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560" w:firstLine="546"/>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14.</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5" w:name="page116"/>
    <w:bookmarkEnd w:id="115"/>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(Topic 842) Leases,</w:t>
      </w:r>
      <w:r>
        <w:rPr>
          <w:rFonts w:ascii="Arial" w:cs="Arial" w:eastAsia="Arial" w:hAnsi="Arial"/>
          <w:sz w:val="17"/>
          <w:szCs w:val="17"/>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 entities, ASU 2016-02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2022, and all interim periods thereafter. Early adoption is permitted. The Company is currently evaluating the impact that the adoption of ASU 2016-02 will have on its consolidated financial statements. Based on this evaluation the Company currently expects that its operating lease commitments will be subject to the new standard and recognized as right-of-use assets and operating lease liabilities upon adoption of this standard, which will increase the Company’s total assets and total liabilities.</w:t>
      </w:r>
    </w:p>
    <w:p>
      <w:pPr>
        <w:spacing w:after="0" w:line="181"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or ASU 2016-13. ASU 2016-13 requires that credit losses be reported as an allowance using an expected losses model,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ASU 2016-13 is effective for non-emerging growth companies (“EGCs”)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is currently evaluating the effects the adoption of ASU 2016-13 may have on its financial statements.</w:t>
      </w:r>
    </w:p>
    <w:p>
      <w:pPr>
        <w:spacing w:after="0" w:line="192" w:lineRule="exact"/>
        <w:rPr>
          <w:sz w:val="20"/>
          <w:szCs w:val="20"/>
          <w:color w:val="auto"/>
        </w:rPr>
      </w:pPr>
    </w:p>
    <w:p>
      <w:pPr>
        <w:ind w:right="100" w:firstLine="546"/>
        <w:spacing w:after="0" w:line="289" w:lineRule="auto"/>
        <w:rPr>
          <w:sz w:val="20"/>
          <w:szCs w:val="20"/>
          <w:color w:val="auto"/>
        </w:rPr>
      </w:pPr>
      <w:r>
        <w:rPr>
          <w:rFonts w:ascii="Arial" w:cs="Arial" w:eastAsia="Arial" w:hAnsi="Arial"/>
          <w:sz w:val="16"/>
          <w:szCs w:val="16"/>
          <w:color w:val="auto"/>
        </w:rPr>
        <w:t>In November 2019, the FASB issued ASU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or ASU 2019-11. ASU 2019-11 is an accounting pronouncement that amends ASU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The amendments update guidance on reporting credit losses for financial assets. These amendments affect loans,</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66"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non-EGCs for fiscal years beginning after December 15, 2020 and interim periods within those fiscal years and will be effective for the Company for fiscal years beginning after December 15, 2021 and interim periods beginning after December 15, 2022, assuming the Company remains an EGC. Early adoption is permitted. The Company is currently evaluating the effects the adoption of ASU 2019-12 may have on its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License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 with The University of Manchester</w:t>
      </w:r>
    </w:p>
    <w:p>
      <w:pPr>
        <w:spacing w:after="0" w:line="117" w:lineRule="exact"/>
        <w:rPr>
          <w:sz w:val="20"/>
          <w:szCs w:val="20"/>
          <w:color w:val="auto"/>
        </w:rPr>
      </w:pPr>
    </w:p>
    <w:p>
      <w:pPr>
        <w:ind w:right="100" w:firstLine="546"/>
        <w:spacing w:after="0" w:line="275" w:lineRule="auto"/>
        <w:rPr>
          <w:sz w:val="20"/>
          <w:szCs w:val="20"/>
          <w:color w:val="auto"/>
        </w:rPr>
      </w:pPr>
      <w:r>
        <w:rPr>
          <w:rFonts w:ascii="Arial" w:cs="Arial" w:eastAsia="Arial" w:hAnsi="Arial"/>
          <w:sz w:val="17"/>
          <w:szCs w:val="17"/>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spacing w:after="0" w:line="176" w:lineRule="exact"/>
        <w:rPr>
          <w:sz w:val="20"/>
          <w:szCs w:val="20"/>
          <w:color w:val="auto"/>
        </w:rPr>
      </w:pPr>
    </w:p>
    <w:p>
      <w:pPr>
        <w:ind w:right="640" w:firstLine="546"/>
        <w:spacing w:after="0" w:line="277" w:lineRule="auto"/>
        <w:rPr>
          <w:sz w:val="20"/>
          <w:szCs w:val="20"/>
          <w:color w:val="auto"/>
        </w:rPr>
      </w:pPr>
      <w:r>
        <w:rPr>
          <w:rFonts w:ascii="Arial" w:cs="Arial" w:eastAsia="Arial" w:hAnsi="Arial"/>
          <w:sz w:val="18"/>
          <w:szCs w:val="18"/>
          <w:color w:val="auto"/>
        </w:rPr>
        <w:t>As part of the agreement, the Company is obligated to make milestone payments of up to an aggregate of $80,000 upon the achievement of specified development and regulatory milestones, to pay royalties, on a product-by-product and country-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6" w:name="page117"/>
    <w:bookmarkEnd w:id="116"/>
    <w:p>
      <w:pPr>
        <w:ind w:right="100"/>
        <w:spacing w:after="0" w:line="301" w:lineRule="auto"/>
        <w:rPr>
          <w:sz w:val="20"/>
          <w:szCs w:val="20"/>
          <w:color w:val="auto"/>
        </w:rPr>
      </w:pPr>
      <w:r>
        <w:rPr>
          <w:rFonts w:ascii="Arial" w:cs="Arial" w:eastAsia="Arial" w:hAnsi="Arial"/>
          <w:sz w:val="16"/>
          <w:szCs w:val="16"/>
          <w:color w:val="auto"/>
        </w:rPr>
        <w:t>by-country basis, of a mid-single digit percentage based on net sales of products licensed under the agreement and to pay a low double-digit percentage of any sublicense fees received by the Company. The next anticipated payment milestones under the MPSII License Agreement include $2,000, which would become due following the date of regulatory approval of the clinical trial application for the investigator-sponsored Phase 1/2 clinical trial sponsored by UoM, and $4,000, upon the dosing of the first patient in the investigator-sponsored Phase 1/2 clinical trial sponsored by UoM.</w:t>
      </w:r>
    </w:p>
    <w:p>
      <w:pPr>
        <w:spacing w:after="0" w:line="157" w:lineRule="exact"/>
        <w:rPr>
          <w:sz w:val="20"/>
          <w:szCs w:val="20"/>
          <w:color w:val="auto"/>
        </w:rPr>
      </w:pPr>
    </w:p>
    <w:p>
      <w:pPr>
        <w:ind w:right="40" w:firstLine="546"/>
        <w:spacing w:after="0" w:line="265"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80" w:lineRule="exact"/>
        <w:rPr>
          <w:sz w:val="20"/>
          <w:szCs w:val="20"/>
          <w:color w:val="auto"/>
        </w:rPr>
      </w:pPr>
    </w:p>
    <w:p>
      <w:pPr>
        <w:ind w:right="420" w:firstLine="546"/>
        <w:spacing w:after="0" w:line="269" w:lineRule="auto"/>
        <w:rPr>
          <w:sz w:val="20"/>
          <w:szCs w:val="20"/>
          <w:color w:val="auto"/>
        </w:rPr>
      </w:pPr>
      <w:r>
        <w:rPr>
          <w:rFonts w:ascii="Arial" w:cs="Arial" w:eastAsia="Arial" w:hAnsi="Arial"/>
          <w:sz w:val="18"/>
          <w:szCs w:val="18"/>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estimated to equal approximately £9,900 in the aggregate.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years ended December 31, 2021 and 2020, the Company recognized $1,437 and $565, respectively, of costs related to the CRFA.</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Agreements with University Health Network (“UHN”)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Under this agreement, the Company paid an option fee of CAD$20, an upfront license fee of CAD$75,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2"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1"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7" w:name="page118"/>
    <w:bookmarkEnd w:id="117"/>
    <w:p>
      <w:pPr>
        <w:jc w:val="both"/>
        <w:ind w:right="20" w:firstLine="546"/>
        <w:spacing w:after="0" w:line="279" w:lineRule="auto"/>
        <w:rPr>
          <w:sz w:val="20"/>
          <w:szCs w:val="20"/>
          <w:color w:val="auto"/>
        </w:rPr>
      </w:pPr>
      <w:r>
        <w:rPr>
          <w:rFonts w:ascii="Arial" w:cs="Arial" w:eastAsia="Arial" w:hAnsi="Arial"/>
          <w:sz w:val="18"/>
          <w:szCs w:val="18"/>
          <w:color w:val="auto"/>
        </w:rPr>
        <w:t>For the years ended December 31, 2021 and 2020, the Company recorded research and development expense related to this agreement with UHN of $209 and $344, respectively, which consists of reimbursable funded study trial costs and license maintenance fees. No milestone fees were incurred related to the Fabry license agreement in the years ended December 31, 2021 and 2020.</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certain patent rights for the commercial development, manufacture, distribution and use of any products or processes resulting from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patent rights related to Interleukin 12. Upon execution of this agreement, the Company paid an upfront license fee of CAD$264. In addition, as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initial consideration for the license, the Company issued to UHN 1,161,665 shares of the Company’s common stock and agreed to pay UHN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upon the closing of an IPO if certain criteria are met. The fair value of the shares issued to UHN of $480 and the upfront fee was expensed upon the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execution of the agreement. Upon the closing of the IPO in 2018, as the criteria were met, the Company paid UHN $2,000. The Company is also required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pay UHN future annual license maintenance fees of CAD$50 on each anniversary of the effective date of the license agreement prior to expiration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and potential future milestone payments of up to CAD$19,275 upon the achievement of specified clinical and regulatory milestones.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also agreed to pay UHN royalties of a low single-digit percentage of net sales of licensed products sold by the Company. If the Company grants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sublicense rights under the license agreement, the Company has agreed to pay UHN a low double-digit royalty percentage of any sublicense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received by the Company.</w:t>
      </w:r>
    </w:p>
    <w:p>
      <w:pPr>
        <w:spacing w:after="0" w:line="211"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6" w:lineRule="exact"/>
        <w:rPr>
          <w:sz w:val="20"/>
          <w:szCs w:val="20"/>
          <w:color w:val="auto"/>
        </w:rPr>
      </w:pPr>
    </w:p>
    <w:p>
      <w:pPr>
        <w:ind w:right="20" w:firstLine="546"/>
        <w:spacing w:after="0" w:line="279" w:lineRule="auto"/>
        <w:rPr>
          <w:sz w:val="20"/>
          <w:szCs w:val="20"/>
          <w:color w:val="auto"/>
        </w:rPr>
      </w:pPr>
      <w:r>
        <w:rPr>
          <w:rFonts w:ascii="Arial" w:cs="Arial" w:eastAsia="Arial" w:hAnsi="Arial"/>
          <w:sz w:val="18"/>
          <w:szCs w:val="18"/>
          <w:color w:val="auto"/>
        </w:rPr>
        <w:t>For the years ended December 31, 2021 and 2020, the Company recorded research and development expense related to this agreement with UHN of $39 and $37, respectively, which consists of license maintenance fees. No milestone fees were incurred related to the Interleukin 12 license agreement in the years ended December 31, 2021 and 2020.</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expenses related to the license were recorded for the years ended December 31, 2021 and 2020.</w:t>
      </w:r>
    </w:p>
    <w:p>
      <w:pPr>
        <w:spacing w:after="0" w:line="165"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8" w:name="page119"/>
    <w:bookmarkEnd w:id="118"/>
    <w:p>
      <w:pPr>
        <w:ind w:left="560"/>
        <w:spacing w:after="0"/>
        <w:rPr>
          <w:sz w:val="20"/>
          <w:szCs w:val="20"/>
          <w:color w:val="auto"/>
        </w:rPr>
      </w:pPr>
      <w:r>
        <w:rPr>
          <w:rFonts w:ascii="Arial" w:cs="Arial" w:eastAsia="Arial" w:hAnsi="Arial"/>
          <w:sz w:val="18"/>
          <w:szCs w:val="18"/>
          <w:b w:val="1"/>
          <w:bCs w:val="1"/>
          <w:i w:val="1"/>
          <w:iCs w:val="1"/>
          <w:color w:val="auto"/>
        </w:rPr>
        <w:t>Agreement with Papillon Therapeutics, Inc. (previously GenStem Therapeutics, Inc.)</w:t>
      </w:r>
    </w:p>
    <w:p>
      <w:pPr>
        <w:spacing w:after="0" w:line="117"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noticed that the license agreement with GenStem had been assigned to Papillon Therapeutics, Inc. (“Papillon”).</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expenses related to the license were recorded for the years ended December 31, 2021 and 2020.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31"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2021 and 2020.</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Assets and Liabilities</w:t>
      </w:r>
    </w:p>
    <w:p>
      <w:pPr>
        <w:spacing w:after="0" w:line="121" w:lineRule="exact"/>
        <w:rPr>
          <w:sz w:val="20"/>
          <w:szCs w:val="20"/>
          <w:color w:val="auto"/>
        </w:rPr>
      </w:pPr>
    </w:p>
    <w:p>
      <w:pPr>
        <w:ind w:right="600" w:firstLine="546"/>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indicates the level of the fair value hierarchy utilized to determine such fair values as of December 31, 2021 and 2020:</w:t>
      </w:r>
    </w:p>
    <w:p>
      <w:pPr>
        <w:spacing w:after="0" w:line="151"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Fair Value Measurements as of</w:t>
      </w:r>
    </w:p>
    <w:p>
      <w:pPr>
        <w:jc w:val="center"/>
        <w:ind w:left="5120"/>
        <w:spacing w:after="0" w:line="236" w:lineRule="auto"/>
        <w:rPr>
          <w:sz w:val="20"/>
          <w:szCs w:val="20"/>
          <w:color w:val="auto"/>
        </w:rPr>
      </w:pPr>
      <w:r>
        <w:rPr>
          <w:rFonts w:ascii="Arial" w:cs="Arial" w:eastAsia="Arial" w:hAnsi="Arial"/>
          <w:sz w:val="14"/>
          <w:szCs w:val="14"/>
          <w:b w:val="1"/>
          <w:bCs w:val="1"/>
          <w:color w:val="auto"/>
        </w:rPr>
        <w:t>December 31, 2021</w:t>
      </w:r>
    </w:p>
    <w:tbl>
      <w:tblPr>
        <w:tblLayout w:type="fixed"/>
        <w:tblInd w:w="580" w:type="dxa"/>
        <w:tblCellMar>
          <w:top w:w="0" w:type="dxa"/>
          <w:left w:w="0" w:type="dxa"/>
          <w:bottom w:w="0" w:type="dxa"/>
          <w:right w:w="0" w:type="dxa"/>
        </w:tblCellMar>
      </w:tblPr>
      <w:tr>
        <w:trPr>
          <w:trHeight w:val="155"/>
        </w:trPr>
        <w:tc>
          <w:tcPr>
            <w:tcW w:w="5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Cash equivalents—money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189,332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189,332</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Arial" w:cs="Arial" w:eastAsia="Arial" w:hAnsi="Arial"/>
                <w:sz w:val="14"/>
                <w:szCs w:val="14"/>
                <w:b w:val="1"/>
                <w:bCs w:val="1"/>
                <w:color w:val="auto"/>
              </w:rPr>
              <w:t>Fair Value Measurements as of</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11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82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Cash equivalents—money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44,416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44,416</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2021 and 2020, there were no transfers between levels.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5. Supplemental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Tax incentive refund</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2,697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Prepaid research and development expenses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Prepaid compensation benefits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9,578</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ind w:left="56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240" w:type="dxa"/>
            <w:vAlign w:val="bottom"/>
            <w:gridSpan w:val="2"/>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(3,820)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expense for the years ended December 31, 2021 and 2020 was $1,399 and $1,207, respectively.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420" w:firstLine="802"/>
        <w:spacing w:after="0" w:line="263" w:lineRule="auto"/>
        <w:rPr>
          <w:sz w:val="20"/>
          <w:szCs w:val="20"/>
          <w:color w:val="auto"/>
        </w:rPr>
      </w:pPr>
      <w:r>
        <w:rPr>
          <w:rFonts w:ascii="Arial" w:cs="Arial" w:eastAsia="Arial" w:hAnsi="Arial"/>
          <w:sz w:val="18"/>
          <w:szCs w:val="18"/>
          <w:color w:val="auto"/>
        </w:rPr>
        <w:t>As of December 31, 2021 and 2020, the Company had restricted cash as presented in the table below, which consists of cash used to secure letters of credit for the benefit of the landlord in connection with the Company’s lease agreements. The cash will be restricted until the termination or modification of the lease arrangement.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56"/>
        </w:trPr>
        <w:tc>
          <w:tcPr>
            <w:tcW w:w="1700" w:type="dxa"/>
            <w:vAlign w:val="bottom"/>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2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567"/>
        </w:trPr>
        <w:tc>
          <w:tcPr>
            <w:tcW w:w="4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4"/>
        </w:trPr>
        <w:tc>
          <w:tcPr>
            <w:tcW w:w="4900" w:type="dxa"/>
            <w:vAlign w:val="bottom"/>
            <w:gridSpan w:val="2"/>
          </w:tcPr>
          <w:p>
            <w:pPr>
              <w:ind w:left="560"/>
              <w:spacing w:after="0"/>
              <w:rPr>
                <w:sz w:val="20"/>
                <w:szCs w:val="20"/>
                <w:color w:val="auto"/>
              </w:rPr>
            </w:pPr>
            <w:r>
              <w:rPr>
                <w:rFonts w:ascii="Arial" w:cs="Arial" w:eastAsia="Arial" w:hAnsi="Arial"/>
                <w:sz w:val="18"/>
                <w:szCs w:val="18"/>
                <w:color w:val="auto"/>
              </w:rPr>
              <w:t>Accrued expenses consisted of the following:</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9"/>
        </w:trPr>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55"/>
        </w:trPr>
        <w:tc>
          <w:tcPr>
            <w:tcW w:w="1700" w:type="dxa"/>
            <w:vAlign w:val="bottom"/>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2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 costs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8,882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5,847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200" w:type="dxa"/>
            <w:vAlign w:val="bottom"/>
            <w:tcBorders>
              <w:bottom w:val="single" w:sz="8" w:color="CFF0FC"/>
            </w:tcBorders>
            <w:shd w:val="clear" w:color="auto" w:fill="CFF0FC"/>
          </w:tcPr>
          <w:p>
            <w:pPr>
              <w:spacing w:after="0"/>
              <w:rPr>
                <w:sz w:val="19"/>
                <w:szCs w:val="19"/>
                <w:color w:val="auto"/>
              </w:rPr>
            </w:pPr>
          </w:p>
        </w:tc>
        <w:tc>
          <w:tcPr>
            <w:tcW w:w="2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15,638</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20" w:type="dxa"/>
            <w:vAlign w:val="bottom"/>
            <w:gridSpan w:val="2"/>
          </w:tcPr>
          <w:p>
            <w:pPr>
              <w:jc w:val="right"/>
              <w:ind w:right="1430"/>
              <w:spacing w:after="0"/>
              <w:rPr>
                <w:sz w:val="20"/>
                <w:szCs w:val="20"/>
                <w:color w:val="auto"/>
              </w:rPr>
            </w:pPr>
            <w:r>
              <w:rPr>
                <w:rFonts w:ascii="Arial" w:cs="Arial" w:eastAsia="Arial" w:hAnsi="Arial"/>
                <w:sz w:val="18"/>
                <w:szCs w:val="18"/>
                <w:color w:val="auto"/>
              </w:rPr>
              <w:t>F-16</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restricted cash as of December 31, 2021 and 2020.</w:t>
      </w:r>
    </w:p>
    <w:p>
      <w:pPr>
        <w:spacing w:after="0" w:line="16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On August 31, 2018, the Company entered into a sub-lease agreement for lab space located in Cambridge Massachusetts, United States, which was set to expire in October 2020. On June 9, 2020, the Company amended the terms of the sublease, which was set to expire in April 2022. Effective January 1, 2022, the Company amended the terms of the sublease, which is now set to expire in April 2023. The annual lease payments are subject to a 5% increase each year. In accordance with the lease agreement, the Company is required to maintain a security deposit of $283, which was recorded in restricted cash as of December 31, 2021 and 2020.</w:t>
      </w:r>
    </w:p>
    <w:p>
      <w:pPr>
        <w:spacing w:after="0" w:line="188"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On June 1, 2020, the Company entered into a lease agreement for office space located in Toronto, Ontario, Canada, which is set to expire in June 2025. The annual lease payments are fixed for years 1 and 2, and then subject to a 6.67% increase for years 3 through 5. In accordance with the lease agreement, the Company is required to maintain a security deposit of CAD$27, which was recorded in other long-term assets as of December 31, 2021 and 2020.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recorded rent expense of $2,648 and $2,352 during the years ended December 31, 2021 and 2020,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future minimum lease payments due under operating leases as of December 31, 2021:</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0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r>
      <w:tr>
        <w:trPr>
          <w:trHeight w:val="223"/>
        </w:trPr>
        <w:tc>
          <w:tcPr>
            <w:tcW w:w="5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Funding Commitments</w:t>
      </w:r>
    </w:p>
    <w:p>
      <w:pPr>
        <w:spacing w:after="0" w:line="117" w:lineRule="exact"/>
        <w:rPr>
          <w:sz w:val="20"/>
          <w:szCs w:val="20"/>
          <w:color w:val="auto"/>
        </w:rPr>
      </w:pPr>
    </w:p>
    <w:p>
      <w:pPr>
        <w:ind w:right="140" w:firstLine="802"/>
        <w:spacing w:after="0" w:line="259" w:lineRule="auto"/>
        <w:rPr>
          <w:sz w:val="20"/>
          <w:szCs w:val="20"/>
          <w:color w:val="auto"/>
        </w:rPr>
      </w:pPr>
      <w:r>
        <w:rPr>
          <w:rFonts w:ascii="Arial" w:cs="Arial" w:eastAsia="Arial" w:hAnsi="Arial"/>
          <w:sz w:val="18"/>
          <w:szCs w:val="18"/>
          <w:color w:val="auto"/>
        </w:rPr>
        <w:t>As of December 31, 2021, the Company had several ongoing clinical and non-clinical studies for its various pipeline programs. The Company enters into contracts in the normal course of business with contract research organizations and clinical sites for the conduct of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802"/>
        <w:spacing w:after="0" w:line="293" w:lineRule="auto"/>
        <w:rPr>
          <w:sz w:val="20"/>
          <w:szCs w:val="20"/>
          <w:color w:val="auto"/>
        </w:rPr>
      </w:pPr>
      <w:r>
        <w:rPr>
          <w:rFonts w:ascii="Arial" w:cs="Arial" w:eastAsia="Arial" w:hAnsi="Arial"/>
          <w:sz w:val="16"/>
          <w:szCs w:val="16"/>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2021 and 2020, and to the best of its knowledge, no material legal proceedings are currently pending or threatened.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546"/>
        <w:spacing w:after="0" w:line="286" w:lineRule="auto"/>
        <w:rPr>
          <w:sz w:val="20"/>
          <w:szCs w:val="20"/>
          <w:color w:val="auto"/>
        </w:rPr>
      </w:pPr>
      <w:r>
        <w:rPr>
          <w:rFonts w:ascii="Arial" w:cs="Arial" w:eastAsia="Arial" w:hAnsi="Arial"/>
          <w:sz w:val="17"/>
          <w:szCs w:val="17"/>
          <w:color w:val="auto"/>
        </w:rPr>
        <w:t xml:space="preserve">The Company is also party to various agreements, principally relating to licensed technology, that require future payments relating to milestones not met as of December 31, 2021 and 2020, or royalties on future sales of specified products. No milestone or royalty payments under these agreements are expected to be payable in the immediate future. See Note 3 </w:t>
      </w:r>
      <w:r>
        <w:rPr>
          <w:rFonts w:ascii="Arial" w:cs="Arial" w:eastAsia="Arial" w:hAnsi="Arial"/>
          <w:sz w:val="17"/>
          <w:szCs w:val="17"/>
          <w:i w:val="1"/>
          <w:iCs w:val="1"/>
          <w:color w:val="auto"/>
        </w:rPr>
        <w:t>“Licenses Agreements”</w:t>
      </w:r>
      <w:r>
        <w:rPr>
          <w:rFonts w:ascii="Arial" w:cs="Arial" w:eastAsia="Arial" w:hAnsi="Arial"/>
          <w:sz w:val="17"/>
          <w:szCs w:val="17"/>
          <w:color w:val="auto"/>
        </w:rPr>
        <w:t xml:space="preserve"> for discussion of these arrangements.</w:t>
      </w:r>
    </w:p>
    <w:p>
      <w:pPr>
        <w:spacing w:after="0" w:line="165"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 Payable</w:t>
      </w:r>
    </w:p>
    <w:p>
      <w:pPr>
        <w:spacing w:after="0" w:line="121" w:lineRule="exact"/>
        <w:rPr>
          <w:sz w:val="20"/>
          <w:szCs w:val="20"/>
          <w:color w:val="auto"/>
        </w:rPr>
      </w:pPr>
    </w:p>
    <w:p>
      <w:pPr>
        <w:ind w:firstLine="546"/>
        <w:spacing w:after="0" w:line="295" w:lineRule="auto"/>
        <w:rPr>
          <w:sz w:val="20"/>
          <w:szCs w:val="20"/>
          <w:color w:val="auto"/>
        </w:rPr>
      </w:pPr>
      <w:r>
        <w:rPr>
          <w:rFonts w:ascii="Arial" w:cs="Arial" w:eastAsia="Arial" w:hAnsi="Arial"/>
          <w:sz w:val="16"/>
          <w:szCs w:val="16"/>
          <w:color w:val="auto"/>
        </w:rPr>
        <w:t>On November 2, 2021 (the “Closing Date”), the Company entered into a Loan and Security Agreement (the “Loan Agreement”) with Silicon Valley Bank (“SVB”) pursuant to which a term loan in an aggregate principal amount of up to $50,000 (the “Term Loan Facility”) is available to the Company in three tranches, subject to certain terms and conditions. The first tranche of $15,000 was advanced to the Company on the Closing Date. Subject to the terms and conditions of the Loan Agreement, the first tranche allows the Company to borrow an additional $15,000 through October 31, 2023. Upon satisfaction of certain milestones, the second and third tranches are available under the Term Loan Facility which allows the Company to borrow an additional amount up to $10,000 in each tranche through October 31, 2023. Additionally, the Company may seek to borrow up to an additional $15,000 at the sole discretion of the lender through the term of the Loan Agreement. The Loan Agreement matures on October 1, 2026 (the “Maturity Date”). The Company is required to pay an end of term fee (“End of Term Charge”) equal to 9.00% of the aggregate principal amount of the Term Loan advances upon repayment.</w:t>
      </w:r>
    </w:p>
    <w:p>
      <w:pPr>
        <w:spacing w:after="0" w:line="162" w:lineRule="exact"/>
        <w:rPr>
          <w:sz w:val="20"/>
          <w:szCs w:val="20"/>
          <w:color w:val="auto"/>
        </w:rPr>
      </w:pPr>
    </w:p>
    <w:p>
      <w:pPr>
        <w:jc w:val="both"/>
        <w:ind w:right="260" w:firstLine="546"/>
        <w:spacing w:after="0" w:line="286" w:lineRule="auto"/>
        <w:rPr>
          <w:sz w:val="20"/>
          <w:szCs w:val="20"/>
          <w:color w:val="auto"/>
        </w:rPr>
      </w:pPr>
      <w:r>
        <w:rPr>
          <w:rFonts w:ascii="Arial" w:cs="Arial" w:eastAsia="Arial" w:hAnsi="Arial"/>
          <w:sz w:val="17"/>
          <w:szCs w:val="17"/>
          <w:color w:val="auto"/>
        </w:rPr>
        <w:t>Advances under the Term Loan Facility will bear interest at a rate equal to the greater of either (i) the Prime Rate (as reported in The Wall Street Journal) plus 4.85%, and (ii) 8.10%. The Company will make interest only payments through November 1, 2024. Following the interest only period, the Company will repay the principal balance and interest of the advances in equal monthly installments through October 1, 2026.</w:t>
      </w:r>
    </w:p>
    <w:p>
      <w:pPr>
        <w:spacing w:after="0" w:line="165"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The Company may prepay advances under the Loan Agreement, in whole or in part, at any time subject to a prepayment charge (the “Prepayment Premium”) equal to: (a) 1.50% of amounts so prepaid, if such prepayment occurs during the first year following the Closing Date; (b) 1.00% of the amount so prepaid, if such prepayment occurs during the second year following the Closing Date, and (c) 0.00% of the amount so prepaid, if such prepayment occurs after the second year following the Closing Date.</w:t>
      </w:r>
    </w:p>
    <w:p>
      <w:pPr>
        <w:spacing w:after="0" w:line="187"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Upon prepayment or repayment of all or any of the term loans under the Term Loan Facility, the Company will pay (in addition to any Prepayment Premium) an end of term charge of 9.0% of the aggregate funded amount under the Term Loan Facility.</w:t>
      </w:r>
    </w:p>
    <w:p>
      <w:pPr>
        <w:spacing w:after="0" w:line="170"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Term Loan Facility is secured by substantially all of the Company’s assets, other than the Company’s intellectual property. The Company has agreed to not pledge or secure its intellectual property to others.</w:t>
      </w:r>
    </w:p>
    <w:p>
      <w:pPr>
        <w:spacing w:after="0" w:line="170"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 being accreted to the principal amount of debt and being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2" w:name="page123"/>
    <w:bookmarkEnd w:id="122"/>
    <w:p>
      <w:pPr>
        <w:ind w:right="100"/>
        <w:spacing w:after="0" w:line="277" w:lineRule="auto"/>
        <w:rPr>
          <w:sz w:val="20"/>
          <w:szCs w:val="20"/>
          <w:color w:val="auto"/>
        </w:rPr>
      </w:pPr>
      <w:r>
        <w:rPr>
          <w:rFonts w:ascii="Arial" w:cs="Arial" w:eastAsia="Arial" w:hAnsi="Arial"/>
          <w:sz w:val="18"/>
          <w:szCs w:val="18"/>
          <w:color w:val="auto"/>
        </w:rPr>
        <w:t>amortized from the date of issuance through the Maturity Date to interest expense using the effective-interest rate method. The effective interest rate of the outstanding debt under the Loan Agreement is approximately 11.12%.</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the carrying value of the note payable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2021</w:t>
            </w:r>
          </w:p>
        </w:tc>
      </w:tr>
      <w:tr>
        <w:trPr>
          <w:trHeight w:val="156"/>
        </w:trPr>
        <w:tc>
          <w:tcPr>
            <w:tcW w:w="9260" w:type="dxa"/>
            <w:vAlign w:val="bottom"/>
            <w:tcBorders>
              <w:bottom w:val="single" w:sz="8" w:color="CFF0FC"/>
            </w:tcBorders>
          </w:tcPr>
          <w:p>
            <w:pPr>
              <w:spacing w:after="0"/>
              <w:rPr>
                <w:sz w:val="13"/>
                <w:szCs w:val="13"/>
                <w:color w:val="auto"/>
              </w:rPr>
            </w:pPr>
          </w:p>
        </w:tc>
        <w:tc>
          <w:tcPr>
            <w:tcW w:w="188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FF0FC"/>
            </w:tcBorders>
          </w:tcPr>
          <w:p>
            <w:pPr>
              <w:spacing w:after="0"/>
              <w:rPr>
                <w:sz w:val="13"/>
                <w:szCs w:val="13"/>
                <w:color w:val="auto"/>
              </w:rPr>
            </w:pP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Note payable, including End of Term Charge</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Debt discount, net of accretion</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(1,405)</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 payable, net of discount, long-term</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the future principal payments due under the arrangement, excluding interest and the end of term charge,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960" w:type="dxa"/>
            <w:vAlign w:val="bottom"/>
          </w:tcPr>
          <w:p>
            <w:pPr>
              <w:spacing w:after="0"/>
              <w:rPr>
                <w:sz w:val="14"/>
                <w:szCs w:val="14"/>
                <w:color w:val="auto"/>
              </w:rPr>
            </w:pPr>
          </w:p>
        </w:tc>
        <w:tc>
          <w:tcPr>
            <w:tcW w:w="3380" w:type="dxa"/>
            <w:vAlign w:val="bottom"/>
            <w:gridSpan w:val="2"/>
          </w:tcPr>
          <w:p>
            <w:pPr>
              <w:ind w:left="860"/>
              <w:spacing w:after="0"/>
              <w:rPr>
                <w:sz w:val="20"/>
                <w:szCs w:val="20"/>
                <w:color w:val="auto"/>
              </w:rPr>
            </w:pPr>
            <w:r>
              <w:rPr>
                <w:rFonts w:ascii="Arial" w:cs="Arial" w:eastAsia="Arial" w:hAnsi="Arial"/>
                <w:sz w:val="14"/>
                <w:szCs w:val="14"/>
                <w:b w:val="1"/>
                <w:bCs w:val="1"/>
                <w:color w:val="auto"/>
              </w:rPr>
              <w:t>Principle</w:t>
            </w:r>
          </w:p>
        </w:tc>
      </w:tr>
      <w:tr>
        <w:trPr>
          <w:trHeight w:val="223"/>
        </w:trPr>
        <w:tc>
          <w:tcPr>
            <w:tcW w:w="6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3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3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546"/>
        <w:spacing w:after="0" w:line="277" w:lineRule="auto"/>
        <w:rPr>
          <w:sz w:val="20"/>
          <w:szCs w:val="20"/>
          <w:color w:val="auto"/>
        </w:rPr>
      </w:pPr>
      <w:r>
        <w:rPr>
          <w:rFonts w:ascii="Arial" w:cs="Arial" w:eastAsia="Arial" w:hAnsi="Arial"/>
          <w:sz w:val="18"/>
          <w:szCs w:val="18"/>
          <w:color w:val="auto"/>
        </w:rPr>
        <w:t>During the year ended December 31, 2021, the Company recognized $203 of interest expense related to the Loan Agreement, which is reflected in other (expense) income, net on the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right="20" w:firstLine="546"/>
        <w:spacing w:after="0" w:line="342" w:lineRule="auto"/>
        <w:rPr>
          <w:sz w:val="20"/>
          <w:szCs w:val="20"/>
          <w:color w:val="auto"/>
        </w:rPr>
      </w:pPr>
      <w:r>
        <w:rPr>
          <w:rFonts w:ascii="Arial" w:cs="Arial" w:eastAsia="Arial" w:hAnsi="Arial"/>
          <w:sz w:val="16"/>
          <w:szCs w:val="16"/>
          <w:color w:val="auto"/>
        </w:rPr>
        <w:t>As of December 31, 2021 and 2020, the authorized capital stock of the Company included 150,000,000 shares of common stock, $0.0001 par value, and 10,000,000 shares of undesignated preferred stock. As of December 31, 2021 and 2020, no undesignated shares of preferred stock were outstanding.</w:t>
      </w:r>
    </w:p>
    <w:p>
      <w:pPr>
        <w:spacing w:after="0" w:line="124"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Through December 31, 2021, no cash dividends have been declared or paid.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ind w:right="140" w:firstLine="546"/>
        <w:spacing w:after="0" w:line="265" w:lineRule="auto"/>
        <w:rPr>
          <w:sz w:val="20"/>
          <w:szCs w:val="20"/>
          <w:color w:val="auto"/>
        </w:rPr>
      </w:pPr>
      <w:r>
        <w:rPr>
          <w:rFonts w:ascii="Arial" w:cs="Arial" w:eastAsia="Arial" w:hAnsi="Arial"/>
          <w:sz w:val="18"/>
          <w:szCs w:val="18"/>
          <w:color w:val="auto"/>
        </w:rPr>
        <w:t>In July 2019, the Company closed an underwritten public offering of 7,475,000 shares of its common stock at a public offering price of $18.50 per share (the “July 2019 Follow-on Offering”), which included 975,000 shares of the Company’s common stock resulting from the full exercise of the underwriters’ option to purchase additional shares at the public offering price, less underwriting discounts and commissions. The net proceeds to the Company from the July 2019 Follow-on Offering, after deducting underwriting discounts and commissions and other offering expenses payable by the Company, were $129,464.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3" w:name="page124"/>
    <w:bookmarkEnd w:id="123"/>
    <w:p>
      <w:pPr>
        <w:ind w:right="40" w:firstLine="546"/>
        <w:spacing w:after="0" w:line="279" w:lineRule="auto"/>
        <w:rPr>
          <w:sz w:val="20"/>
          <w:szCs w:val="20"/>
          <w:color w:val="auto"/>
        </w:rPr>
      </w:pPr>
      <w:r>
        <w:rPr>
          <w:rFonts w:ascii="Arial" w:cs="Arial" w:eastAsia="Arial" w:hAnsi="Arial"/>
          <w:sz w:val="18"/>
          <w:szCs w:val="18"/>
          <w:color w:val="auto"/>
        </w:rPr>
        <w:t>In February 2020, the Company closed an underwritten public offering of 4,350,000 shares of its common stock at a public offering price of $23.00 per share (the “February 2020 Follow-on Offering”). The net proceeds to the Company from the February 2020 Follow-on Offering, after deducting underwriting discounts and commissions and other offering expenses payable by the Company, were $93,627.</w:t>
      </w:r>
    </w:p>
    <w:p>
      <w:pPr>
        <w:spacing w:after="0" w:line="169"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In June 2020, the Company sold an aggregate of 384,140 shares of common stock under its “at-the-market” facility (the “ATM Facility”) for net proceeds, after deducting commissions and other offering expenses payable by the Company, of $8,130.</w:t>
      </w:r>
    </w:p>
    <w:p>
      <w:pPr>
        <w:spacing w:after="0" w:line="170" w:lineRule="exact"/>
        <w:rPr>
          <w:sz w:val="20"/>
          <w:szCs w:val="20"/>
          <w:color w:val="auto"/>
        </w:rPr>
      </w:pPr>
    </w:p>
    <w:p>
      <w:pPr>
        <w:jc w:val="both"/>
        <w:ind w:right="480" w:firstLine="546"/>
        <w:spacing w:after="0" w:line="286" w:lineRule="auto"/>
        <w:rPr>
          <w:sz w:val="20"/>
          <w:szCs w:val="20"/>
          <w:color w:val="auto"/>
        </w:rPr>
      </w:pPr>
      <w:r>
        <w:rPr>
          <w:rFonts w:ascii="Arial" w:cs="Arial" w:eastAsia="Arial" w:hAnsi="Arial"/>
          <w:sz w:val="17"/>
          <w:szCs w:val="17"/>
          <w:color w:val="auto"/>
        </w:rPr>
        <w:t>In November 2020, the Company closed an underwritten public offering of 5,000,000 shares of its common stock at a public offering price of $15.00 per share (the “November 2020 Follow-on Offering”). The net proceeds to the Company from the November 2020 Follow-on Offering, after deducting underwriting discounts and commissions and other offering expenses payable by the Company, were $70,221.</w:t>
      </w:r>
    </w:p>
    <w:p>
      <w:pPr>
        <w:spacing w:after="0" w:line="192" w:lineRule="exact"/>
        <w:rPr>
          <w:sz w:val="20"/>
          <w:szCs w:val="20"/>
          <w:color w:val="auto"/>
        </w:rPr>
      </w:pPr>
    </w:p>
    <w:p>
      <w:pPr>
        <w:ind w:right="420" w:firstLine="645"/>
        <w:spacing w:after="0" w:line="263" w:lineRule="auto"/>
        <w:rPr>
          <w:sz w:val="20"/>
          <w:szCs w:val="20"/>
          <w:color w:val="auto"/>
        </w:rPr>
      </w:pPr>
      <w:r>
        <w:rPr>
          <w:rFonts w:ascii="Arial" w:cs="Arial" w:eastAsia="Arial" w:hAnsi="Arial"/>
          <w:sz w:val="18"/>
          <w:szCs w:val="18"/>
          <w:color w:val="auto"/>
        </w:rPr>
        <w:t>In May 2021, the Company sold an aggregate of 1,829,268 shares of common stock under the ATM Facility for net proceeds, after deducting commissions and other offering expenses payable by the Company, of $14,550. As of December 31, 2021, approximately $26,549 of common stock remained available for future issuance under the ATM Facility.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and 2020, the Company has reserved the following shares of common stock for future issuance:</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54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7,423,777</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5,559,545</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599,850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9"/>
                <w:szCs w:val="19"/>
                <w:color w:val="auto"/>
              </w:rPr>
            </w:pPr>
          </w:p>
        </w:tc>
      </w:tr>
      <w:tr>
        <w:trPr>
          <w:trHeight w:val="21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2018 Stock Option</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Incentive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2,583,736</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3,877,478</w:t>
            </w:r>
          </w:p>
        </w:tc>
        <w:tc>
          <w:tcPr>
            <w:tcW w:w="80" w:type="dxa"/>
            <w:vAlign w:val="bottom"/>
            <w:shd w:val="clear" w:color="auto" w:fill="CFF0FC"/>
          </w:tcPr>
          <w:p>
            <w:pPr>
              <w:spacing w:after="0"/>
              <w:rPr>
                <w:sz w:val="20"/>
                <w:szCs w:val="20"/>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Shares reserved for issuance under the 2018 Employee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Stock Purchase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1,151,010</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762,900</w:t>
            </w:r>
          </w:p>
        </w:tc>
        <w:tc>
          <w:tcPr>
            <w:tcW w:w="80" w:type="dxa"/>
            <w:vAlign w:val="bottom"/>
          </w:tcPr>
          <w:p>
            <w:pPr>
              <w:spacing w:after="0"/>
              <w:rPr>
                <w:sz w:val="20"/>
                <w:szCs w:val="20"/>
                <w:color w:val="auto"/>
              </w:rPr>
            </w:pPr>
          </w:p>
        </w:tc>
      </w:tr>
      <w:tr>
        <w:trPr>
          <w:trHeight w:val="21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2019 Inducement</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412,686</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365,050</w:t>
            </w:r>
          </w:p>
        </w:tc>
        <w:tc>
          <w:tcPr>
            <w:tcW w:w="80" w:type="dxa"/>
            <w:vAlign w:val="bottom"/>
            <w:shd w:val="clear" w:color="auto" w:fill="CFF0FC"/>
          </w:tcPr>
          <w:p>
            <w:pPr>
              <w:spacing w:after="0"/>
              <w:rPr>
                <w:sz w:val="20"/>
                <w:szCs w:val="20"/>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Shares reserved for issuance under the 2020 Inducement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1,637,000</w:t>
            </w:r>
          </w:p>
        </w:tc>
        <w:tc>
          <w:tcPr>
            <w:tcW w:w="200" w:type="dxa"/>
            <w:vAlign w:val="bottom"/>
            <w:tcBorders>
              <w:bottom w:val="single" w:sz="8" w:color="CFF0FC"/>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1,700,000</w:t>
            </w:r>
          </w:p>
        </w:tc>
        <w:tc>
          <w:tcPr>
            <w:tcW w:w="80" w:type="dxa"/>
            <w:vAlign w:val="bottom"/>
            <w:tcBorders>
              <w:bottom w:val="single" w:sz="8" w:color="CFF0FC"/>
            </w:tcBorders>
          </w:tcPr>
          <w:p>
            <w:pPr>
              <w:spacing w:after="0"/>
              <w:rPr>
                <w:sz w:val="20"/>
                <w:szCs w:val="20"/>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future 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13,808,059</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12,266,171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right="220" w:firstLine="546"/>
        <w:spacing w:after="0" w:line="301"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7"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2,008,564 shares. Following the IPO, no further grants have been made under 2015 plan.</w:t>
      </w:r>
    </w:p>
    <w:p>
      <w:pPr>
        <w:spacing w:after="0" w:line="170"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Shares that expire, are terminated, surrendered or cancelled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4" w:name="page125"/>
    <w:bookmarkEnd w:id="124"/>
    <w:p>
      <w:pPr>
        <w:ind w:left="56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right="60" w:firstLine="546"/>
        <w:spacing w:after="0" w:line="257" w:lineRule="auto"/>
        <w:rPr>
          <w:sz w:val="20"/>
          <w:szCs w:val="20"/>
          <w:color w:val="auto"/>
        </w:rPr>
      </w:pPr>
      <w:r>
        <w:rPr>
          <w:rFonts w:ascii="Arial" w:cs="Arial" w:eastAsia="Arial" w:hAnsi="Arial"/>
          <w:sz w:val="18"/>
          <w:szCs w:val="18"/>
          <w:color w:val="auto"/>
        </w:rPr>
        <w:t>The Company’s 2018 Stock Option and Incentive Plan (the “2018 Plan”) was adopted by the Board on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Board, compensation committee or other designated committee to make equity-based and cash-based incentive awards to its officers, employees, directors and other key persons (including consultants).</w:t>
      </w:r>
    </w:p>
    <w:p>
      <w:pPr>
        <w:spacing w:after="0" w:line="188"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Board or compensation committee (the “Plan Evergreen”). This number is subject to adjustment in the event of a stock split, stock dividend or other change in its capitalization.</w:t>
      </w:r>
    </w:p>
    <w:p>
      <w:pPr>
        <w:spacing w:after="0" w:line="188" w:lineRule="exact"/>
        <w:rPr>
          <w:sz w:val="20"/>
          <w:szCs w:val="20"/>
          <w:color w:val="auto"/>
        </w:rPr>
      </w:pPr>
    </w:p>
    <w:p>
      <w:pPr>
        <w:jc w:val="both"/>
        <w:ind w:right="160" w:firstLine="546"/>
        <w:spacing w:after="0" w:line="311" w:lineRule="auto"/>
        <w:rPr>
          <w:sz w:val="20"/>
          <w:szCs w:val="20"/>
          <w:color w:val="auto"/>
        </w:rPr>
      </w:pPr>
      <w:r>
        <w:rPr>
          <w:rFonts w:ascii="Arial" w:cs="Arial" w:eastAsia="Arial" w:hAnsi="Arial"/>
          <w:sz w:val="16"/>
          <w:szCs w:val="16"/>
          <w:color w:val="auto"/>
        </w:rPr>
        <w:t>On April 16, 2020, the Board adopted an amendment to the 2018 Plan (the “Amendment”), to (i) increase the number of shares of common stock currently reserved for issuance under the 2018 Plan by 3,300,000 shares and (ii) automatically terminate the 2018 Plan’s annual increase (or “evergreen”) provision after January 2022. The Amendment was approved by the Board on June 4, 2020 and the Company’s stockholders on June 4, 2020.</w:t>
      </w:r>
    </w:p>
    <w:p>
      <w:pPr>
        <w:spacing w:after="0" w:line="149" w:lineRule="exact"/>
        <w:rPr>
          <w:sz w:val="20"/>
          <w:szCs w:val="20"/>
          <w:color w:val="auto"/>
        </w:rPr>
      </w:pPr>
    </w:p>
    <w:p>
      <w:pPr>
        <w:ind w:right="360" w:firstLine="546"/>
        <w:spacing w:after="0" w:line="342" w:lineRule="auto"/>
        <w:rPr>
          <w:sz w:val="20"/>
          <w:szCs w:val="20"/>
          <w:color w:val="auto"/>
        </w:rPr>
      </w:pPr>
      <w:r>
        <w:rPr>
          <w:rFonts w:ascii="Arial" w:cs="Arial" w:eastAsia="Arial" w:hAnsi="Arial"/>
          <w:sz w:val="16"/>
          <w:szCs w:val="16"/>
          <w:color w:val="auto"/>
        </w:rPr>
        <w:t>The number of shares of common stock available for future grant under the 2018 Plan was 2,583,736 as of December 31, 2021, which does not include the shares added to the 2018 Plan reserve on January 1, 2022 as a result of the Plan Evergreen for the year ended December 31, 2021.</w:t>
      </w:r>
    </w:p>
    <w:p>
      <w:pPr>
        <w:spacing w:after="0" w:line="124"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During the years ended December 31, 2021 and 2020, the Company granted options to purchase 4,253,232 and, 3,019,663 shares, respectively, of common stock to employees, nonemployees and members of the Board.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right="100" w:firstLine="546"/>
        <w:spacing w:after="0" w:line="271" w:lineRule="auto"/>
        <w:rPr>
          <w:sz w:val="20"/>
          <w:szCs w:val="20"/>
          <w:color w:val="auto"/>
        </w:rPr>
      </w:pPr>
      <w:r>
        <w:rPr>
          <w:rFonts w:ascii="Arial" w:cs="Arial" w:eastAsia="Arial" w:hAnsi="Arial"/>
          <w:sz w:val="17"/>
          <w:szCs w:val="17"/>
          <w:color w:val="auto"/>
        </w:rPr>
        <w:t>The Company’s 2018 Employee Stock Purchase Plan (the “ESPP”) was adopted by the Board on June 1, 2018 and approved by stockholders on June 7, 2018 and became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 (i) 1% of the outstanding number of shares of our common stock on the immediately preceding December 31; (ii) 1,115,700 shares or (iii) such number of shares as determined by the ESPP administrator (the “ESPP Evergreen”). The number of shares reserved under the ESPP is subject to adjustment in the event of a stock split, stock dividend or other change in our capitalization.</w:t>
      </w:r>
    </w:p>
    <w:p>
      <w:pPr>
        <w:spacing w:after="0" w:line="178" w:lineRule="exact"/>
        <w:rPr>
          <w:sz w:val="20"/>
          <w:szCs w:val="20"/>
          <w:color w:val="auto"/>
        </w:rPr>
      </w:pPr>
    </w:p>
    <w:p>
      <w:pPr>
        <w:ind w:firstLine="546"/>
        <w:spacing w:after="0" w:line="286" w:lineRule="auto"/>
        <w:rPr>
          <w:sz w:val="20"/>
          <w:szCs w:val="20"/>
          <w:color w:val="auto"/>
        </w:rPr>
      </w:pPr>
      <w:r>
        <w:rPr>
          <w:rFonts w:ascii="Arial" w:cs="Arial" w:eastAsia="Arial" w:hAnsi="Arial"/>
          <w:sz w:val="17"/>
          <w:szCs w:val="17"/>
          <w:color w:val="auto"/>
        </w:rPr>
        <w:t>During the years ended December 31, 2021 and 2020, the Company issued 27,580 and 13,425 shares, respectively of common stock. The total number of shares of common stock available for future grant was 1,151,010 as of December 31, 2021, which does not include the shares added to the ESPP reserve on January 1, 2022 as a result of the ESPP Evergreen for the year ended December 31, 2021.</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Inducement Plan</w:t>
      </w:r>
    </w:p>
    <w:p>
      <w:pPr>
        <w:spacing w:after="0" w:line="131" w:lineRule="exact"/>
        <w:rPr>
          <w:sz w:val="20"/>
          <w:szCs w:val="20"/>
          <w:color w:val="auto"/>
        </w:rPr>
      </w:pPr>
    </w:p>
    <w:p>
      <w:pPr>
        <w:ind w:right="380" w:firstLine="546"/>
        <w:spacing w:after="0" w:line="279" w:lineRule="auto"/>
        <w:rPr>
          <w:sz w:val="20"/>
          <w:szCs w:val="20"/>
          <w:color w:val="auto"/>
        </w:rPr>
      </w:pPr>
      <w:r>
        <w:rPr>
          <w:rFonts w:ascii="Arial" w:cs="Arial" w:eastAsia="Arial" w:hAnsi="Arial"/>
          <w:sz w:val="17"/>
          <w:szCs w:val="17"/>
          <w:color w:val="auto"/>
        </w:rPr>
        <w:t>The Company’s 2019 Inducement Plan (the “2019 Plan”) was adopted by the Board on December 11, 2019. The purpose of the 2019 Plan is to allow the Company to grant equity awards to new employees as inducements material to such new employee’s acceptance of employment with the Company. The Company intends that the shares underlying the 2019 Plan be reserved for persons to whom the Company may issue securities without stockholder approval as an inducement pursuant to Rule 5635(c)(4) of the Nasdaq marketplace rules.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initially reserved 1,800,000 shares of its common stock for the issuance of awards under the 2019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5" w:name="page126"/>
    <w:bookmarkEnd w:id="125"/>
    <w:p>
      <w:pPr>
        <w:ind w:left="560"/>
        <w:spacing w:after="0"/>
        <w:rPr>
          <w:sz w:val="20"/>
          <w:szCs w:val="20"/>
          <w:color w:val="auto"/>
        </w:rPr>
      </w:pPr>
      <w:r>
        <w:rPr>
          <w:rFonts w:ascii="Arial" w:cs="Arial" w:eastAsia="Arial" w:hAnsi="Arial"/>
          <w:sz w:val="18"/>
          <w:szCs w:val="18"/>
          <w:color w:val="auto"/>
        </w:rPr>
        <w:t>The number of shares of common stock available for future grant under the 2019 Plan was 412,686 as of December 31, 2021.</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Inducement Plan</w:t>
      </w:r>
    </w:p>
    <w:p>
      <w:pPr>
        <w:spacing w:after="0" w:line="13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The Company’s 2020 Inducement Plan (the “2020 Plan”) was adopted by the Board on December 9, 2020. The purpose of the 2020 Plan is to allow the Company to grant equity awards to new employees as inducements material to such new employee’s acceptance of employment with the Company. The Company intends that the shares underlying the 2020 Plan be reserved for persons to whom the Company may issue securities without stockholder approval as an inducement pursuant to Rule 5635(c)(4) of the Nasdaq marketplace rules.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initially reserved 1,700,000 shares of its common stock for the issuance of awards under the 2020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shares of common stock available for future grant under the 2020 Plan was 1,637,000 as of December 31, 2021.</w:t>
      </w:r>
    </w:p>
    <w:p>
      <w:pPr>
        <w:spacing w:after="0" w:line="3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75"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Year Ended</w:t>
      </w:r>
    </w:p>
    <w:p>
      <w:pPr>
        <w:jc w:val="center"/>
        <w:ind w:left="50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6"/>
        </w:trPr>
        <w:tc>
          <w:tcPr>
            <w:tcW w:w="526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0.76%</w:t>
            </w: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81.22%</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76.02%</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4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4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Term (Years)</w:t>
            </w:r>
          </w:p>
        </w:tc>
        <w:tc>
          <w:tcPr>
            <w:tcW w:w="160" w:type="dxa"/>
            <w:vAlign w:val="bottom"/>
          </w:tcPr>
          <w:p>
            <w:pPr>
              <w:spacing w:after="0"/>
              <w:rPr>
                <w:sz w:val="14"/>
                <w:szCs w:val="14"/>
                <w:color w:val="auto"/>
              </w:rPr>
            </w:pPr>
          </w:p>
        </w:tc>
        <w:tc>
          <w:tcPr>
            <w:tcW w:w="1040" w:type="dxa"/>
            <w:vAlign w:val="bottom"/>
          </w:tcPr>
          <w:p>
            <w:pPr>
              <w:jc w:val="center"/>
              <w:ind w:right="19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1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5,559,545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14.97</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7.65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13,511</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4,253,232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(226,180)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 or 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(2,162,820)</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tcPr>
          <w:p>
            <w:pPr>
              <w:jc w:val="right"/>
              <w:ind w:right="17"/>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7,423,777</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1,468,969</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2021</w:t>
            </w: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7"/>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line="20" w:lineRule="exact"/>
              <w:rPr>
                <w:sz w:val="1"/>
                <w:szCs w:val="1"/>
                <w:color w:val="auto"/>
              </w:rPr>
            </w:pPr>
          </w:p>
        </w:tc>
        <w:tc>
          <w:tcPr>
            <w:tcW w:w="1160" w:type="dxa"/>
            <w:vAlign w:val="bottom"/>
            <w:vMerge w:val="restart"/>
          </w:tcPr>
          <w:p>
            <w:pPr>
              <w:jc w:val="right"/>
              <w:ind w:right="41"/>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39"/>
              <w:spacing w:after="0"/>
              <w:rPr>
                <w:sz w:val="20"/>
                <w:szCs w:val="20"/>
                <w:color w:val="auto"/>
              </w:rPr>
            </w:pPr>
            <w:r>
              <w:rPr>
                <w:rFonts w:ascii="Arial" w:cs="Arial" w:eastAsia="Arial" w:hAnsi="Arial"/>
                <w:sz w:val="18"/>
                <w:szCs w:val="18"/>
                <w:color w:val="auto"/>
              </w:rPr>
              <w:t>1,466,939</w:t>
            </w:r>
          </w:p>
        </w:tc>
        <w:tc>
          <w:tcPr>
            <w:tcW w:w="0" w:type="dxa"/>
            <w:vAlign w:val="bottom"/>
          </w:tcPr>
          <w:p>
            <w:pPr>
              <w:spacing w:after="0" w:line="20" w:lineRule="exact"/>
              <w:rPr>
                <w:sz w:val="1"/>
                <w:szCs w:val="1"/>
                <w:color w:val="auto"/>
              </w:rPr>
            </w:pPr>
          </w:p>
        </w:tc>
      </w:tr>
      <w:tr>
        <w:trPr>
          <w:trHeight w:val="211"/>
        </w:trPr>
        <w:tc>
          <w:tcPr>
            <w:tcW w:w="5120" w:type="dxa"/>
            <w:vAlign w:val="bottom"/>
            <w:vMerge w:val="continue"/>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2,690,230</w:t>
            </w:r>
          </w:p>
        </w:tc>
        <w:tc>
          <w:tcPr>
            <w:tcW w:w="2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aggregate intrinsic value of options exercised during the years ended December 31, 2021 and 2020 was $1,826 and $2,077, respectively.</w:t>
      </w:r>
    </w:p>
    <w:p>
      <w:pPr>
        <w:spacing w:after="0" w:line="248"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years ended December 31, 2021 and 2020 was $8.70 and $12.28,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right="400" w:firstLine="546"/>
        <w:spacing w:after="0" w:line="277" w:lineRule="auto"/>
        <w:rPr>
          <w:sz w:val="20"/>
          <w:szCs w:val="20"/>
          <w:color w:val="auto"/>
        </w:rPr>
      </w:pPr>
      <w:r>
        <w:rPr>
          <w:rFonts w:ascii="Arial" w:cs="Arial" w:eastAsia="Arial" w:hAnsi="Arial"/>
          <w:sz w:val="18"/>
          <w:szCs w:val="18"/>
          <w:color w:val="auto"/>
        </w:rPr>
        <w:t>The Company has granted restricted common stock (or restricted stock awards) with time-based vesting conditions to certain employees of the Company. The purchase price of the restricted stock awards are determined by the Board. Unvested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6" w:name="page127"/>
    <w:bookmarkEnd w:id="126"/>
    <w:p>
      <w:pPr>
        <w:ind w:right="300"/>
        <w:spacing w:after="0" w:line="311" w:lineRule="auto"/>
        <w:rPr>
          <w:sz w:val="20"/>
          <w:szCs w:val="20"/>
          <w:color w:val="auto"/>
        </w:rPr>
      </w:pPr>
      <w:r>
        <w:rPr>
          <w:rFonts w:ascii="Arial" w:cs="Arial" w:eastAsia="Arial" w:hAnsi="Arial"/>
          <w:sz w:val="16"/>
          <w:szCs w:val="16"/>
          <w:color w:val="auto"/>
        </w:rPr>
        <w:t>shares of restricted stock awards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 There were no unvested restricted stock awards as of December 31, 2021.</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360" w:firstLine="546"/>
        <w:spacing w:after="0" w:line="277" w:lineRule="auto"/>
        <w:rPr>
          <w:sz w:val="20"/>
          <w:szCs w:val="20"/>
          <w:color w:val="auto"/>
        </w:rPr>
      </w:pPr>
      <w:r>
        <w:rPr>
          <w:rFonts w:ascii="Arial" w:cs="Arial" w:eastAsia="Arial" w:hAnsi="Arial"/>
          <w:sz w:val="18"/>
          <w:szCs w:val="18"/>
          <w:color w:val="auto"/>
        </w:rPr>
        <w:t>Restricted stock units represent an unsecured promise to grant at no cost a set number of shares of common stock upon vesting. With respect to restricted stock units, recipients are not entitled to cash dividends and have no voting rights during the vesting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Company’s restricted stock award and restricted stock unit activity for the year ended December 31, 2021:</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771,600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(172,373)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599,850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total fair value of restricted stock awards and restricted stock units vested during the years ended December 31, 2021 and 2020 was $5 and $29,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53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18,579</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546"/>
        <w:spacing w:after="0" w:line="277" w:lineRule="auto"/>
        <w:rPr>
          <w:sz w:val="20"/>
          <w:szCs w:val="20"/>
          <w:color w:val="auto"/>
        </w:rPr>
      </w:pPr>
      <w:r>
        <w:rPr>
          <w:rFonts w:ascii="Arial" w:cs="Arial" w:eastAsia="Arial" w:hAnsi="Arial"/>
          <w:sz w:val="18"/>
          <w:szCs w:val="18"/>
          <w:color w:val="auto"/>
        </w:rPr>
        <w:t>As of December 31, 2021, total unrecognized compensation cost related to unvested stock-based awards was $43,331, which is expected to be recognized over a weighted-average period of 2.82 years.</w:t>
      </w:r>
    </w:p>
    <w:p>
      <w:pPr>
        <w:spacing w:after="0" w:line="211" w:lineRule="exact"/>
        <w:rPr>
          <w:sz w:val="20"/>
          <w:szCs w:val="20"/>
          <w:color w:val="auto"/>
        </w:rPr>
      </w:pPr>
    </w:p>
    <w:p>
      <w:pPr>
        <w:ind w:right="100" w:firstLine="546"/>
        <w:spacing w:after="0" w:line="279" w:lineRule="auto"/>
        <w:rPr>
          <w:sz w:val="20"/>
          <w:szCs w:val="20"/>
          <w:color w:val="auto"/>
        </w:rPr>
      </w:pPr>
      <w:r>
        <w:rPr>
          <w:rFonts w:ascii="Arial" w:cs="Arial" w:eastAsia="Arial" w:hAnsi="Arial"/>
          <w:sz w:val="18"/>
          <w:szCs w:val="18"/>
          <w:color w:val="auto"/>
        </w:rPr>
        <w:t>As of December 31, 2020, the Company modified certain awards in conjunction with employee terminations. The modification provided for the extension of the post-employment exercise period. The modifications resulted in approximately $417 of additional research and development expenses for the year ended December 31,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401(k) Savings Plan</w:t>
      </w:r>
    </w:p>
    <w:p>
      <w:pPr>
        <w:spacing w:after="0" w:line="121" w:lineRule="exact"/>
        <w:rPr>
          <w:sz w:val="20"/>
          <w:szCs w:val="20"/>
          <w:color w:val="auto"/>
        </w:rPr>
      </w:pPr>
    </w:p>
    <w:p>
      <w:pPr>
        <w:ind w:right="240" w:firstLine="546"/>
        <w:spacing w:after="0" w:line="279"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Eligible employees may make pretax contributions to the 401(k) Plan up to statutory limits. At the election of the Board, the Company may elect to match employee contributions. Currently, the Company makes matching contributions at a rate of 50% of the first 6% of employee contributions. The Company recorded $593 and $468 of expenses related to its 401(k) match for the years ended December 31, 2021 and 2020,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 xml:space="preserve">For the years ended December 31, 2021 and 2020, the Company did not record a current or deferred income tax expense or (benefit) due to current and historical losses incurred by the Company. The Company’s operations are predominantly based in the United States and the Company’s foreign subsidiaries generated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losses for the years ended December 31, 2021 and 2020.</w:t>
      </w:r>
    </w:p>
    <w:p>
      <w:pPr>
        <w:spacing w:after="0" w:line="184"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A reconciliation of income tax expense (benefit) computed at the statutory federal income tax rate to the Company’s effective tax rate as reflected in the consolidated financial statements is as follows:</w:t>
      </w:r>
    </w:p>
    <w:p>
      <w:pPr>
        <w:spacing w:after="0" w:line="175"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Year Ended</w:t>
      </w:r>
    </w:p>
    <w:p>
      <w:pPr>
        <w:jc w:val="center"/>
        <w:ind w:left="50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6"/>
        </w:trPr>
        <w:tc>
          <w:tcPr>
            <w:tcW w:w="526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expense at statutory rate</w:t>
            </w:r>
          </w:p>
        </w:tc>
        <w:tc>
          <w:tcPr>
            <w:tcW w:w="6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Foreign rate differential</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9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-27.9%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Provision to Return</w:t>
            </w:r>
          </w:p>
        </w:tc>
        <w:tc>
          <w:tcPr>
            <w:tcW w:w="6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tax assets and liabilities are comprised of the following:</w:t>
      </w:r>
    </w:p>
    <w:p>
      <w:pPr>
        <w:spacing w:after="0" w:line="297"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U.S., foreign and state net operating loss carryforwards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84,102</w:t>
            </w:r>
          </w:p>
        </w:tc>
        <w:tc>
          <w:tcPr>
            <w:tcW w:w="140" w:type="dxa"/>
            <w:vAlign w:val="bottom"/>
          </w:tcPr>
          <w:p>
            <w:pPr>
              <w:spacing w:after="0"/>
              <w:rPr>
                <w:sz w:val="19"/>
                <w:szCs w:val="19"/>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57,705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Capitalized start up and organizational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Equity based compensation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Licensing agreements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4,004</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Accruals and other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70,652</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(100,893)</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(70,492)</w:t>
            </w:r>
          </w:p>
        </w:tc>
      </w:tr>
      <w:tr>
        <w:trPr>
          <w:trHeight w:val="263"/>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FF0FC"/>
            </w:tcBorders>
          </w:tcPr>
          <w:p>
            <w:pPr>
              <w:spacing w:after="0"/>
              <w:rPr>
                <w:sz w:val="22"/>
                <w:szCs w:val="22"/>
                <w:color w:val="auto"/>
              </w:rPr>
            </w:pPr>
          </w:p>
        </w:tc>
      </w:tr>
      <w:tr>
        <w:trPr>
          <w:trHeight w:val="21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r>
      <w:tr>
        <w:trPr>
          <w:trHeight w:val="223"/>
        </w:trPr>
        <w:tc>
          <w:tcPr>
            <w:tcW w:w="53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46"/>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As of December 31, 2021 and 2020,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2021 and 2020. The valuation allowance increased by $30,401 and $32,066 during the years ended December 31, 2021 and 2020, respectively, due primarily to net operating losses generated.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28" w:name="page129"/>
    <w:bookmarkEnd w:id="128"/>
    <w:p>
      <w:pPr>
        <w:ind w:right="220" w:firstLine="546"/>
        <w:spacing w:after="0" w:line="265" w:lineRule="auto"/>
        <w:rPr>
          <w:sz w:val="20"/>
          <w:szCs w:val="20"/>
          <w:color w:val="auto"/>
        </w:rPr>
      </w:pPr>
      <w:r>
        <w:rPr>
          <w:rFonts w:ascii="Arial" w:cs="Arial" w:eastAsia="Arial" w:hAnsi="Arial"/>
          <w:sz w:val="18"/>
          <w:szCs w:val="18"/>
          <w:color w:val="auto"/>
        </w:rPr>
        <w:t>As of December 31, 2021 and 2020, the Company had U.S. federal net operating loss carryforwards of $312,967 and $213,991, respectively, that may be available to offset future income tax liabilities. The U.S. federal tax operating loss carryforwards of approximately $17,743 will expire at various dates through 2037. Approximately $295,224 of the U.S. federal tax operating losses can be carried forward indefinitely. As of December 31, 2021 and 2020, the Company also had U.S. state net operating loss carryforwards of $290,500 and $201,642, respectively, which may be available to offset future taxable income. These losses expire at various dates beginning in 2041.</w:t>
      </w:r>
    </w:p>
    <w:p>
      <w:pPr>
        <w:spacing w:after="0" w:line="180"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As of December 31, 2021 and 2020, the Company had federal research and development tax credit carryforwards of $6,234 and $3,677, respectively. Included in the $6,234 of federal tax credit carryforwards are $1,959 of orphan drug credits. Through the year ended December 31, 2020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2021 and 2020, the Company had state research and development tax credit carryforwards of approximately $1,959 and $894, respectively, available to reduce future tax liabilities which expire at various dates beginning in 2037. For all years through December 31, 2021, the Company generated research credits but has not conducted a study to document the qualified activities. This study may result in an adjustment to the Company’s research and development credit carryforwards.</w:t>
      </w:r>
    </w:p>
    <w:p>
      <w:pPr>
        <w:spacing w:after="0" w:line="165" w:lineRule="exact"/>
        <w:rPr>
          <w:sz w:val="20"/>
          <w:szCs w:val="20"/>
          <w:color w:val="auto"/>
        </w:rPr>
      </w:pPr>
    </w:p>
    <w:p>
      <w:pPr>
        <w:ind w:right="120" w:firstLine="546"/>
        <w:spacing w:after="0" w:line="254" w:lineRule="auto"/>
        <w:rPr>
          <w:sz w:val="20"/>
          <w:szCs w:val="20"/>
          <w:color w:val="auto"/>
        </w:rPr>
      </w:pPr>
      <w:r>
        <w:rPr>
          <w:rFonts w:ascii="Arial" w:cs="Arial" w:eastAsia="Arial" w:hAnsi="Arial"/>
          <w:sz w:val="18"/>
          <w:szCs w:val="18"/>
          <w:color w:val="auto"/>
        </w:rPr>
        <w:t>As the Company carries out extensive research and development activities, it seeks to benefit from the Australian research and development tax credit cash rebate regime. Under this regime, the Company’s Australian subsidiary may be eligible to surrender the trading losses that arise from its research and development activities for a payable tax credit of up to approximately 43.5% of eligible research and development expenditures. Qualifying expenditures largely comprise employment costs for research staff, consumables, certain internal overhead costs and subcontracted expenditures as part of research projects for which the Company does not receive income. For the year ended December 31, 2021 and 2020, the Company recorded $1,210 and $589, respectively, in research and development tax credits as an offset to research and development expenses in the consolidated statement of operations and comprehensive loss.</w:t>
      </w:r>
    </w:p>
    <w:p>
      <w:pPr>
        <w:spacing w:after="0" w:line="195" w:lineRule="exact"/>
        <w:rPr>
          <w:sz w:val="20"/>
          <w:szCs w:val="20"/>
          <w:color w:val="auto"/>
        </w:rPr>
      </w:pPr>
    </w:p>
    <w:p>
      <w:pPr>
        <w:ind w:right="420" w:firstLine="546"/>
        <w:spacing w:after="0" w:line="287"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50 percentage points,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91" w:lineRule="exact"/>
        <w:rPr>
          <w:sz w:val="20"/>
          <w:szCs w:val="20"/>
          <w:color w:val="auto"/>
        </w:rPr>
      </w:pPr>
    </w:p>
    <w:p>
      <w:pPr>
        <w:ind w:right="20" w:firstLine="546"/>
        <w:spacing w:after="0" w:line="269" w:lineRule="auto"/>
        <w:rPr>
          <w:sz w:val="20"/>
          <w:szCs w:val="20"/>
          <w:color w:val="auto"/>
        </w:rPr>
      </w:pPr>
      <w:r>
        <w:rPr>
          <w:rFonts w:ascii="Arial" w:cs="Arial" w:eastAsia="Arial" w:hAnsi="Arial"/>
          <w:sz w:val="18"/>
          <w:szCs w:val="18"/>
          <w:color w:val="auto"/>
        </w:rPr>
        <w:t>The Company files income tax returns in the United States, Australia and Canada, and in several states. The foreign, federal and state income tax returns are generally subject to tax examinations for the tax years ended December 31, 2016 through December 31, 2020.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For purposes of the diluted net loss per share calculation, stock options, unvested restricted stock awards and unvested restricted stock units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87"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42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7,423,777</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5,559,545</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Restricted stock awards and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599,850</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firstLine="546"/>
        <w:spacing w:after="0" w:line="284" w:lineRule="auto"/>
        <w:rPr>
          <w:sz w:val="20"/>
          <w:szCs w:val="20"/>
          <w:color w:val="auto"/>
        </w:rPr>
      </w:pPr>
      <w:r>
        <w:rPr>
          <w:rFonts w:ascii="Arial" w:cs="Arial" w:eastAsia="Arial" w:hAnsi="Arial"/>
          <w:sz w:val="17"/>
          <w:szCs w:val="17"/>
          <w:color w:val="auto"/>
        </w:rPr>
        <w:t xml:space="preserve">In connection with the Company’s entry into a license agreement with UHN on January 27, 2016, the Company issued UHN 1,161,665 shares of its common stock. Upon the closing of the IPO in 2018, as UHN’s fully-diluted percentage ownership of the Company was reduced within a range of specified percentages, the Company was obligated to pay UHN an amount of $2,000, which was paid in July 2018. For the years ended December 31, 2021 and 2020, the Company recognized $248 and $381, respectively, of research and development expense related to the license agreements with UHN. Refer to Note 3 </w:t>
      </w:r>
      <w:r>
        <w:rPr>
          <w:rFonts w:ascii="Arial" w:cs="Arial" w:eastAsia="Arial" w:hAnsi="Arial"/>
          <w:sz w:val="17"/>
          <w:szCs w:val="17"/>
          <w:i w:val="1"/>
          <w:iCs w:val="1"/>
          <w:color w:val="auto"/>
        </w:rPr>
        <w:t>“License Agreements”</w:t>
      </w:r>
      <w:r>
        <w:rPr>
          <w:rFonts w:ascii="Arial" w:cs="Arial" w:eastAsia="Arial" w:hAnsi="Arial"/>
          <w:sz w:val="17"/>
          <w:szCs w:val="17"/>
          <w:color w:val="auto"/>
        </w:rPr>
        <w:t xml:space="preserve"> for additional information regarding the UHN license agreements.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0" w:name="page131"/>
    <w:bookmarkEnd w:id="130"/>
    <w:p>
      <w:pPr>
        <w:ind w:left="56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For the years ended December 31, 2021 and 2020, the Company recorded expenses of $1,523 and $1,488, respectively, related to a sublease to rent lab space, provided by an entity affiliated with a member of the board.</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firstLine="482"/>
        <w:spacing w:after="0" w:line="257" w:lineRule="auto"/>
        <w:rPr>
          <w:sz w:val="20"/>
          <w:szCs w:val="20"/>
          <w:color w:val="auto"/>
        </w:rPr>
      </w:pPr>
      <w:r>
        <w:rPr>
          <w:rFonts w:ascii="Arial" w:cs="Arial" w:eastAsia="Arial" w:hAnsi="Arial"/>
          <w:sz w:val="18"/>
          <w:szCs w:val="18"/>
          <w:color w:val="auto"/>
        </w:rPr>
        <w:t>The Company has completed an evaluation of all subsequent events after the audited balance sheet date of December 31, 2021 through the filing date of this Annual Report on Form 10-K with the SEC, to ensure that these consolidated financial statements include appropriate disclosure of events both recognized in the consolidated financial statements as of December 31, 2021, and events which occurred subsequently but were not recognized in the consolidated financial statements. The Company has concluded that no subsequent events have occurred that require disclosure, except as disclosed within these consolidated financial statements and as described below.</w:t>
      </w:r>
    </w:p>
    <w:p>
      <w:pPr>
        <w:spacing w:after="0" w:line="80" w:lineRule="exact"/>
        <w:rPr>
          <w:sz w:val="20"/>
          <w:szCs w:val="20"/>
          <w:color w:val="auto"/>
        </w:rPr>
      </w:pPr>
    </w:p>
    <w:p>
      <w:pPr>
        <w:ind w:right="140" w:firstLine="482"/>
        <w:spacing w:after="0" w:line="254" w:lineRule="auto"/>
        <w:rPr>
          <w:sz w:val="20"/>
          <w:szCs w:val="20"/>
          <w:color w:val="auto"/>
        </w:rPr>
      </w:pPr>
      <w:r>
        <w:rPr>
          <w:rFonts w:ascii="Arial" w:cs="Arial" w:eastAsia="Arial" w:hAnsi="Arial"/>
          <w:sz w:val="18"/>
          <w:szCs w:val="18"/>
          <w:color w:val="auto"/>
        </w:rPr>
        <w:t>In January 2022 the Company announced the deprioritization of AVR-RD-01, its investigational gene therapy program for Fabry disease. This decision was made due to several factors, including new clinical data showing variable engraftment patterns from the five most recently dosed patients in the Company’s Phase 2 clinical trial of AVR-RD-01 for the treatment of Fabry disease, which the Company refers to as the FAB-GT clinical trial. The emergence of such new data would have significantly extended the program’s development timeline. That development, coupled with an increasingly challenging market and regulatory environment for Fabry disease, were among the primary factors leading to the Company’s deprioritization of its Fabry program. As a result of the deprioritization, the Company has stopped enrollment of its Phase 2 FAB-GT clinical trial and will focus on its other pipeline programs.</w:t>
      </w:r>
    </w:p>
    <w:p>
      <w:pPr>
        <w:spacing w:after="0" w:line="87" w:lineRule="exact"/>
        <w:rPr>
          <w:sz w:val="20"/>
          <w:szCs w:val="20"/>
          <w:color w:val="auto"/>
        </w:rPr>
      </w:pPr>
    </w:p>
    <w:p>
      <w:pPr>
        <w:ind w:right="140" w:firstLine="482"/>
        <w:spacing w:after="0" w:line="259" w:lineRule="auto"/>
        <w:rPr>
          <w:sz w:val="20"/>
          <w:szCs w:val="20"/>
          <w:color w:val="auto"/>
        </w:rPr>
      </w:pPr>
      <w:r>
        <w:rPr>
          <w:rFonts w:ascii="Arial" w:cs="Arial" w:eastAsia="Arial" w:hAnsi="Arial"/>
          <w:sz w:val="18"/>
          <w:szCs w:val="18"/>
          <w:color w:val="auto"/>
        </w:rPr>
        <w:t>In connection with the deprioritization of AVR-RD-01 noted above, in January, 2022, the Company approved changes to the Company’s organization as well as a broader operational cost reduction plan. As part of this plan, the Company approved a reduction in the Company’s workforce by approximately 23% across different areas and functions in the Company (the “Workforce Reduction”). The Workforce Reduction is expected to be substantially complete in the first quarter of 2022.</w:t>
      </w:r>
    </w:p>
    <w:p>
      <w:pPr>
        <w:spacing w:after="0" w:line="79" w:lineRule="exact"/>
        <w:rPr>
          <w:sz w:val="20"/>
          <w:szCs w:val="20"/>
          <w:color w:val="auto"/>
        </w:rPr>
      </w:pPr>
    </w:p>
    <w:p>
      <w:pPr>
        <w:jc w:val="both"/>
        <w:ind w:right="160" w:firstLine="482"/>
        <w:spacing w:after="0" w:line="263" w:lineRule="auto"/>
        <w:rPr>
          <w:sz w:val="20"/>
          <w:szCs w:val="20"/>
          <w:color w:val="auto"/>
        </w:rPr>
      </w:pPr>
      <w:r>
        <w:rPr>
          <w:rFonts w:ascii="Arial" w:cs="Arial" w:eastAsia="Arial" w:hAnsi="Arial"/>
          <w:sz w:val="18"/>
          <w:szCs w:val="18"/>
          <w:color w:val="auto"/>
        </w:rPr>
        <w:t>Affected employees were offered separation benefits, including severance payments. The Company estimates that the severance and termination-related costs will total approximately $2.5 million in the aggregate and expects to record these charges in the first quarter of 2022. The Company expects that payments of these costs will be substantially complete through the end of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20" w:type="dxa"/>
            <w:vAlign w:val="bottom"/>
            <w:gridSpan w:val="29"/>
            <w:vMerge w:val="restart"/>
          </w:tcPr>
          <w:p>
            <w:pPr>
              <w:ind w:left="48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2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32"/>
              <w:spacing w:after="0" w:line="169" w:lineRule="exact"/>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35"/>
          </w:tcPr>
          <w:p>
            <w:pPr>
              <w:spacing w:after="0" w:line="169" w:lineRule="exact"/>
              <w:rPr>
                <w:rFonts w:ascii="Arial" w:cs="Arial" w:eastAsia="Arial" w:hAnsi="Arial"/>
                <w:sz w:val="18"/>
                <w:szCs w:val="18"/>
                <w:color w:val="0000EE"/>
                <w:w w:val="93"/>
              </w:rPr>
            </w:pPr>
            <w:hyperlink r:id="rId152">
              <w:r>
                <w:rPr>
                  <w:rFonts w:ascii="Arial" w:cs="Arial" w:eastAsia="Arial" w:hAnsi="Arial"/>
                  <w:sz w:val="18"/>
                  <w:szCs w:val="18"/>
                  <w:color w:val="0000EE"/>
                  <w:w w:val="93"/>
                </w:rPr>
                <w:t>Fourth Amended and Restated Certificate of Incorporation of the Registrant (filed as Exhibit 3.1 to the Registrant’s Current Report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Form 8-K filed on June 25, 2018 (File No. 001-38537) and incorporated herein by reference)</w:t>
              </w:r>
            </w:hyperlink>
          </w:p>
        </w:tc>
        <w:tc>
          <w:tcPr>
            <w:tcW w:w="2940" w:type="dxa"/>
            <w:vAlign w:val="bottom"/>
            <w:tcBorders>
              <w:top w:val="single" w:sz="8" w:color="0000EE"/>
            </w:tcBorders>
            <w:gridSpan w:val="14"/>
          </w:tcPr>
          <w:p>
            <w:pPr>
              <w:spacing w:after="0"/>
              <w:rPr>
                <w:sz w:val="17"/>
                <w:szCs w:val="17"/>
                <w:color w:val="auto"/>
              </w:rPr>
            </w:pPr>
          </w:p>
        </w:tc>
        <w:tc>
          <w:tcPr>
            <w:tcW w:w="2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5"/>
              </w:rPr>
              <w:t>3.2</w:t>
            </w:r>
          </w:p>
        </w:tc>
        <w:tc>
          <w:tcPr>
            <w:tcW w:w="40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Certificate of Change of Registered Agent and/or Registered Office of the Registrant (filed as Exhibit 3.2 to the Registrant’s Quarterly</w:t>
              </w:r>
            </w:hyperlink>
          </w:p>
        </w:tc>
        <w:tc>
          <w:tcPr>
            <w:tcW w:w="2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6"/>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Report on Form 10-Q filed on November 5, 2020 (File No. 001-38537)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5"/>
              </w:rPr>
              <w:t>3.3</w:t>
            </w:r>
          </w:p>
        </w:tc>
        <w:tc>
          <w:tcPr>
            <w:tcW w:w="400" w:type="dxa"/>
            <w:vAlign w:val="bottom"/>
          </w:tcPr>
          <w:p>
            <w:pPr>
              <w:spacing w:after="0"/>
              <w:rPr>
                <w:sz w:val="24"/>
                <w:szCs w:val="24"/>
                <w:color w:val="auto"/>
              </w:rPr>
            </w:pPr>
          </w:p>
        </w:tc>
        <w:tc>
          <w:tcPr>
            <w:tcW w:w="9920" w:type="dxa"/>
            <w:vAlign w:val="bottom"/>
            <w:gridSpan w:val="36"/>
          </w:tcPr>
          <w:p>
            <w:pPr>
              <w:spacing w:after="0"/>
              <w:rPr>
                <w:rFonts w:ascii="Arial" w:cs="Arial" w:eastAsia="Arial" w:hAnsi="Arial"/>
                <w:sz w:val="18"/>
                <w:szCs w:val="18"/>
                <w:color w:val="0000EE"/>
                <w:w w:val="97"/>
              </w:rPr>
            </w:pPr>
            <w:hyperlink r:id="rId154">
              <w:r>
                <w:rPr>
                  <w:rFonts w:ascii="Arial" w:cs="Arial" w:eastAsia="Arial" w:hAnsi="Arial"/>
                  <w:sz w:val="18"/>
                  <w:szCs w:val="18"/>
                  <w:color w:val="0000EE"/>
                  <w:w w:val="97"/>
                </w:rPr>
                <w:t>Amended and Restated By-laws (filed as Exhibit 3.2 to the Registrant’s Current Report on Form 8-K filed on June 25, 2018 (File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No. 001-38537) and incorporated herein by reference)</w:t>
              </w:r>
            </w:hyperlink>
          </w:p>
        </w:tc>
        <w:tc>
          <w:tcPr>
            <w:tcW w:w="5380" w:type="dxa"/>
            <w:vAlign w:val="bottom"/>
            <w:tcBorders>
              <w:top w:val="single" w:sz="8" w:color="0000EE"/>
            </w:tcBorders>
            <w:gridSpan w:val="9"/>
          </w:tcPr>
          <w:p>
            <w:pPr>
              <w:spacing w:after="0"/>
              <w:rPr>
                <w:sz w:val="17"/>
                <w:szCs w:val="17"/>
                <w:color w:val="auto"/>
              </w:rPr>
            </w:pPr>
          </w:p>
        </w:tc>
        <w:tc>
          <w:tcPr>
            <w:tcW w:w="6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5"/>
              </w:rPr>
              <w:t>4.1</w:t>
            </w:r>
          </w:p>
        </w:tc>
        <w:tc>
          <w:tcPr>
            <w:tcW w:w="400" w:type="dxa"/>
            <w:vAlign w:val="bottom"/>
          </w:tcPr>
          <w:p>
            <w:pPr>
              <w:spacing w:after="0"/>
              <w:rPr>
                <w:sz w:val="24"/>
                <w:szCs w:val="24"/>
                <w:color w:val="auto"/>
              </w:rPr>
            </w:pPr>
          </w:p>
        </w:tc>
        <w:tc>
          <w:tcPr>
            <w:tcW w:w="9800" w:type="dxa"/>
            <w:vAlign w:val="bottom"/>
            <w:tcBorders>
              <w:bottom w:val="single" w:sz="8" w:color="0000EE"/>
            </w:tcBorders>
            <w:gridSpan w:val="30"/>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Form of Specimen Common Stock Certificate (filed as Exhibit 4.1 to the Registrant’s Second Amendment to the Registration Statement</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on Form S-1 filed on June 11, 2018 (File No. 333-225213) and incorporated herein by reference)</w:t>
              </w:r>
            </w:hyperlink>
          </w:p>
        </w:tc>
        <w:tc>
          <w:tcPr>
            <w:tcW w:w="29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5"/>
              </w:rPr>
              <w:t>4.2</w:t>
            </w:r>
          </w:p>
        </w:tc>
        <w:tc>
          <w:tcPr>
            <w:tcW w:w="400" w:type="dxa"/>
            <w:vAlign w:val="bottom"/>
          </w:tcPr>
          <w:p>
            <w:pPr>
              <w:spacing w:after="0"/>
              <w:rPr>
                <w:sz w:val="24"/>
                <w:szCs w:val="24"/>
                <w:color w:val="auto"/>
              </w:rPr>
            </w:pPr>
          </w:p>
        </w:tc>
        <w:tc>
          <w:tcPr>
            <w:tcW w:w="9920" w:type="dxa"/>
            <w:vAlign w:val="bottom"/>
            <w:gridSpan w:val="36"/>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Second Amended and Restated Investors’ Rights Agreement among the Registrant and certain of its stockholders, dated January 9, 2018</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(filed as Exhibit 4.2 to the Registrant’s Registration Statement on Form S-1 filed on May 25, 2018 (File No. 333-225213) and</w:t>
              </w:r>
            </w:hyperlink>
          </w:p>
        </w:tc>
        <w:tc>
          <w:tcPr>
            <w:tcW w:w="720" w:type="dxa"/>
            <w:vAlign w:val="bottom"/>
            <w:tcBorders>
              <w:top w:val="single" w:sz="8" w:color="0000EE"/>
            </w:tcBorders>
            <w:gridSpan w:val="18"/>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6"/>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5"/>
              </w:rPr>
              <w:t>4.3</w:t>
            </w:r>
          </w:p>
        </w:tc>
        <w:tc>
          <w:tcPr>
            <w:tcW w:w="400" w:type="dxa"/>
            <w:vAlign w:val="bottom"/>
          </w:tcPr>
          <w:p>
            <w:pPr>
              <w:spacing w:after="0"/>
              <w:rPr>
                <w:sz w:val="24"/>
                <w:szCs w:val="24"/>
                <w:color w:val="auto"/>
              </w:rPr>
            </w:pPr>
          </w:p>
        </w:tc>
        <w:tc>
          <w:tcPr>
            <w:tcW w:w="9740" w:type="dxa"/>
            <w:vAlign w:val="bottom"/>
            <w:tcBorders>
              <w:bottom w:val="single" w:sz="8" w:color="0000EE"/>
            </w:tcBorders>
            <w:gridSpan w:val="27"/>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Description of Securities Registered Pursuant to Section 12 of the Securities Exchange Act of 1934, as amended (filed as Exhibit 4.3 to</w:t>
              </w:r>
            </w:hyperlink>
          </w:p>
        </w:tc>
        <w:tc>
          <w:tcPr>
            <w:tcW w:w="1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0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the to the Registrant’s Annual Report on Form 10-K filed on March 16, 2020 (File No. 001-38537) and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10.1#</w:t>
            </w:r>
          </w:p>
        </w:tc>
        <w:tc>
          <w:tcPr>
            <w:tcW w:w="400" w:type="dxa"/>
            <w:vAlign w:val="bottom"/>
          </w:tcPr>
          <w:p>
            <w:pPr>
              <w:spacing w:after="0"/>
              <w:rPr>
                <w:sz w:val="24"/>
                <w:szCs w:val="24"/>
                <w:color w:val="auto"/>
              </w:rPr>
            </w:pPr>
          </w:p>
        </w:tc>
        <w:tc>
          <w:tcPr>
            <w:tcW w:w="9880" w:type="dxa"/>
            <w:vAlign w:val="bottom"/>
            <w:tcBorders>
              <w:bottom w:val="single" w:sz="8" w:color="0000EE"/>
            </w:tcBorders>
            <w:gridSpan w:val="34"/>
          </w:tcPr>
          <w:p>
            <w:pPr>
              <w:spacing w:after="0"/>
              <w:rPr>
                <w:rFonts w:ascii="Arial" w:cs="Arial" w:eastAsia="Arial" w:hAnsi="Arial"/>
                <w:sz w:val="18"/>
                <w:szCs w:val="18"/>
                <w:color w:val="0000EE"/>
                <w:w w:val="89"/>
              </w:rPr>
            </w:pPr>
            <w:hyperlink r:id="rId158">
              <w:r>
                <w:rPr>
                  <w:rFonts w:ascii="Arial" w:cs="Arial" w:eastAsia="Arial" w:hAnsi="Arial"/>
                  <w:sz w:val="18"/>
                  <w:szCs w:val="18"/>
                  <w:color w:val="0000EE"/>
                  <w:w w:val="89"/>
                </w:rPr>
                <w:t>2015 Amended and Restated Stock Option and Grant Plan, as amended, and forms of award agreements thereunder (filed as Exhibit 10.1</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6"/>
          </w:tcPr>
          <w:p>
            <w:pPr>
              <w:spacing w:after="0" w:line="196" w:lineRule="exact"/>
              <w:rPr>
                <w:rFonts w:ascii="Arial" w:cs="Arial" w:eastAsia="Arial" w:hAnsi="Arial"/>
                <w:sz w:val="18"/>
                <w:szCs w:val="18"/>
                <w:color w:val="0000EE"/>
                <w:w w:val="97"/>
              </w:rPr>
            </w:pPr>
            <w:hyperlink r:id="rId158">
              <w:r>
                <w:rPr>
                  <w:rFonts w:ascii="Arial" w:cs="Arial" w:eastAsia="Arial" w:hAnsi="Arial"/>
                  <w:sz w:val="18"/>
                  <w:szCs w:val="18"/>
                  <w:color w:val="0000EE"/>
                  <w:w w:val="97"/>
                </w:rPr>
                <w:t>to the Registrant’s Registration Statement on Form S-1 filed on May 25, 2018 (File No. 333-225213) and incorporated herein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58">
              <w:r>
                <w:rPr>
                  <w:rFonts w:ascii="Arial" w:cs="Arial" w:eastAsia="Arial" w:hAnsi="Arial"/>
                  <w:sz w:val="18"/>
                  <w:szCs w:val="18"/>
                  <w:color w:val="0000EE"/>
                  <w:w w:val="87"/>
                </w:rPr>
                <w:t>reference)</w:t>
              </w:r>
            </w:hyperlink>
          </w:p>
        </w:tc>
        <w:tc>
          <w:tcPr>
            <w:tcW w:w="8500" w:type="dxa"/>
            <w:vAlign w:val="bottom"/>
            <w:tcBorders>
              <w:top w:val="single" w:sz="8" w:color="0000EE"/>
            </w:tcBorders>
            <w:gridSpan w:val="12"/>
          </w:tcPr>
          <w:p>
            <w:pPr>
              <w:spacing w:after="0"/>
              <w:rPr>
                <w:sz w:val="17"/>
                <w:szCs w:val="17"/>
                <w:color w:val="auto"/>
              </w:rPr>
            </w:pPr>
          </w:p>
        </w:tc>
        <w:tc>
          <w:tcPr>
            <w:tcW w:w="6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10.2#</w:t>
            </w:r>
          </w:p>
        </w:tc>
        <w:tc>
          <w:tcPr>
            <w:tcW w:w="400" w:type="dxa"/>
            <w:vAlign w:val="bottom"/>
          </w:tcPr>
          <w:p>
            <w:pPr>
              <w:spacing w:after="0"/>
              <w:rPr>
                <w:sz w:val="24"/>
                <w:szCs w:val="24"/>
                <w:color w:val="auto"/>
              </w:rPr>
            </w:pPr>
          </w:p>
        </w:tc>
        <w:tc>
          <w:tcPr>
            <w:tcW w:w="9920" w:type="dxa"/>
            <w:vAlign w:val="bottom"/>
            <w:gridSpan w:val="36"/>
          </w:tcPr>
          <w:p>
            <w:pPr>
              <w:spacing w:after="0"/>
              <w:rPr>
                <w:rFonts w:ascii="Arial" w:cs="Arial" w:eastAsia="Arial" w:hAnsi="Arial"/>
                <w:sz w:val="18"/>
                <w:szCs w:val="18"/>
                <w:color w:val="0000EE"/>
                <w:w w:val="95"/>
              </w:rPr>
            </w:pPr>
            <w:hyperlink r:id="rId159">
              <w:r>
                <w:rPr>
                  <w:rFonts w:ascii="Arial" w:cs="Arial" w:eastAsia="Arial" w:hAnsi="Arial"/>
                  <w:sz w:val="18"/>
                  <w:szCs w:val="18"/>
                  <w:color w:val="0000EE"/>
                  <w:w w:val="95"/>
                </w:rPr>
                <w:t>2018 Stock Option and Incentive Plan and forms of award agreements thereunder (filed as Exhibit 10.2 to the Registrant’s Second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Amendment to the Registration Statement on Form S-1 filed on June 11, 2018 (File No. 333-225213) and incorporated herein by</w:t>
              </w:r>
            </w:hyperlink>
          </w:p>
        </w:tc>
        <w:tc>
          <w:tcPr>
            <w:tcW w:w="40" w:type="dxa"/>
            <w:vAlign w:val="bottom"/>
            <w:tcBorders>
              <w:top w:val="single" w:sz="8" w:color="0000EE"/>
            </w:tcBorders>
          </w:tcPr>
          <w:p>
            <w:pPr>
              <w:spacing w:after="0"/>
              <w:rPr>
                <w:sz w:val="17"/>
                <w:szCs w:val="17"/>
                <w:color w:val="auto"/>
              </w:rPr>
            </w:pPr>
          </w:p>
        </w:tc>
        <w:tc>
          <w:tcPr>
            <w:tcW w:w="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59">
              <w:r>
                <w:rPr>
                  <w:rFonts w:ascii="Arial" w:cs="Arial" w:eastAsia="Arial" w:hAnsi="Arial"/>
                  <w:sz w:val="18"/>
                  <w:szCs w:val="18"/>
                  <w:color w:val="0000EE"/>
                  <w:w w:val="87"/>
                </w:rPr>
                <w:t>reference)</w:t>
              </w:r>
            </w:hyperlink>
          </w:p>
        </w:tc>
        <w:tc>
          <w:tcPr>
            <w:tcW w:w="91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10.3#</w:t>
            </w:r>
          </w:p>
        </w:tc>
        <w:tc>
          <w:tcPr>
            <w:tcW w:w="400" w:type="dxa"/>
            <w:vAlign w:val="bottom"/>
          </w:tcPr>
          <w:p>
            <w:pPr>
              <w:spacing w:after="0"/>
              <w:rPr>
                <w:sz w:val="24"/>
                <w:szCs w:val="24"/>
                <w:color w:val="auto"/>
              </w:rPr>
            </w:pPr>
          </w:p>
        </w:tc>
        <w:tc>
          <w:tcPr>
            <w:tcW w:w="9760" w:type="dxa"/>
            <w:vAlign w:val="bottom"/>
            <w:tcBorders>
              <w:bottom w:val="single" w:sz="8" w:color="0000EE"/>
            </w:tcBorders>
            <w:gridSpan w:val="28"/>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First Amendment to the AVROBIO, Inc. 2018 Stock Option and Incentive Plan (filed as Exhibit 10.1 to the Registrant’s Current Report</w:t>
              </w:r>
            </w:hyperlink>
          </w:p>
        </w:tc>
        <w:tc>
          <w:tcPr>
            <w:tcW w:w="1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on Form 8-K filed on June 9, 2020 (File No. 333-225213) and incorporated herein by reference)</w:t>
              </w:r>
            </w:hyperlink>
          </w:p>
        </w:tc>
        <w:tc>
          <w:tcPr>
            <w:tcW w:w="30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10.4#</w:t>
            </w:r>
          </w:p>
        </w:tc>
        <w:tc>
          <w:tcPr>
            <w:tcW w:w="400" w:type="dxa"/>
            <w:vAlign w:val="bottom"/>
          </w:tcPr>
          <w:p>
            <w:pPr>
              <w:spacing w:after="0"/>
              <w:rPr>
                <w:sz w:val="24"/>
                <w:szCs w:val="24"/>
                <w:color w:val="auto"/>
              </w:rPr>
            </w:pPr>
          </w:p>
        </w:tc>
        <w:tc>
          <w:tcPr>
            <w:tcW w:w="9920" w:type="dxa"/>
            <w:vAlign w:val="bottom"/>
            <w:gridSpan w:val="36"/>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Senior Executive Cash Incentive Bonus Plan (filed as Exhibit 10.3 to the Registrant’s Second Amendment to the Registration Statement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on Form S-1 filed on June 11, 2018 (File No. 333-225213) and incorporated herein by reference)</w:t>
              </w:r>
            </w:hyperlink>
          </w:p>
        </w:tc>
        <w:tc>
          <w:tcPr>
            <w:tcW w:w="2800" w:type="dxa"/>
            <w:vAlign w:val="bottom"/>
            <w:tcBorders>
              <w:top w:val="single" w:sz="8" w:color="0000EE"/>
            </w:tcBorders>
            <w:gridSpan w:val="18"/>
          </w:tcPr>
          <w:p>
            <w:pPr>
              <w:spacing w:after="0"/>
              <w:rPr>
                <w:sz w:val="17"/>
                <w:szCs w:val="17"/>
                <w:color w:val="auto"/>
              </w:rPr>
            </w:pPr>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10.5#</w:t>
            </w:r>
          </w:p>
        </w:tc>
        <w:tc>
          <w:tcPr>
            <w:tcW w:w="400" w:type="dxa"/>
            <w:vAlign w:val="bottom"/>
          </w:tcPr>
          <w:p>
            <w:pPr>
              <w:spacing w:after="0"/>
              <w:rPr>
                <w:sz w:val="24"/>
                <w:szCs w:val="24"/>
                <w:color w:val="auto"/>
              </w:rPr>
            </w:pPr>
          </w:p>
        </w:tc>
        <w:tc>
          <w:tcPr>
            <w:tcW w:w="9920" w:type="dxa"/>
            <w:vAlign w:val="bottom"/>
            <w:gridSpan w:val="36"/>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Form of Indemnification Agreement (filed as Exhibit 10.4 to the Registrant’s Second Amendment to the Registration Statement on Form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S-1 filed on June 11, 2018 (File No. 333-225213) and incorporated herein by reference)</w:t>
              </w:r>
            </w:hyperlink>
          </w:p>
        </w:tc>
        <w:tc>
          <w:tcPr>
            <w:tcW w:w="3520" w:type="dxa"/>
            <w:vAlign w:val="bottom"/>
            <w:tcBorders>
              <w:top w:val="single" w:sz="8" w:color="0000EE"/>
            </w:tcBorders>
            <w:gridSpan w:val="24"/>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10.6†</w:t>
            </w:r>
          </w:p>
        </w:tc>
        <w:tc>
          <w:tcPr>
            <w:tcW w:w="40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Exclusive License Agreement, by and between the Registrant and University Health Network, dated November 4, 2016, as amended</w:t>
              </w:r>
            </w:hyperlink>
          </w:p>
        </w:tc>
        <w:tc>
          <w:tcPr>
            <w:tcW w:w="3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(filed as Exhibit 10.5 to the Registrant’s First Amendment to the Registration Statement on Form S-1 filed on June 1, 2018 (File No.</w:t>
              </w:r>
            </w:hyperlink>
          </w:p>
        </w:tc>
        <w:tc>
          <w:tcPr>
            <w:tcW w:w="3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333-225213) and incorporated herein by reference)</w:t>
              </w:r>
            </w:hyperlink>
          </w:p>
        </w:tc>
        <w:tc>
          <w:tcPr>
            <w:tcW w:w="62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88"/>
              </w:rPr>
              <w:t>10.7†</w:t>
            </w:r>
          </w:p>
        </w:tc>
        <w:tc>
          <w:tcPr>
            <w:tcW w:w="40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License Agreement, by and between the Registrant and BioMarin Pharmaceutical Inc., dated August 31, 2017 (filed as Exhibit 10.6 to</w:t>
              </w:r>
            </w:hyperlink>
          </w:p>
        </w:tc>
        <w:tc>
          <w:tcPr>
            <w:tcW w:w="2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6"/>
          </w:tcPr>
          <w:p>
            <w:pPr>
              <w:spacing w:after="0" w:line="196" w:lineRule="exact"/>
              <w:rPr>
                <w:rFonts w:ascii="Arial" w:cs="Arial" w:eastAsia="Arial" w:hAnsi="Arial"/>
                <w:sz w:val="18"/>
                <w:szCs w:val="18"/>
                <w:color w:val="0000EE"/>
                <w:w w:val="95"/>
              </w:rPr>
            </w:pPr>
            <w:hyperlink r:id="rId164">
              <w:r>
                <w:rPr>
                  <w:rFonts w:ascii="Arial" w:cs="Arial" w:eastAsia="Arial" w:hAnsi="Arial"/>
                  <w:sz w:val="18"/>
                  <w:szCs w:val="18"/>
                  <w:color w:val="0000EE"/>
                  <w:w w:val="95"/>
                </w:rPr>
                <w:t>the Registrant’s Second Amendment to the Registration Statement on Form S-1 filed on June 11, 2018 (File No. 333-225213)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incorporated herein by reference)</w:t>
              </w:r>
            </w:hyperlink>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9920" w:type="dxa"/>
            <w:vAlign w:val="bottom"/>
            <w:gridSpan w:val="36"/>
          </w:tcPr>
          <w:p>
            <w:pPr>
              <w:spacing w:after="0"/>
              <w:rPr>
                <w:rFonts w:ascii="Arial" w:cs="Arial" w:eastAsia="Arial" w:hAnsi="Arial"/>
                <w:sz w:val="18"/>
                <w:szCs w:val="18"/>
                <w:color w:val="0000EE"/>
                <w:w w:val="93"/>
              </w:rPr>
            </w:pPr>
            <w:hyperlink r:id="rId165">
              <w:r>
                <w:rPr>
                  <w:rFonts w:ascii="Arial" w:cs="Arial" w:eastAsia="Arial" w:hAnsi="Arial"/>
                  <w:sz w:val="18"/>
                  <w:szCs w:val="18"/>
                  <w:color w:val="0000EE"/>
                  <w:w w:val="93"/>
                </w:rPr>
                <w:t>Amendment No. 1 to License Agreement, by and between the Registrant and BioMarin Pharmaceutical Inc., dated February 21, 2018</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(filed as Exhibit 10.7 to the to the Registrant’s Annual Report on Form 10-K filed on March 16, 2020 (File No. 001-38537) and</w:t>
              </w:r>
            </w:hyperlink>
          </w:p>
        </w:tc>
        <w:tc>
          <w:tcPr>
            <w:tcW w:w="420" w:type="dxa"/>
            <w:vAlign w:val="bottom"/>
            <w:tcBorders>
              <w:top w:val="single" w:sz="8" w:color="0000EE"/>
            </w:tcBorders>
            <w:gridSpan w:val="8"/>
          </w:tcPr>
          <w:p>
            <w:pPr>
              <w:spacing w:after="0"/>
              <w:rPr>
                <w:sz w:val="17"/>
                <w:szCs w:val="17"/>
                <w:color w:val="auto"/>
              </w:rPr>
            </w:pPr>
          </w:p>
        </w:tc>
        <w:tc>
          <w:tcPr>
            <w:tcW w:w="3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6"/>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26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4"/>
                <w:szCs w:val="24"/>
                <w:color w:val="auto"/>
              </w:rPr>
            </w:pPr>
          </w:p>
        </w:tc>
        <w:tc>
          <w:tcPr>
            <w:tcW w:w="9920" w:type="dxa"/>
            <w:vAlign w:val="bottom"/>
            <w:gridSpan w:val="36"/>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Amendment No. 2 to License Agreement, by and between the Registrant and BioMarin Pharmaceutical Inc., dated January 7, 2020 (filed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as Exhibit 10.8 to the to the Registrant’s Annual Report on Form 10-K filed on March 16, 2020 (File No. 001-38537) and incorporated</w:t>
              </w:r>
            </w:hyperlink>
          </w:p>
        </w:tc>
        <w:tc>
          <w:tcPr>
            <w:tcW w:w="160" w:type="dxa"/>
            <w:vAlign w:val="bottom"/>
            <w:tcBorders>
              <w:top w:val="single" w:sz="8" w:color="0000EE"/>
            </w:tcBorders>
            <w:gridSpan w:val="7"/>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6"/>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2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24"/>
                <w:szCs w:val="24"/>
                <w:color w:val="auto"/>
              </w:rPr>
            </w:pPr>
          </w:p>
        </w:tc>
        <w:tc>
          <w:tcPr>
            <w:tcW w:w="9920" w:type="dxa"/>
            <w:vAlign w:val="bottom"/>
            <w:gridSpan w:val="36"/>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Exclusive License Agreement, by and among the Registrant, Stefan Karlsson and Maria Dahl, dated January 30, 2017 (filed as 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r>
                <w:rPr>
                  <w:rFonts w:ascii="Arial" w:cs="Arial" w:eastAsia="Arial" w:hAnsi="Arial"/>
                  <w:sz w:val="18"/>
                  <w:szCs w:val="18"/>
                  <w:color w:val="0000EE"/>
                  <w:w w:val="91"/>
                </w:rPr>
                <w:t xml:space="preserve"> to the Registrant’s Registration Statement on Form S-1 filed on May 25, 2018 (File No. 333-225213) and incorporated herein by</w:t>
              </w:r>
            </w:hyperlink>
          </w:p>
        </w:tc>
        <w:tc>
          <w:tcPr>
            <w:tcW w:w="20" w:type="dxa"/>
            <w:vAlign w:val="bottom"/>
            <w:tcBorders>
              <w:top w:val="single" w:sz="8" w:color="0000EE"/>
            </w:tcBorders>
          </w:tcPr>
          <w:p>
            <w:pPr>
              <w:spacing w:after="0"/>
              <w:rPr>
                <w:sz w:val="17"/>
                <w:szCs w:val="17"/>
                <w:color w:val="auto"/>
              </w:rPr>
            </w:pPr>
          </w:p>
        </w:tc>
        <w:tc>
          <w:tcPr>
            <w:tcW w:w="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36"/>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600" w:type="dxa"/>
            <w:vAlign w:val="bottom"/>
            <w:gridSpan w:val="6"/>
          </w:tcPr>
          <w:p>
            <w:pPr>
              <w:jc w:val="right"/>
              <w:ind w:right="1808"/>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61"/>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580" w:type="dxa"/>
            <w:vAlign w:val="bottom"/>
            <w:gridSpan w:val="23"/>
            <w:vMerge w:val="restart"/>
          </w:tcPr>
          <w:p>
            <w:pPr>
              <w:ind w:left="104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100"/>
              <w:spacing w:after="0" w:line="169" w:lineRule="exact"/>
              <w:rPr>
                <w:sz w:val="20"/>
                <w:szCs w:val="20"/>
                <w:color w:val="auto"/>
              </w:rPr>
            </w:pPr>
            <w:r>
              <w:rPr>
                <w:rFonts w:ascii="Arial" w:cs="Arial" w:eastAsia="Arial" w:hAnsi="Arial"/>
                <w:sz w:val="18"/>
                <w:szCs w:val="18"/>
                <w:color w:val="auto"/>
              </w:rPr>
              <w:t>10.11†</w:t>
            </w:r>
          </w:p>
        </w:tc>
        <w:tc>
          <w:tcPr>
            <w:tcW w:w="4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740" w:type="dxa"/>
            <w:vAlign w:val="bottom"/>
            <w:tcBorders>
              <w:bottom w:val="single" w:sz="8" w:color="0000EE"/>
            </w:tcBorders>
            <w:gridSpan w:val="20"/>
          </w:tcPr>
          <w:p>
            <w:pPr>
              <w:spacing w:after="0" w:line="169"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License Agreement, by and between the Registrant and GenStem Therapeutics, Inc., dated October 2, 2017 (filed as Exhibit 10.8 to the</w:t>
              </w:r>
            </w:hyperlink>
          </w:p>
        </w:tc>
        <w:tc>
          <w:tcPr>
            <w:tcW w:w="1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Registrant’s Registration Statement on Form S-1 filed on May 25, 2018 (File No. 333-225213) and incorporated herein by reference)</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Amended and Restated Employment Agreement, by and between the Registrant and Geoff MacKay, effective as of June 25, 2018 (filed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as Exhibit 10.9 to the Registrant’s Second Amendment to the Registration Statement on Form S-1 filed on June 11, 2018 (File No. 333-</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225213)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10.13#</w:t>
            </w:r>
          </w:p>
        </w:tc>
        <w:tc>
          <w:tcPr>
            <w:tcW w:w="400" w:type="dxa"/>
            <w:vAlign w:val="bottom"/>
          </w:tcPr>
          <w:p>
            <w:pPr>
              <w:spacing w:after="0"/>
              <w:rPr>
                <w:sz w:val="24"/>
                <w:szCs w:val="24"/>
                <w:color w:val="auto"/>
              </w:rPr>
            </w:pPr>
          </w:p>
        </w:tc>
        <w:tc>
          <w:tcPr>
            <w:tcW w:w="9840" w:type="dxa"/>
            <w:vAlign w:val="bottom"/>
            <w:tcBorders>
              <w:bottom w:val="single" w:sz="8" w:color="0000EE"/>
            </w:tcBorders>
            <w:gridSpan w:val="24"/>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Amendment to Employment Agreement, by and between the Registrant and Geoff MacKay, dated April 5, 2021 (filed as Exhibit 10.1 to</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w w:val="96"/>
              </w:rPr>
            </w:pPr>
            <w:hyperlink r:id="rId172">
              <w:r>
                <w:rPr>
                  <w:rFonts w:ascii="Arial" w:cs="Arial" w:eastAsia="Arial" w:hAnsi="Arial"/>
                  <w:sz w:val="18"/>
                  <w:szCs w:val="18"/>
                  <w:color w:val="0000EE"/>
                  <w:w w:val="96"/>
                </w:rPr>
                <w:t>the Registrant’s Quarterly Report on Form 10-Q filed on May 13, 2021 (File No. 001-38537)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24"/>
                <w:szCs w:val="24"/>
                <w:color w:val="auto"/>
              </w:rPr>
            </w:pPr>
          </w:p>
        </w:tc>
        <w:tc>
          <w:tcPr>
            <w:tcW w:w="9440" w:type="dxa"/>
            <w:vAlign w:val="bottom"/>
            <w:tcBorders>
              <w:bottom w:val="single" w:sz="8" w:color="0000EE"/>
            </w:tcBorders>
            <w:gridSpan w:val="12"/>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Employment Agreement, by and between the Registrant and Erik Ostrowski, dated December 17, 2018 (filed as Exhibit 10.1 to the</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w w:val="96"/>
              </w:rPr>
            </w:pPr>
            <w:hyperlink r:id="rId173">
              <w:r>
                <w:rPr>
                  <w:rFonts w:ascii="Arial" w:cs="Arial" w:eastAsia="Arial" w:hAnsi="Arial"/>
                  <w:sz w:val="18"/>
                  <w:szCs w:val="18"/>
                  <w:color w:val="0000EE"/>
                  <w:w w:val="96"/>
                </w:rPr>
                <w:t>Registrant’s Current Report on Form 8-K filed on December 21, 2018 (File No. 001-38537)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10.15#</w:t>
            </w:r>
          </w:p>
        </w:tc>
        <w:tc>
          <w:tcPr>
            <w:tcW w:w="4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Amendment to Employment Agreement, by and between the Registrant and Erik Ostrowski, dated April 5, 2021 (filed as Exhibit 10.2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40" w:type="dxa"/>
            <w:vAlign w:val="bottom"/>
            <w:tcBorders>
              <w:top w:val="single" w:sz="8" w:color="0000EE"/>
            </w:tcBorders>
            <w:gridSpan w:val="24"/>
          </w:tcPr>
          <w:p>
            <w:pPr>
              <w:spacing w:after="0" w:line="196" w:lineRule="exact"/>
              <w:rPr>
                <w:rFonts w:ascii="Arial" w:cs="Arial" w:eastAsia="Arial" w:hAnsi="Arial"/>
                <w:sz w:val="18"/>
                <w:szCs w:val="18"/>
                <w:color w:val="0000EE"/>
                <w:w w:val="95"/>
              </w:rPr>
            </w:pPr>
            <w:hyperlink r:id="rId174">
              <w:r>
                <w:rPr>
                  <w:rFonts w:ascii="Arial" w:cs="Arial" w:eastAsia="Arial" w:hAnsi="Arial"/>
                  <w:sz w:val="18"/>
                  <w:szCs w:val="18"/>
                  <w:color w:val="0000EE"/>
                  <w:w w:val="95"/>
                </w:rPr>
                <w:t>the Registrant’s Quarterly Report on Form 10-Q filed on May 13, 2021 (File No. 001-38537) and incorporated herein by reference</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Employment Agreement, by and between the Registrant and Steven Avruch, dated December 17, 2018 (filed as Exhibit 10.13 to the</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Registrant’s Annual Report on Form 10-K filed on March 25, 2019 (File No. 001-38537) and incorporated herein by reference)</w:t>
              </w:r>
            </w:hyperlink>
          </w:p>
        </w:tc>
        <w:tc>
          <w:tcPr>
            <w:tcW w:w="7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10.17#</w:t>
            </w:r>
          </w:p>
        </w:tc>
        <w:tc>
          <w:tcPr>
            <w:tcW w:w="400" w:type="dxa"/>
            <w:vAlign w:val="bottom"/>
          </w:tcPr>
          <w:p>
            <w:pPr>
              <w:spacing w:after="0"/>
              <w:rPr>
                <w:sz w:val="24"/>
                <w:szCs w:val="24"/>
                <w:color w:val="auto"/>
              </w:rPr>
            </w:pPr>
          </w:p>
        </w:tc>
        <w:tc>
          <w:tcPr>
            <w:tcW w:w="9820" w:type="dxa"/>
            <w:vAlign w:val="bottom"/>
            <w:tcBorders>
              <w:bottom w:val="single" w:sz="8" w:color="0000EE"/>
            </w:tcBorders>
            <w:gridSpan w:val="23"/>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Amendment to Employment Agreement, by and between the Registrant and Steven Avruch, dated April 5, 2021 (filed as Exhibit 10.3 to</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w w:val="96"/>
              </w:rPr>
            </w:pPr>
            <w:hyperlink r:id="rId176">
              <w:r>
                <w:rPr>
                  <w:rFonts w:ascii="Arial" w:cs="Arial" w:eastAsia="Arial" w:hAnsi="Arial"/>
                  <w:sz w:val="18"/>
                  <w:szCs w:val="18"/>
                  <w:color w:val="0000EE"/>
                  <w:w w:val="96"/>
                </w:rPr>
                <w:t>the Registrant’s Quarterly Report on Form 10-Q filed on May 13, 2021 (File No. 001-38537)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10.18#</w:t>
            </w:r>
          </w:p>
        </w:tc>
        <w:tc>
          <w:tcPr>
            <w:tcW w:w="400" w:type="dxa"/>
            <w:vAlign w:val="bottom"/>
          </w:tcPr>
          <w:p>
            <w:pPr>
              <w:spacing w:after="0"/>
              <w:rPr>
                <w:sz w:val="24"/>
                <w:szCs w:val="24"/>
                <w:color w:val="auto"/>
              </w:rPr>
            </w:pPr>
          </w:p>
        </w:tc>
        <w:tc>
          <w:tcPr>
            <w:tcW w:w="9600" w:type="dxa"/>
            <w:vAlign w:val="bottom"/>
            <w:tcBorders>
              <w:bottom w:val="single" w:sz="8" w:color="0000EE"/>
            </w:tcBorders>
            <w:gridSpan w:val="18"/>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Employment Agreement, by and between the Registrant and Deanna Petersen, dated September 1, 2018 (filed as Exhibit 10.16 to the</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Registrant’s Annual Report on Form 10-K filed on March 16, 2020 (File No. 001-38537) and incorporated herein by reference)</w:t>
              </w:r>
            </w:hyperlink>
          </w:p>
        </w:tc>
        <w:tc>
          <w:tcPr>
            <w:tcW w:w="7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10.19#</w:t>
            </w:r>
          </w:p>
        </w:tc>
        <w:tc>
          <w:tcPr>
            <w:tcW w:w="4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Amendment to Employment Agreement, by and between the Registrant and Deanna Petersen, dated April 5, 2021 (filed as Exhibit 10.6</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60" w:type="dxa"/>
            <w:vAlign w:val="bottom"/>
            <w:tcBorders>
              <w:top w:val="single" w:sz="8" w:color="0000EE"/>
            </w:tcBorders>
            <w:gridSpan w:val="21"/>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to the Registrant’s Quarterly Report on Form 10-Q filed on May 13, 2021 (File No. 001-38537) and incorporated herein by reference</w:t>
              </w:r>
              <w:r>
                <w:rPr>
                  <w:rFonts w:ascii="Arial" w:cs="Arial" w:eastAsia="Arial" w:hAnsi="Arial"/>
                  <w:sz w:val="18"/>
                  <w:szCs w:val="18"/>
                  <w:u w:val="single" w:color="auto"/>
                  <w:color w:val="000000"/>
                  <w:highlight w:val="white"/>
                  <w:w w:val="92"/>
                </w:rPr>
                <w:t>)</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24"/>
                <w:szCs w:val="24"/>
                <w:color w:val="auto"/>
              </w:rPr>
            </w:pPr>
          </w:p>
        </w:tc>
        <w:tc>
          <w:tcPr>
            <w:tcW w:w="93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Employment Agreement, by and between the Registrant and Chris Mason, dated September 1, 2018 (filed as Exhibit 10.19 to the</w:t>
              </w:r>
            </w:hyperlink>
          </w:p>
        </w:tc>
        <w:tc>
          <w:tcPr>
            <w:tcW w:w="220" w:type="dxa"/>
            <w:vAlign w:val="bottom"/>
            <w:tcBorders>
              <w:top w:val="single" w:sz="8" w:color="0000EE"/>
            </w:tcBorders>
            <w:gridSpan w:val="6"/>
          </w:tcPr>
          <w:p>
            <w:pPr>
              <w:spacing w:after="0"/>
              <w:rPr>
                <w:sz w:val="24"/>
                <w:szCs w:val="24"/>
                <w:color w:val="auto"/>
              </w:rPr>
            </w:pPr>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w w:val="99"/>
              </w:rPr>
            </w:pPr>
            <w:hyperlink r:id="rId179">
              <w:r>
                <w:rPr>
                  <w:rFonts w:ascii="Arial" w:cs="Arial" w:eastAsia="Arial" w:hAnsi="Arial"/>
                  <w:sz w:val="18"/>
                  <w:szCs w:val="18"/>
                  <w:color w:val="0000EE"/>
                  <w:w w:val="99"/>
                </w:rPr>
                <w:t>Registrant’s Annual Report on Form 10-K filed on March 18, 2021 (File No. 001-38537)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24"/>
                <w:szCs w:val="24"/>
                <w:color w:val="auto"/>
              </w:rPr>
            </w:pPr>
          </w:p>
        </w:tc>
        <w:tc>
          <w:tcPr>
            <w:tcW w:w="9680" w:type="dxa"/>
            <w:vAlign w:val="bottom"/>
            <w:tcBorders>
              <w:bottom w:val="single" w:sz="8" w:color="0000EE"/>
            </w:tcBorders>
            <w:gridSpan w:val="20"/>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Amendment to Employment Agreement, by and between the Registrant and Chris Mason, dated April 5, 2021 (filed as Exhibit 10.5 to</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w w:val="95"/>
              </w:rPr>
            </w:pPr>
            <w:hyperlink r:id="rId180">
              <w:r>
                <w:rPr>
                  <w:rFonts w:ascii="Arial" w:cs="Arial" w:eastAsia="Arial" w:hAnsi="Arial"/>
                  <w:sz w:val="18"/>
                  <w:szCs w:val="18"/>
                  <w:color w:val="0000EE"/>
                  <w:w w:val="95"/>
                </w:rPr>
                <w:t>the Registrant’s Quarterly Report on Form 10-Q filed on May 13, 2021 (File No. 001-38537) and incorporated herein by reference)</w:t>
              </w:r>
            </w:hyperlink>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24"/>
                <w:szCs w:val="24"/>
                <w:color w:val="auto"/>
              </w:rPr>
            </w:pPr>
          </w:p>
        </w:tc>
        <w:tc>
          <w:tcPr>
            <w:tcW w:w="9440" w:type="dxa"/>
            <w:vAlign w:val="bottom"/>
            <w:tcBorders>
              <w:top w:val="single" w:sz="8" w:color="0000EE"/>
            </w:tcBorders>
            <w:gridSpan w:val="12"/>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Employment Agreement, by and between the Registrant and Essra Ridha, dated October 6, 2021</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10.23#</w:t>
            </w:r>
          </w:p>
        </w:tc>
        <w:tc>
          <w:tcPr>
            <w:tcW w:w="4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3"/>
              </w:rPr>
            </w:pPr>
            <w:hyperlink r:id="rId181">
              <w:r>
                <w:rPr>
                  <w:rFonts w:ascii="Arial" w:cs="Arial" w:eastAsia="Arial" w:hAnsi="Arial"/>
                  <w:sz w:val="18"/>
                  <w:szCs w:val="18"/>
                  <w:color w:val="0000EE"/>
                  <w:w w:val="93"/>
                </w:rPr>
                <w:t>2018 Employee Stock Purchase Plan (filed as Exhibit 10.14 to the Registrant’s Second Amendment to the Registration Statement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Form S-1 filed on June 11, 2018 (File No. 333-225213) and incorporated herein by reference)</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10.24</w:t>
            </w:r>
          </w:p>
        </w:tc>
        <w:tc>
          <w:tcPr>
            <w:tcW w:w="40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Lease Agreement, dated as of January 12, 2018, by and between the Registrant and ARE-MA Region No. 59, LLC (filed as Exhibit</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12</w:t>
              </w:r>
              <w:r>
                <w:rPr>
                  <w:rFonts w:ascii="Arial" w:cs="Arial" w:eastAsia="Arial" w:hAnsi="Arial"/>
                  <w:sz w:val="18"/>
                  <w:szCs w:val="18"/>
                  <w:color w:val="0000EE"/>
                  <w:w w:val="92"/>
                </w:rPr>
                <w:t xml:space="preserve"> to the Registrant’s Registration Statement on Form S-1 filed on May 25, 2018 (File No. 333-225213) and incorporated herein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reference)</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24"/>
                <w:szCs w:val="24"/>
                <w:color w:val="auto"/>
              </w:rPr>
            </w:pPr>
          </w:p>
        </w:tc>
        <w:tc>
          <w:tcPr>
            <w:tcW w:w="9880" w:type="dxa"/>
            <w:vAlign w:val="bottom"/>
            <w:tcBorders>
              <w:bottom w:val="single" w:sz="8" w:color="0000EE"/>
            </w:tcBorders>
            <w:gridSpan w:val="25"/>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2019 Inducement Plan and form of award agreement thereunder (filed as Exhibit 99.1 to the Registrant’s Registration Statement on Form</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S-8 filed on December 20, 2019 (File No. 333-235643) and incorporated herein by reference)</w:t>
              </w:r>
            </w:hyperlink>
          </w:p>
        </w:tc>
        <w:tc>
          <w:tcPr>
            <w:tcW w:w="31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10.26#</w:t>
            </w:r>
          </w:p>
        </w:tc>
        <w:tc>
          <w:tcPr>
            <w:tcW w:w="4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4"/>
              </w:rPr>
            </w:pPr>
            <w:hyperlink r:id="rId184">
              <w:r>
                <w:rPr>
                  <w:rFonts w:ascii="Arial" w:cs="Arial" w:eastAsia="Arial" w:hAnsi="Arial"/>
                  <w:sz w:val="18"/>
                  <w:szCs w:val="18"/>
                  <w:color w:val="0000EE"/>
                  <w:w w:val="94"/>
                </w:rPr>
                <w:t>Form of 2019 Inducement Stock Option Award (filed as Exhibit 99.1 to the Registrant’s Registration Statement on Form S-8 filed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March 25, 2019 (File No. 333-230493) and incorporated herein by reference)</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6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20" w:type="dxa"/>
            <w:vAlign w:val="bottom"/>
            <w:gridSpan w:val="1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10.27#</w:t>
            </w:r>
          </w:p>
        </w:tc>
        <w:tc>
          <w:tcPr>
            <w:tcW w:w="400" w:type="dxa"/>
            <w:vAlign w:val="bottom"/>
          </w:tcPr>
          <w:p>
            <w:pPr>
              <w:spacing w:after="0"/>
              <w:rPr>
                <w:sz w:val="24"/>
                <w:szCs w:val="24"/>
                <w:color w:val="auto"/>
              </w:rPr>
            </w:pPr>
          </w:p>
        </w:tc>
        <w:tc>
          <w:tcPr>
            <w:tcW w:w="9800" w:type="dxa"/>
            <w:vAlign w:val="bottom"/>
            <w:tcBorders>
              <w:bottom w:val="single" w:sz="8" w:color="0000EE"/>
            </w:tcBorders>
            <w:gridSpan w:val="22"/>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2020 Inducement Plan and form of award agreement thereunder (filed as Exhibit 10.25 to the Registrant’s Annual Report on Form 10-K</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filed on March 18, 2021 (File No. 001-38537) and incorporated herein by reference)</w:t>
              </w:r>
            </w:hyperlink>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5540" w:type="dxa"/>
            <w:vAlign w:val="bottom"/>
            <w:tcBorders>
              <w:top w:val="single" w:sz="8" w:color="0000EE"/>
            </w:tcBorders>
            <w:gridSpan w:val="3"/>
          </w:tcPr>
          <w:p>
            <w:pPr>
              <w:jc w:val="right"/>
              <w:ind w:right="1048"/>
              <w:spacing w:after="0"/>
              <w:rPr>
                <w:sz w:val="20"/>
                <w:szCs w:val="20"/>
                <w:color w:val="auto"/>
              </w:rPr>
            </w:pPr>
            <w:r>
              <w:rPr>
                <w:rFonts w:ascii="Arial" w:cs="Arial" w:eastAsia="Arial" w:hAnsi="Arial"/>
                <w:sz w:val="18"/>
                <w:szCs w:val="18"/>
                <w:color w:val="auto"/>
              </w:rPr>
              <w:t>106</w:t>
            </w:r>
          </w:p>
        </w:tc>
        <w:tc>
          <w:tcPr>
            <w:tcW w:w="5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61"/>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20" w:type="dxa"/>
            <w:vAlign w:val="bottom"/>
            <w:gridSpan w:val="9"/>
            <w:vMerge w:val="restart"/>
          </w:tcPr>
          <w:p>
            <w:pPr>
              <w:ind w:left="68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2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00"/>
              <w:spacing w:after="0"/>
              <w:rPr>
                <w:sz w:val="20"/>
                <w:szCs w:val="20"/>
                <w:color w:val="auto"/>
              </w:rPr>
            </w:pPr>
            <w:r>
              <w:rPr>
                <w:rFonts w:ascii="Arial" w:cs="Arial" w:eastAsia="Arial" w:hAnsi="Arial"/>
                <w:sz w:val="18"/>
                <w:szCs w:val="18"/>
                <w:color w:val="auto"/>
              </w:rPr>
              <w:t>10.28</w:t>
            </w:r>
          </w:p>
        </w:tc>
        <w:tc>
          <w:tcPr>
            <w:tcW w:w="400" w:type="dxa"/>
            <w:vAlign w:val="bottom"/>
          </w:tcPr>
          <w:p>
            <w:pPr>
              <w:spacing w:after="0"/>
              <w:rPr>
                <w:sz w:val="24"/>
                <w:szCs w:val="24"/>
                <w:color w:val="auto"/>
              </w:rPr>
            </w:pPr>
          </w:p>
        </w:tc>
        <w:tc>
          <w:tcPr>
            <w:tcW w:w="9640" w:type="dxa"/>
            <w:vAlign w:val="bottom"/>
            <w:tcBorders>
              <w:bottom w:val="single" w:sz="8" w:color="0000EE"/>
            </w:tcBorders>
            <w:gridSpan w:val="9"/>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Loan and Security Agreement, dated November 2, 2021, by and among the Registrant, the lenders party thereto from time to time and</w:t>
              </w:r>
            </w:hyperlink>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gridSpan w:val="12"/>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Silicon Valley Bank, as administrative agent and collateral agent (filed as Exhibit 10.1 to the Registrant’s Quarterly Report on Form 10-Q</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filed on November 4, 2021 (File No. 001-38537) and incorporated herein by reference)</w:t>
              </w:r>
            </w:hyperlink>
          </w:p>
        </w:tc>
        <w:tc>
          <w:tcPr>
            <w:tcW w:w="36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Subsidiaries of the Registrant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4"/>
                <w:szCs w:val="24"/>
                <w:color w:val="auto"/>
              </w:rPr>
            </w:pPr>
          </w:p>
        </w:tc>
        <w:tc>
          <w:tcPr>
            <w:tcW w:w="58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51">
              <w:r>
                <w:rPr>
                  <w:rFonts w:ascii="Arial" w:cs="Arial" w:eastAsia="Arial" w:hAnsi="Arial"/>
                  <w:sz w:val="18"/>
                  <w:szCs w:val="18"/>
                  <w:color w:val="0000EE"/>
                  <w:w w:val="91"/>
                </w:rPr>
                <w:t>Consent of Ernst &amp; Young LLP, Independent Registered Public Accounting Firm</w:t>
              </w:r>
            </w:hyperlink>
          </w:p>
        </w:tc>
        <w:tc>
          <w:tcPr>
            <w:tcW w:w="40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24.1</w:t>
            </w:r>
          </w:p>
        </w:tc>
        <w:tc>
          <w:tcPr>
            <w:tcW w:w="400" w:type="dxa"/>
            <w:vAlign w:val="bottom"/>
          </w:tcPr>
          <w:p>
            <w:pPr>
              <w:spacing w:after="0"/>
              <w:rPr>
                <w:sz w:val="24"/>
                <w:szCs w:val="24"/>
                <w:color w:val="auto"/>
              </w:rPr>
            </w:pPr>
          </w:p>
        </w:tc>
        <w:tc>
          <w:tcPr>
            <w:tcW w:w="37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35">
              <w:r>
                <w:rPr>
                  <w:rFonts w:ascii="Arial" w:cs="Arial" w:eastAsia="Arial" w:hAnsi="Arial"/>
                  <w:sz w:val="18"/>
                  <w:szCs w:val="18"/>
                  <w:color w:val="0000EE"/>
                  <w:w w:val="90"/>
                </w:rPr>
                <w:t>Power of Attorney (included on the signature page)</w:t>
              </w:r>
            </w:hyperlink>
          </w:p>
        </w:tc>
        <w:tc>
          <w:tcPr>
            <w:tcW w:w="6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52">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Adopted Pursuant to Section 302 of the Sarbanes-Oxley Act of 2002</w:t>
              </w:r>
            </w:hyperlink>
          </w:p>
        </w:tc>
        <w:tc>
          <w:tcPr>
            <w:tcW w:w="49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w w:val="94"/>
              </w:rPr>
            </w:pPr>
            <w:hyperlink w:anchor="page153">
              <w:r>
                <w:rPr>
                  <w:rFonts w:ascii="Arial" w:cs="Arial" w:eastAsia="Arial" w:hAnsi="Arial"/>
                  <w:sz w:val="18"/>
                  <w:szCs w:val="18"/>
                  <w:color w:val="0000EE"/>
                  <w:w w:val="94"/>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3"/>
          </w:tcPr>
          <w:p>
            <w:pPr>
              <w:spacing w:after="0"/>
              <w:rPr>
                <w:sz w:val="17"/>
                <w:szCs w:val="17"/>
                <w:color w:val="auto"/>
              </w:rPr>
            </w:pPr>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w w:val="93"/>
              </w:rPr>
            </w:pPr>
            <w:hyperlink w:anchor="page154">
              <w:r>
                <w:rPr>
                  <w:rFonts w:ascii="Arial" w:cs="Arial" w:eastAsia="Arial" w:hAnsi="Arial"/>
                  <w:sz w:val="18"/>
                  <w:szCs w:val="18"/>
                  <w:color w:val="0000EE"/>
                  <w:w w:val="93"/>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54">
              <w:r>
                <w:rPr>
                  <w:rFonts w:ascii="Arial" w:cs="Arial" w:eastAsia="Arial" w:hAnsi="Arial"/>
                  <w:sz w:val="18"/>
                  <w:szCs w:val="18"/>
                  <w:color w:val="0000EE"/>
                  <w:w w:val="90"/>
                </w:rPr>
                <w:t>Section 906 of the Sarbanes-Oxley Act of 2002</w:t>
              </w:r>
            </w:hyperlink>
          </w:p>
        </w:tc>
        <w:tc>
          <w:tcPr>
            <w:tcW w:w="6340" w:type="dxa"/>
            <w:vAlign w:val="bottom"/>
            <w:tcBorders>
              <w:top w:val="single" w:sz="8" w:color="0000EE"/>
            </w:tcBorders>
            <w:gridSpan w:val="8"/>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w w:val="96"/>
              </w:rPr>
              <w:t>Interactive Data Files pursuant to Rule 405 of Regulation S-T formatted in Inline Extensible Business Reporting Language (“Inline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0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320" w:right="460" w:hanging="1312"/>
        <w:spacing w:after="0" w:line="277" w:lineRule="auto"/>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70" w:lineRule="exact"/>
        <w:rPr>
          <w:sz w:val="20"/>
          <w:szCs w:val="20"/>
          <w:color w:val="auto"/>
        </w:rPr>
      </w:pPr>
    </w:p>
    <w:p>
      <w:pPr>
        <w:ind w:left="540" w:right="720" w:hanging="532"/>
        <w:spacing w:after="0" w:line="258"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pursuant to Rule 406 promulgated under the Securities Act of 1933, as amended.</w:t>
      </w:r>
    </w:p>
    <w:p>
      <w:pPr>
        <w:spacing w:after="0" w:line="1" w:lineRule="exact"/>
        <w:rPr>
          <w:sz w:val="20"/>
          <w:szCs w:val="20"/>
          <w:color w:val="auto"/>
        </w:rPr>
      </w:pPr>
    </w:p>
    <w:p>
      <w:pPr>
        <w:ind w:left="540" w:right="360" w:hanging="532"/>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they are both (i) not material and (ii) would likely cause competitive harm to the registrant if publicly disclosed.</w:t>
      </w:r>
    </w:p>
    <w:p>
      <w:pPr>
        <w:spacing w:after="0" w:line="1" w:lineRule="exact"/>
        <w:rPr>
          <w:sz w:val="20"/>
          <w:szCs w:val="20"/>
          <w:color w:val="auto"/>
        </w:rPr>
      </w:pPr>
    </w:p>
    <w:p>
      <w:pPr>
        <w:ind w:left="540" w:hanging="53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the exhibit is being furnished, not filed, with this report.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17</w:t>
      </w:r>
      <w:r>
        <w:rPr>
          <w:rFonts w:ascii="Arial" w:cs="Arial" w:eastAsia="Arial" w:hAnsi="Arial"/>
          <w:sz w:val="15"/>
          <w:szCs w:val="15"/>
          <w:color w:val="auto"/>
        </w:rPr>
        <w:t>th</w:t>
      </w:r>
      <w:r>
        <w:rPr>
          <w:rFonts w:ascii="Arial" w:cs="Arial" w:eastAsia="Arial" w:hAnsi="Arial"/>
          <w:sz w:val="18"/>
          <w:szCs w:val="18"/>
          <w:color w:val="auto"/>
        </w:rPr>
        <w:t xml:space="preserve"> day of March, 2022.</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486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2" w:lineRule="exact"/>
        <w:rPr>
          <w:sz w:val="20"/>
          <w:szCs w:val="20"/>
          <w:color w:val="auto"/>
        </w:rPr>
      </w:pPr>
    </w:p>
    <w:p>
      <w:pPr>
        <w:ind w:right="20" w:firstLine="546"/>
        <w:spacing w:after="0" w:line="292"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Geoff MacKay and Erik</w:t>
      </w:r>
      <w:r>
        <w:rPr>
          <w:rFonts w:ascii="Arial" w:cs="Arial" w:eastAsia="Arial" w:hAnsi="Arial"/>
          <w:sz w:val="16"/>
          <w:szCs w:val="16"/>
          <w:b w:val="1"/>
          <w:bCs w:val="1"/>
          <w:color w:val="auto"/>
        </w:rPr>
        <w:t xml:space="preserve"> </w:t>
      </w:r>
      <w:r>
        <w:rPr>
          <w:rFonts w:ascii="Arial" w:cs="Arial" w:eastAsia="Arial" w:hAnsi="Arial"/>
          <w:sz w:val="16"/>
          <w:szCs w:val="16"/>
          <w:color w:val="auto"/>
        </w:rPr>
        <w:t>Ostrowski,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substitutes or substitute, may lawfully do or cause to be done by virtue hereof.</w:t>
      </w:r>
    </w:p>
    <w:p>
      <w:pPr>
        <w:spacing w:after="0" w:line="165"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40" w:type="dxa"/>
            <w:vAlign w:val="bottom"/>
          </w:tcPr>
          <w:p>
            <w:pPr>
              <w:spacing w:after="0"/>
              <w:rPr>
                <w:sz w:val="14"/>
                <w:szCs w:val="14"/>
                <w:color w:val="auto"/>
              </w:rPr>
            </w:pPr>
          </w:p>
        </w:tc>
        <w:tc>
          <w:tcPr>
            <w:tcW w:w="39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314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17"/>
        </w:trPr>
        <w:tc>
          <w:tcPr>
            <w:tcW w:w="3940" w:type="dxa"/>
            <w:vAlign w:val="bottom"/>
          </w:tcPr>
          <w:p>
            <w:pPr>
              <w:jc w:val="center"/>
              <w:spacing w:after="0"/>
              <w:rPr>
                <w:sz w:val="20"/>
                <w:szCs w:val="20"/>
                <w:color w:val="auto"/>
              </w:rPr>
            </w:pPr>
            <w:r>
              <w:rPr>
                <w:rFonts w:ascii="Arial" w:cs="Arial" w:eastAsia="Arial" w:hAnsi="Arial"/>
                <w:sz w:val="18"/>
                <w:szCs w:val="18"/>
                <w:color w:val="auto"/>
                <w:w w:val="92"/>
              </w:rPr>
              <w:t>/s/ Geoff MacKay</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President, Chief Executive Officer and</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41"/>
        </w:trPr>
        <w:tc>
          <w:tcPr>
            <w:tcW w:w="3940" w:type="dxa"/>
            <w:vAlign w:val="bottom"/>
            <w:tcBorders>
              <w:bottom w:val="single" w:sz="8" w:color="auto"/>
            </w:tcBorders>
          </w:tcPr>
          <w:p>
            <w:pPr>
              <w:spacing w:after="0"/>
              <w:rPr>
                <w:sz w:val="3"/>
                <w:szCs w:val="3"/>
                <w:color w:val="auto"/>
              </w:rPr>
            </w:pPr>
          </w:p>
        </w:tc>
        <w:tc>
          <w:tcPr>
            <w:tcW w:w="4160" w:type="dxa"/>
            <w:vAlign w:val="bottom"/>
            <w:gridSpan w:val="3"/>
            <w:vMerge w:val="restart"/>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940" w:type="dxa"/>
            <w:vAlign w:val="bottom"/>
          </w:tcPr>
          <w:p>
            <w:pPr>
              <w:jc w:val="center"/>
              <w:spacing w:after="0" w:line="156" w:lineRule="exact"/>
              <w:rPr>
                <w:sz w:val="20"/>
                <w:szCs w:val="20"/>
                <w:color w:val="auto"/>
              </w:rPr>
            </w:pPr>
            <w:r>
              <w:rPr>
                <w:rFonts w:ascii="Arial" w:cs="Arial" w:eastAsia="Arial" w:hAnsi="Arial"/>
                <w:sz w:val="18"/>
                <w:szCs w:val="18"/>
                <w:color w:val="auto"/>
                <w:w w:val="94"/>
              </w:rPr>
              <w:t>Geoff MacKay</w:t>
            </w:r>
          </w:p>
        </w:tc>
        <w:tc>
          <w:tcPr>
            <w:tcW w:w="4160" w:type="dxa"/>
            <w:vAlign w:val="bottom"/>
            <w:gridSpan w:val="3"/>
            <w:vMerge w:val="continue"/>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4160" w:type="dxa"/>
            <w:vAlign w:val="bottom"/>
            <w:gridSpan w:val="3"/>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940" w:type="dxa"/>
            <w:vAlign w:val="bottom"/>
          </w:tcPr>
          <w:p>
            <w:pPr>
              <w:jc w:val="center"/>
              <w:spacing w:after="0"/>
              <w:rPr>
                <w:sz w:val="20"/>
                <w:szCs w:val="20"/>
                <w:color w:val="auto"/>
              </w:rPr>
            </w:pPr>
            <w:r>
              <w:rPr>
                <w:rFonts w:ascii="Arial" w:cs="Arial" w:eastAsia="Arial" w:hAnsi="Arial"/>
                <w:sz w:val="18"/>
                <w:szCs w:val="18"/>
                <w:color w:val="auto"/>
                <w:w w:val="94"/>
              </w:rPr>
              <w:t>/s/ Erik Ostrowski</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41"/>
        </w:trPr>
        <w:tc>
          <w:tcPr>
            <w:tcW w:w="3940" w:type="dxa"/>
            <w:vAlign w:val="bottom"/>
            <w:tcBorders>
              <w:bottom w:val="single" w:sz="8" w:color="auto"/>
            </w:tcBorders>
          </w:tcPr>
          <w:p>
            <w:pPr>
              <w:spacing w:after="0"/>
              <w:rPr>
                <w:sz w:val="3"/>
                <w:szCs w:val="3"/>
                <w:color w:val="auto"/>
              </w:rPr>
            </w:pPr>
          </w:p>
        </w:tc>
        <w:tc>
          <w:tcPr>
            <w:tcW w:w="41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Financial Officer and Principal</w:t>
            </w:r>
          </w:p>
        </w:tc>
        <w:tc>
          <w:tcPr>
            <w:tcW w:w="3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940" w:type="dxa"/>
            <w:vAlign w:val="bottom"/>
          </w:tcPr>
          <w:p>
            <w:pPr>
              <w:jc w:val="center"/>
              <w:spacing w:after="0" w:line="156" w:lineRule="exact"/>
              <w:rPr>
                <w:sz w:val="20"/>
                <w:szCs w:val="20"/>
                <w:color w:val="auto"/>
              </w:rPr>
            </w:pPr>
            <w:r>
              <w:rPr>
                <w:rFonts w:ascii="Arial" w:cs="Arial" w:eastAsia="Arial" w:hAnsi="Arial"/>
                <w:sz w:val="18"/>
                <w:szCs w:val="18"/>
                <w:color w:val="auto"/>
                <w:w w:val="93"/>
              </w:rPr>
              <w:t>Erik Ostrowski</w:t>
            </w:r>
          </w:p>
        </w:tc>
        <w:tc>
          <w:tcPr>
            <w:tcW w:w="4160" w:type="dxa"/>
            <w:vAlign w:val="bottom"/>
            <w:gridSpan w:val="3"/>
            <w:vMerge w:val="continue"/>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4160" w:type="dxa"/>
            <w:vAlign w:val="bottom"/>
            <w:gridSpan w:val="3"/>
          </w:tcPr>
          <w:p>
            <w:pPr>
              <w:ind w:left="140"/>
              <w:spacing w:after="0"/>
              <w:rPr>
                <w:sz w:val="20"/>
                <w:szCs w:val="20"/>
                <w:color w:val="auto"/>
              </w:rPr>
            </w:pPr>
            <w:r>
              <w:rPr>
                <w:rFonts w:ascii="Arial" w:cs="Arial" w:eastAsia="Arial" w:hAnsi="Arial"/>
                <w:sz w:val="18"/>
                <w:szCs w:val="18"/>
                <w:i w:val="1"/>
                <w:iCs w:val="1"/>
                <w:color w:val="auto"/>
              </w:rPr>
              <w:t>Accounting Officer)</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3940" w:type="dxa"/>
            <w:vAlign w:val="bottom"/>
          </w:tcPr>
          <w:p>
            <w:pPr>
              <w:jc w:val="center"/>
              <w:spacing w:after="0"/>
              <w:rPr>
                <w:sz w:val="20"/>
                <w:szCs w:val="20"/>
                <w:color w:val="auto"/>
              </w:rPr>
            </w:pPr>
            <w:r>
              <w:rPr>
                <w:rFonts w:ascii="Arial" w:cs="Arial" w:eastAsia="Arial" w:hAnsi="Arial"/>
                <w:sz w:val="18"/>
                <w:szCs w:val="18"/>
                <w:color w:val="auto"/>
                <w:w w:val="90"/>
              </w:rPr>
              <w:t>/s/ Bruce Booth</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Chairman of the Board of Directors</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Bruce Booth, D.Phil.</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2"/>
              </w:rPr>
              <w:t>/s/ Ian T. Clark</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2"/>
              </w:rPr>
              <w:t>/s/ Gail Farfel, Ph.D.</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6"/>
              </w:rPr>
              <w:t>Gail Farfel</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3"/>
              </w:rPr>
              <w:t>/s/ Phillip B. Donenberg</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Phillip B. Donenberg</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0"/>
              </w:rPr>
              <w:t>/s/ Annalisa Jenkins</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0"/>
              </w:rPr>
              <w:t>/s/ Christopher Paige</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0"/>
              </w:rPr>
              <w:t>Christopher Paige, Ph.D.</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940" w:type="dxa"/>
            <w:vAlign w:val="bottom"/>
          </w:tcPr>
          <w:p>
            <w:pPr>
              <w:jc w:val="center"/>
              <w:spacing w:after="0"/>
              <w:rPr>
                <w:sz w:val="20"/>
                <w:szCs w:val="20"/>
                <w:color w:val="auto"/>
              </w:rPr>
            </w:pPr>
            <w:r>
              <w:rPr>
                <w:rFonts w:ascii="Arial" w:cs="Arial" w:eastAsia="Arial" w:hAnsi="Arial"/>
                <w:sz w:val="18"/>
                <w:szCs w:val="18"/>
                <w:color w:val="auto"/>
                <w:w w:val="92"/>
              </w:rPr>
              <w:t>/s/ Philip J. Vickers</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Philip J. Vickers, Ph.D.</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0"/>
        </w:trPr>
        <w:tc>
          <w:tcPr>
            <w:tcW w:w="3940" w:type="dxa"/>
            <w:vAlign w:val="bottom"/>
          </w:tcPr>
          <w:p>
            <w:pPr>
              <w:spacing w:after="0"/>
              <w:rPr>
                <w:sz w:val="24"/>
                <w:szCs w:val="24"/>
                <w:color w:val="auto"/>
              </w:rPr>
            </w:pPr>
          </w:p>
        </w:tc>
        <w:tc>
          <w:tcPr>
            <w:tcW w:w="4060" w:type="dxa"/>
            <w:vAlign w:val="bottom"/>
            <w:gridSpan w:val="2"/>
          </w:tcPr>
          <w:p>
            <w:pPr>
              <w:ind w:left="15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135" w:name="page136"/>
    <w:bookmarkEnd w:id="135"/>
    <w:p>
      <w:pPr>
        <w:jc w:val="right"/>
        <w:ind w:right="20"/>
        <w:spacing w:after="0"/>
        <w:rPr>
          <w:sz w:val="20"/>
          <w:szCs w:val="20"/>
          <w:color w:val="auto"/>
        </w:rPr>
      </w:pPr>
      <w:r>
        <w:rPr>
          <w:rFonts w:ascii="Arial" w:cs="Arial" w:eastAsia="Arial" w:hAnsi="Arial"/>
          <w:sz w:val="20"/>
          <w:szCs w:val="20"/>
          <w:b w:val="1"/>
          <w:bCs w:val="1"/>
          <w:color w:val="auto"/>
        </w:rPr>
        <w:t>Exhibit 10.22</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MPLOYMENT</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p>
    <w:p>
      <w:pPr>
        <w:spacing w:after="0" w:line="216" w:lineRule="exact"/>
        <w:rPr>
          <w:sz w:val="20"/>
          <w:szCs w:val="20"/>
          <w:color w:val="auto"/>
        </w:rPr>
      </w:pPr>
    </w:p>
    <w:p>
      <w:pPr>
        <w:ind w:left="1000" w:hanging="857"/>
        <w:spacing w:after="0"/>
        <w:tabs>
          <w:tab w:leader="none" w:pos="1000"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MPLOYER</w:t>
      </w:r>
    </w:p>
    <w:p>
      <w:pPr>
        <w:spacing w:after="0" w:line="208" w:lineRule="exact"/>
        <w:rPr>
          <w:sz w:val="20"/>
          <w:szCs w:val="20"/>
          <w:color w:val="auto"/>
        </w:rPr>
      </w:pPr>
    </w:p>
    <w:p>
      <w:pPr>
        <w:ind w:left="1000" w:right="160"/>
        <w:spacing w:after="0" w:line="260" w:lineRule="auto"/>
        <w:rPr>
          <w:sz w:val="20"/>
          <w:szCs w:val="20"/>
          <w:color w:val="auto"/>
        </w:rPr>
      </w:pPr>
      <w:r>
        <w:rPr>
          <w:rFonts w:ascii="Arial" w:cs="Arial" w:eastAsia="Arial" w:hAnsi="Arial"/>
          <w:sz w:val="20"/>
          <w:szCs w:val="20"/>
          <w:color w:val="auto"/>
        </w:rPr>
        <w:t>AVROBIO, Inc. whose principal place of business is at One Kendall Square, Building 300, Suite 201, Cambridge, MA 02139 USA (the “Company”).</w:t>
      </w:r>
    </w:p>
    <w:p>
      <w:pPr>
        <w:spacing w:after="0" w:line="157" w:lineRule="exact"/>
        <w:rPr>
          <w:sz w:val="20"/>
          <w:szCs w:val="20"/>
          <w:color w:val="auto"/>
        </w:rPr>
      </w:pPr>
    </w:p>
    <w:p>
      <w:pPr>
        <w:ind w:left="1000" w:hanging="857"/>
        <w:spacing w:after="0"/>
        <w:tabs>
          <w:tab w:leader="none" w:pos="1000"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MPLOYEE</w:t>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Essra Ridha (“you”).</w:t>
      </w:r>
    </w:p>
    <w:p>
      <w:pPr>
        <w:spacing w:after="0" w:line="196" w:lineRule="exact"/>
        <w:rPr>
          <w:sz w:val="20"/>
          <w:szCs w:val="20"/>
          <w:color w:val="auto"/>
        </w:rPr>
      </w:pPr>
    </w:p>
    <w:p>
      <w:pPr>
        <w:ind w:left="1000" w:hanging="857"/>
        <w:spacing w:after="0"/>
        <w:tabs>
          <w:tab w:leader="none" w:pos="1000"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TART DATE AND</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URATION</w:t>
      </w:r>
    </w:p>
    <w:p>
      <w:pPr>
        <w:spacing w:after="0" w:line="222" w:lineRule="exact"/>
        <w:rPr>
          <w:sz w:val="20"/>
          <w:szCs w:val="20"/>
          <w:color w:val="auto"/>
        </w:rPr>
      </w:pPr>
    </w:p>
    <w:p>
      <w:pPr>
        <w:jc w:val="both"/>
        <w:ind w:left="1000" w:right="140"/>
        <w:spacing w:after="0" w:line="246" w:lineRule="auto"/>
        <w:rPr>
          <w:sz w:val="20"/>
          <w:szCs w:val="20"/>
          <w:color w:val="auto"/>
        </w:rPr>
      </w:pPr>
      <w:r>
        <w:rPr>
          <w:rFonts w:ascii="Arial" w:cs="Arial" w:eastAsia="Arial" w:hAnsi="Arial"/>
          <w:sz w:val="20"/>
          <w:szCs w:val="20"/>
          <w:color w:val="auto"/>
        </w:rPr>
        <w:t>Your employment is expected to begin as soon as practical, on a date mutually agreed between you and the Company. Your actual commencement date (the “Start Date”) will be notified to you in writing by the Company once you have provided to the Company proof of your right to work in the UK. No employment with any previous employer counts as part of your period of continuous employment.</w:t>
      </w:r>
    </w:p>
    <w:p>
      <w:pPr>
        <w:spacing w:after="0" w:line="145" w:lineRule="exact"/>
        <w:rPr>
          <w:sz w:val="20"/>
          <w:szCs w:val="20"/>
          <w:color w:val="auto"/>
        </w:rPr>
      </w:pPr>
    </w:p>
    <w:p>
      <w:pPr>
        <w:ind w:left="1000" w:hanging="857"/>
        <w:spacing w:after="0"/>
        <w:tabs>
          <w:tab w:leader="none" w:pos="1000"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J</w:t>
      </w:r>
      <w:r>
        <w:rPr>
          <w:rFonts w:ascii="Arial" w:cs="Arial" w:eastAsia="Arial" w:hAnsi="Arial"/>
          <w:sz w:val="16"/>
          <w:szCs w:val="16"/>
          <w:b w:val="1"/>
          <w:bCs w:val="1"/>
          <w:color w:val="auto"/>
        </w:rPr>
        <w:t>OB</w:t>
      </w:r>
      <w:r>
        <w:rPr>
          <w:rFonts w:ascii="Arial" w:cs="Arial" w:eastAsia="Arial" w:hAnsi="Arial"/>
          <w:sz w:val="20"/>
          <w:szCs w:val="20"/>
          <w:b w:val="1"/>
          <w:bCs w:val="1"/>
          <w:color w:val="auto"/>
        </w:rPr>
        <w:t xml:space="preserve"> T</w:t>
      </w:r>
      <w:r>
        <w:rPr>
          <w:rFonts w:ascii="Arial" w:cs="Arial" w:eastAsia="Arial" w:hAnsi="Arial"/>
          <w:sz w:val="16"/>
          <w:szCs w:val="16"/>
          <w:b w:val="1"/>
          <w:bCs w:val="1"/>
          <w:color w:val="auto"/>
        </w:rPr>
        <w:t>ITLE AND</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UTIES</w:t>
      </w:r>
    </w:p>
    <w:p>
      <w:pPr>
        <w:spacing w:after="0" w:line="222" w:lineRule="exact"/>
        <w:rPr>
          <w:sz w:val="20"/>
          <w:szCs w:val="20"/>
          <w:color w:val="auto"/>
        </w:rPr>
      </w:pPr>
    </w:p>
    <w:p>
      <w:pPr>
        <w:jc w:val="both"/>
        <w:ind w:left="1000" w:right="140" w:hanging="849"/>
        <w:spacing w:after="0" w:line="246" w:lineRule="auto"/>
        <w:tabs>
          <w:tab w:leader="none" w:pos="9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You shall serve as the Chief Medical Officer of the Company, reporting to the Company’s President and Chief Executive Officer (“CEO”). In such role, you shall have supervision over and responsibility for all clinical and medical affairs of the Company and shall have such other powers and duties as may from time to time be prescribed by the Board of Directors of the Company (the “Board”), the CEO, or other authorized executive.</w:t>
      </w:r>
    </w:p>
    <w:p>
      <w:pPr>
        <w:spacing w:after="0" w:line="151"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You agree to comply with the Company’s rules, procedures and policies that are in force from time to time.</w:t>
      </w:r>
    </w:p>
    <w:p>
      <w:pPr>
        <w:spacing w:after="0" w:line="196" w:lineRule="exact"/>
        <w:rPr>
          <w:sz w:val="20"/>
          <w:szCs w:val="20"/>
          <w:color w:val="auto"/>
        </w:rPr>
      </w:pPr>
    </w:p>
    <w:p>
      <w:pPr>
        <w:ind w:left="1000" w:hanging="857"/>
        <w:spacing w:after="0"/>
        <w:tabs>
          <w:tab w:leader="none" w:pos="1000"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P</w:t>
      </w:r>
      <w:r>
        <w:rPr>
          <w:rFonts w:ascii="Arial" w:cs="Arial" w:eastAsia="Arial" w:hAnsi="Arial"/>
          <w:sz w:val="16"/>
          <w:szCs w:val="16"/>
          <w:b w:val="1"/>
          <w:bCs w:val="1"/>
          <w:color w:val="auto"/>
        </w:rPr>
        <w:t>LACE OF WORK</w:t>
      </w:r>
    </w:p>
    <w:p>
      <w:pPr>
        <w:spacing w:after="0" w:line="222" w:lineRule="exact"/>
        <w:rPr>
          <w:sz w:val="20"/>
          <w:szCs w:val="20"/>
          <w:color w:val="auto"/>
        </w:rPr>
      </w:pPr>
    </w:p>
    <w:p>
      <w:pPr>
        <w:jc w:val="both"/>
        <w:ind w:left="1000" w:right="120" w:hanging="849"/>
        <w:spacing w:after="0" w:line="250" w:lineRule="auto"/>
        <w:tabs>
          <w:tab w:leader="none" w:pos="9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Your primary place of work shall be your home address in the UK. However, to the extent feasible it is desired that you will spend at least 25% of the time performing your duties from the Company’s headquarters, currently located in Cambridge, Massachusetts.</w:t>
      </w:r>
    </w:p>
    <w:p>
      <w:pPr>
        <w:spacing w:after="0" w:line="145" w:lineRule="exact"/>
        <w:rPr>
          <w:sz w:val="20"/>
          <w:szCs w:val="20"/>
          <w:color w:val="auto"/>
        </w:rPr>
      </w:pPr>
    </w:p>
    <w:p>
      <w:pPr>
        <w:jc w:val="both"/>
        <w:ind w:left="1000" w:right="140" w:hanging="849"/>
        <w:spacing w:after="0" w:line="260" w:lineRule="auto"/>
        <w:tabs>
          <w:tab w:leader="none" w:pos="9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In addition to the foregoing, you will be required to travel within the United Kingdom and United States, as well as overseas as shall be necessary for the proper performance of your duties.</w:t>
      </w:r>
    </w:p>
    <w:p>
      <w:pPr>
        <w:spacing w:after="0" w:line="130" w:lineRule="exact"/>
        <w:rPr>
          <w:sz w:val="20"/>
          <w:szCs w:val="20"/>
          <w:color w:val="auto"/>
        </w:rPr>
      </w:pPr>
    </w:p>
    <w:p>
      <w:pPr>
        <w:ind w:left="1000" w:hanging="857"/>
        <w:spacing w:after="0"/>
        <w:tabs>
          <w:tab w:leader="none" w:pos="1000" w:val="left"/>
        </w:tabs>
        <w:numPr>
          <w:ilvl w:val="0"/>
          <w:numId w:val="72"/>
        </w:numPr>
        <w:rPr>
          <w:rFonts w:ascii="Arial" w:cs="Arial" w:eastAsia="Arial" w:hAnsi="Arial"/>
          <w:sz w:val="20"/>
          <w:szCs w:val="20"/>
          <w:color w:val="auto"/>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EMUNERATION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201"/>
              <w:spacing w:after="0"/>
              <w:rPr>
                <w:sz w:val="20"/>
                <w:szCs w:val="20"/>
                <w:color w:val="auto"/>
              </w:rPr>
            </w:pPr>
            <w:r>
              <w:rPr>
                <w:rFonts w:ascii="Arial" w:cs="Arial" w:eastAsia="Arial" w:hAnsi="Arial"/>
                <w:sz w:val="20"/>
                <w:szCs w:val="20"/>
                <w:color w:val="auto"/>
              </w:rPr>
              <w:t>6.1</w:t>
            </w:r>
          </w:p>
        </w:tc>
        <w:tc>
          <w:tcPr>
            <w:tcW w:w="10560" w:type="dxa"/>
            <w:vAlign w:val="bottom"/>
          </w:tcPr>
          <w:p>
            <w:pPr>
              <w:ind w:left="300"/>
              <w:spacing w:after="0"/>
              <w:rPr>
                <w:sz w:val="20"/>
                <w:szCs w:val="20"/>
                <w:color w:val="auto"/>
              </w:rPr>
            </w:pPr>
            <w:r>
              <w:rPr>
                <w:rFonts w:ascii="Arial" w:cs="Arial" w:eastAsia="Arial" w:hAnsi="Arial"/>
                <w:sz w:val="20"/>
                <w:szCs w:val="20"/>
                <w:color w:val="auto"/>
                <w:w w:val="99"/>
              </w:rPr>
              <w:t>Your basic salary (“Base Salary”) is £310,000 per annum. You will be paid monthly in arrears by bank transfer on the</w:t>
            </w:r>
          </w:p>
        </w:tc>
      </w:tr>
      <w:tr>
        <w:trPr>
          <w:trHeight w:val="230"/>
        </w:trPr>
        <w:tc>
          <w:tcPr>
            <w:tcW w:w="70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Arial" w:cs="Arial" w:eastAsia="Arial" w:hAnsi="Arial"/>
                <w:sz w:val="20"/>
                <w:szCs w:val="20"/>
                <w:color w:val="auto"/>
                <w:w w:val="94"/>
              </w:rPr>
              <w:t>Company’s normal payroll schedule, subject to deduction of applicable income tax and national insurance contributions (or</w:t>
            </w:r>
          </w:p>
        </w:tc>
      </w:tr>
      <w:tr>
        <w:trPr>
          <w:trHeight w:val="250"/>
        </w:trPr>
        <w:tc>
          <w:tcPr>
            <w:tcW w:w="700" w:type="dxa"/>
            <w:vAlign w:val="bottom"/>
          </w:tcPr>
          <w:p>
            <w:pPr>
              <w:spacing w:after="0"/>
              <w:rPr>
                <w:sz w:val="21"/>
                <w:szCs w:val="21"/>
                <w:color w:val="auto"/>
              </w:rPr>
            </w:pPr>
          </w:p>
        </w:tc>
        <w:tc>
          <w:tcPr>
            <w:tcW w:w="10560" w:type="dxa"/>
            <w:vAlign w:val="bottom"/>
          </w:tcPr>
          <w:p>
            <w:pPr>
              <w:ind w:left="300"/>
              <w:spacing w:after="0"/>
              <w:rPr>
                <w:sz w:val="20"/>
                <w:szCs w:val="20"/>
                <w:color w:val="auto"/>
              </w:rPr>
            </w:pPr>
            <w:r>
              <w:rPr>
                <w:rFonts w:ascii="Arial" w:cs="Arial" w:eastAsia="Arial" w:hAnsi="Arial"/>
                <w:sz w:val="20"/>
                <w:szCs w:val="20"/>
                <w:color w:val="auto"/>
              </w:rPr>
              <w:t>other applicable social security contributions).</w:t>
            </w:r>
          </w:p>
        </w:tc>
      </w:tr>
      <w:tr>
        <w:trPr>
          <w:trHeight w:val="405"/>
        </w:trPr>
        <w:tc>
          <w:tcPr>
            <w:tcW w:w="700" w:type="dxa"/>
            <w:vAlign w:val="bottom"/>
          </w:tcPr>
          <w:p>
            <w:pPr>
              <w:jc w:val="right"/>
              <w:ind w:right="201"/>
              <w:spacing w:after="0"/>
              <w:rPr>
                <w:sz w:val="20"/>
                <w:szCs w:val="20"/>
                <w:color w:val="auto"/>
              </w:rPr>
            </w:pPr>
            <w:r>
              <w:rPr>
                <w:rFonts w:ascii="Arial" w:cs="Arial" w:eastAsia="Arial" w:hAnsi="Arial"/>
                <w:sz w:val="20"/>
                <w:szCs w:val="20"/>
                <w:color w:val="auto"/>
              </w:rPr>
              <w:t>6.2</w:t>
            </w:r>
          </w:p>
        </w:tc>
        <w:tc>
          <w:tcPr>
            <w:tcW w:w="10560" w:type="dxa"/>
            <w:vAlign w:val="bottom"/>
          </w:tcPr>
          <w:p>
            <w:pPr>
              <w:ind w:left="300"/>
              <w:spacing w:after="0"/>
              <w:rPr>
                <w:sz w:val="20"/>
                <w:szCs w:val="20"/>
                <w:color w:val="auto"/>
              </w:rPr>
            </w:pPr>
            <w:r>
              <w:rPr>
                <w:rFonts w:ascii="Arial" w:cs="Arial" w:eastAsia="Arial" w:hAnsi="Arial"/>
                <w:sz w:val="20"/>
                <w:szCs w:val="20"/>
                <w:color w:val="auto"/>
              </w:rPr>
              <w:t>You will not be entitled to additional pay for any overtime worked</w:t>
            </w:r>
            <w:r>
              <w:rPr>
                <w:rFonts w:ascii="Arial" w:cs="Arial" w:eastAsia="Arial" w:hAnsi="Arial"/>
                <w:sz w:val="20"/>
                <w:szCs w:val="20"/>
                <w:b w:val="1"/>
                <w:bCs w:val="1"/>
                <w:color w:val="auto"/>
              </w:rPr>
              <w:t>.</w:t>
            </w:r>
          </w:p>
        </w:tc>
      </w:tr>
      <w:tr>
        <w:trPr>
          <w:trHeight w:val="425"/>
        </w:trPr>
        <w:tc>
          <w:tcPr>
            <w:tcW w:w="700" w:type="dxa"/>
            <w:vAlign w:val="bottom"/>
          </w:tcPr>
          <w:p>
            <w:pPr>
              <w:jc w:val="right"/>
              <w:ind w:right="201"/>
              <w:spacing w:after="0"/>
              <w:rPr>
                <w:sz w:val="20"/>
                <w:szCs w:val="20"/>
                <w:color w:val="auto"/>
              </w:rPr>
            </w:pPr>
            <w:r>
              <w:rPr>
                <w:rFonts w:ascii="Arial" w:cs="Arial" w:eastAsia="Arial" w:hAnsi="Arial"/>
                <w:sz w:val="20"/>
                <w:szCs w:val="20"/>
                <w:color w:val="auto"/>
              </w:rPr>
              <w:t>6.3</w:t>
            </w:r>
          </w:p>
        </w:tc>
        <w:tc>
          <w:tcPr>
            <w:tcW w:w="10560" w:type="dxa"/>
            <w:vAlign w:val="bottom"/>
          </w:tcPr>
          <w:p>
            <w:pPr>
              <w:ind w:left="300"/>
              <w:spacing w:after="0"/>
              <w:rPr>
                <w:sz w:val="20"/>
                <w:szCs w:val="20"/>
                <w:color w:val="auto"/>
              </w:rPr>
            </w:pPr>
            <w:r>
              <w:rPr>
                <w:rFonts w:ascii="Arial" w:cs="Arial" w:eastAsia="Arial" w:hAnsi="Arial"/>
                <w:sz w:val="20"/>
                <w:szCs w:val="20"/>
                <w:color w:val="auto"/>
                <w:w w:val="94"/>
              </w:rPr>
              <w:t>You will be paid a one-time signing bonus of £52,000 payable in one lump sum on the date of the first payroll after the Start</w:t>
            </w:r>
          </w:p>
        </w:tc>
      </w:tr>
      <w:tr>
        <w:trPr>
          <w:trHeight w:val="230"/>
        </w:trPr>
        <w:tc>
          <w:tcPr>
            <w:tcW w:w="70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Arial" w:cs="Arial" w:eastAsia="Arial" w:hAnsi="Arial"/>
                <w:sz w:val="20"/>
                <w:szCs w:val="20"/>
                <w:color w:val="auto"/>
                <w:w w:val="93"/>
              </w:rPr>
              <w:t>Date, subject to deduction of applicable income tax and national insurance contributions (the “Signing Bonus”). The Signing</w:t>
            </w:r>
          </w:p>
        </w:tc>
      </w:tr>
      <w:tr>
        <w:trPr>
          <w:trHeight w:val="229"/>
        </w:trPr>
        <w:tc>
          <w:tcPr>
            <w:tcW w:w="70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Arial" w:cs="Arial" w:eastAsia="Arial" w:hAnsi="Arial"/>
                <w:sz w:val="20"/>
                <w:szCs w:val="20"/>
                <w:color w:val="auto"/>
              </w:rPr>
              <w:t>Bonus will be subject to repayment in full if you voluntarily choose to resign from the Company within the first twelve</w:t>
            </w:r>
          </w:p>
        </w:tc>
      </w:tr>
      <w:tr>
        <w:trPr>
          <w:trHeight w:val="230"/>
        </w:trPr>
        <w:tc>
          <w:tcPr>
            <w:tcW w:w="70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Arial" w:cs="Arial" w:eastAsia="Arial" w:hAnsi="Arial"/>
                <w:sz w:val="20"/>
                <w:szCs w:val="20"/>
                <w:color w:val="auto"/>
                <w:w w:val="98"/>
              </w:rPr>
              <w:t>(12) months of the Start Date. For clarity, “repayment in full” shall mean the gross amount of the Signing Bonus, net of</w:t>
            </w:r>
          </w:p>
        </w:tc>
      </w:tr>
      <w:tr>
        <w:trPr>
          <w:trHeight w:val="250"/>
        </w:trPr>
        <w:tc>
          <w:tcPr>
            <w:tcW w:w="700" w:type="dxa"/>
            <w:vAlign w:val="bottom"/>
          </w:tcPr>
          <w:p>
            <w:pPr>
              <w:spacing w:after="0"/>
              <w:rPr>
                <w:sz w:val="21"/>
                <w:szCs w:val="21"/>
                <w:color w:val="auto"/>
              </w:rPr>
            </w:pPr>
          </w:p>
        </w:tc>
        <w:tc>
          <w:tcPr>
            <w:tcW w:w="10560" w:type="dxa"/>
            <w:vAlign w:val="bottom"/>
          </w:tcPr>
          <w:p>
            <w:pPr>
              <w:ind w:left="300"/>
              <w:spacing w:after="0"/>
              <w:rPr>
                <w:sz w:val="20"/>
                <w:szCs w:val="20"/>
                <w:color w:val="auto"/>
              </w:rPr>
            </w:pPr>
            <w:r>
              <w:rPr>
                <w:rFonts w:ascii="Arial" w:cs="Arial" w:eastAsia="Arial" w:hAnsi="Arial"/>
                <w:sz w:val="20"/>
                <w:szCs w:val="20"/>
                <w:color w:val="auto"/>
              </w:rPr>
              <w:t>national insurance contributions.</w:t>
            </w:r>
          </w:p>
        </w:tc>
      </w:tr>
      <w:tr>
        <w:trPr>
          <w:trHeight w:val="341"/>
        </w:trPr>
        <w:tc>
          <w:tcPr>
            <w:tcW w:w="700" w:type="dxa"/>
            <w:vAlign w:val="bottom"/>
            <w:tcBorders>
              <w:bottom w:val="single" w:sz="8" w:color="9A9A9A"/>
            </w:tcBorders>
          </w:tcPr>
          <w:p>
            <w:pPr>
              <w:spacing w:after="0"/>
              <w:rPr>
                <w:sz w:val="24"/>
                <w:szCs w:val="24"/>
                <w:color w:val="auto"/>
              </w:rPr>
            </w:pPr>
          </w:p>
        </w:tc>
        <w:tc>
          <w:tcPr>
            <w:tcW w:w="10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6" w:name="page137"/>
    <w:bookmarkEnd w:id="136"/>
    <w:p>
      <w:pPr>
        <w:jc w:val="both"/>
        <w:ind w:right="20" w:hanging="849"/>
        <w:spacing w:after="0" w:line="255" w:lineRule="auto"/>
        <w:rPr>
          <w:sz w:val="20"/>
          <w:szCs w:val="20"/>
          <w:color w:val="auto"/>
        </w:rPr>
      </w:pPr>
      <w:r>
        <w:rPr>
          <w:rFonts w:ascii="Arial" w:cs="Arial" w:eastAsia="Arial" w:hAnsi="Arial"/>
          <w:sz w:val="20"/>
          <w:szCs w:val="20"/>
          <w:color w:val="auto"/>
        </w:rPr>
        <w:t>6.4</w:t>
      </w:r>
      <w:r>
        <w:rPr>
          <w:sz w:val="20"/>
          <w:szCs w:val="20"/>
          <w:color w:val="auto"/>
        </w:rPr>
        <w:t xml:space="preserve"> </w:t>
      </w:r>
      <w:r>
        <w:rPr>
          <w:rFonts w:ascii="Arial" w:cs="Arial" w:eastAsia="Arial" w:hAnsi="Arial"/>
          <w:sz w:val="19"/>
          <w:szCs w:val="19"/>
          <w:color w:val="auto"/>
        </w:rPr>
        <w:t>You may be eligible to participate in such discretionary bonus plans as the Company may determine. Eligibility and/or participation will be on terms which the Company sets and the Company may at any time terminate, withdraw or vary the terms, targets, benefits, thresholds or other aspects of any such plan. The Company will target your bonus at 40% of your Base Salary with such percentage determined by the Board or a committee thereof (as in effect at any time, the “Target Annual Incentive Compensation”). The actual bonus percentage is discretionary and will be subject to the Company’s assessment of your performance, as well as business conditions at the Company. The annual performance bonus, if any, shall be paid between the 1</w:t>
      </w:r>
      <w:r>
        <w:rPr>
          <w:rFonts w:ascii="Arial" w:cs="Arial" w:eastAsia="Arial" w:hAnsi="Arial"/>
          <w:sz w:val="15"/>
          <w:szCs w:val="15"/>
          <w:color w:val="auto"/>
        </w:rPr>
        <w:t>st</w:t>
      </w:r>
      <w:r>
        <w:rPr>
          <w:rFonts w:ascii="Arial" w:cs="Arial" w:eastAsia="Arial" w:hAnsi="Arial"/>
          <w:sz w:val="19"/>
          <w:szCs w:val="19"/>
          <w:color w:val="auto"/>
        </w:rPr>
        <w:t xml:space="preserve"> of February and the 15</w:t>
      </w:r>
      <w:r>
        <w:rPr>
          <w:rFonts w:ascii="Arial" w:cs="Arial" w:eastAsia="Arial" w:hAnsi="Arial"/>
          <w:sz w:val="15"/>
          <w:szCs w:val="15"/>
          <w:color w:val="auto"/>
        </w:rPr>
        <w:t>th</w:t>
      </w:r>
      <w:r>
        <w:rPr>
          <w:rFonts w:ascii="Arial" w:cs="Arial" w:eastAsia="Arial" w:hAnsi="Arial"/>
          <w:sz w:val="19"/>
          <w:szCs w:val="19"/>
          <w:color w:val="auto"/>
        </w:rPr>
        <w:t xml:space="preserve"> of March of the calendar year following the calendar year for which such bonus was earned. You will be eligible for a discretionary target bonus beginning in the 2022 performance period. No discretionary target bonus shall be payable in respect of the 2021 performance period. To receive any bonus, you must be employed and not subject to notice of termination of employment (whether given by you or the Company) on the date of the bonus pay-out. The Company expects to review your job performance on an annual basis and will discuss with you the criteria which the Company will use to assess your performance for bonus purposes.</w:t>
      </w:r>
    </w:p>
    <w:p>
      <w:pPr>
        <w:spacing w:after="0" w:line="144" w:lineRule="exact"/>
        <w:rPr>
          <w:sz w:val="20"/>
          <w:szCs w:val="20"/>
          <w:color w:val="auto"/>
        </w:rPr>
      </w:pPr>
    </w:p>
    <w:p>
      <w:pPr>
        <w:jc w:val="both"/>
        <w:ind w:right="20" w:hanging="849"/>
        <w:spacing w:after="0" w:line="244" w:lineRule="auto"/>
        <w:rPr>
          <w:sz w:val="20"/>
          <w:szCs w:val="20"/>
          <w:color w:val="auto"/>
        </w:rPr>
      </w:pPr>
      <w:r>
        <w:rPr>
          <w:rFonts w:ascii="Arial" w:cs="Arial" w:eastAsia="Arial" w:hAnsi="Arial"/>
          <w:sz w:val="20"/>
          <w:szCs w:val="20"/>
          <w:color w:val="auto"/>
        </w:rPr>
        <w:t>6.5</w:t>
      </w:r>
      <w:r>
        <w:rPr>
          <w:sz w:val="20"/>
          <w:szCs w:val="20"/>
          <w:color w:val="auto"/>
        </w:rPr>
        <w:t xml:space="preserve"> </w:t>
      </w:r>
      <w:r>
        <w:rPr>
          <w:rFonts w:ascii="Arial" w:cs="Arial" w:eastAsia="Arial" w:hAnsi="Arial"/>
          <w:sz w:val="20"/>
          <w:szCs w:val="20"/>
          <w:color w:val="auto"/>
        </w:rPr>
        <w:t>In addition to the foregoing, you will be eligible for a one-time discretionary bonus (“Success Bonus”) based on the successful completion within the first 6 months of your employment of key objectives defined by the CEO. The Success Bonus is targeted at £60,000 and would be payable, if at all, in May 2022 at the CEO’s discretion based on actual performance. To receive any Success Bonus, you must be employed and not subject to notice of termination of employment (whether given by you or the Company) on the date of the bonus pay-out.</w:t>
      </w:r>
    </w:p>
    <w:p>
      <w:pPr>
        <w:spacing w:after="0" w:line="154" w:lineRule="exact"/>
        <w:rPr>
          <w:sz w:val="20"/>
          <w:szCs w:val="20"/>
          <w:color w:val="auto"/>
        </w:rPr>
      </w:pPr>
    </w:p>
    <w:p>
      <w:pPr>
        <w:jc w:val="both"/>
        <w:ind w:right="20" w:hanging="849"/>
        <w:spacing w:after="0" w:line="260" w:lineRule="auto"/>
        <w:rPr>
          <w:sz w:val="20"/>
          <w:szCs w:val="20"/>
          <w:color w:val="auto"/>
        </w:rPr>
      </w:pPr>
      <w:r>
        <w:rPr>
          <w:rFonts w:ascii="Arial" w:cs="Arial" w:eastAsia="Arial" w:hAnsi="Arial"/>
          <w:sz w:val="20"/>
          <w:szCs w:val="20"/>
          <w:color w:val="auto"/>
        </w:rPr>
        <w:t>6.6</w:t>
      </w:r>
      <w:r>
        <w:rPr>
          <w:sz w:val="20"/>
          <w:szCs w:val="20"/>
          <w:color w:val="auto"/>
        </w:rPr>
        <w:t xml:space="preserve"> </w:t>
      </w:r>
      <w:r>
        <w:rPr>
          <w:rFonts w:ascii="Arial" w:cs="Arial" w:eastAsia="Arial" w:hAnsi="Arial"/>
          <w:sz w:val="20"/>
          <w:szCs w:val="20"/>
          <w:color w:val="auto"/>
        </w:rPr>
        <w:t>Your salary will be reviewed from time to time. A review does not imply any entitlement to an increase, although your salary may be increased as a result of such review with effect from any data specified by the Company.</w:t>
      </w:r>
    </w:p>
    <w:p>
      <w:pPr>
        <w:spacing w:after="0" w:line="136" w:lineRule="exact"/>
        <w:rPr>
          <w:sz w:val="20"/>
          <w:szCs w:val="20"/>
          <w:color w:val="auto"/>
        </w:rPr>
      </w:pPr>
    </w:p>
    <w:p>
      <w:pPr>
        <w:jc w:val="both"/>
        <w:ind w:hanging="849"/>
        <w:spacing w:after="0" w:line="271" w:lineRule="auto"/>
        <w:rPr>
          <w:sz w:val="20"/>
          <w:szCs w:val="20"/>
          <w:color w:val="auto"/>
        </w:rPr>
      </w:pPr>
      <w:r>
        <w:rPr>
          <w:rFonts w:ascii="Arial" w:cs="Arial" w:eastAsia="Arial" w:hAnsi="Arial"/>
          <w:sz w:val="20"/>
          <w:szCs w:val="20"/>
          <w:color w:val="auto"/>
        </w:rPr>
        <w:t>6.7</w:t>
      </w:r>
      <w:r>
        <w:rPr>
          <w:sz w:val="20"/>
          <w:szCs w:val="20"/>
          <w:color w:val="auto"/>
        </w:rPr>
        <w:t xml:space="preserve"> </w:t>
      </w:r>
      <w:r>
        <w:rPr>
          <w:rFonts w:ascii="Arial" w:cs="Arial" w:eastAsia="Arial" w:hAnsi="Arial"/>
          <w:sz w:val="18"/>
          <w:szCs w:val="18"/>
          <w:color w:val="auto"/>
        </w:rPr>
        <w:t>You will be eligible to participate in the Company’s equity program, subject to approval by the Board or compensation committee. As material inducement entering into this Agreement and becoming an employee of the Company, and subject to approval by the board of directors or compensation committee, the Company will grant you an option to purchase 120,000 shares of the Company’s common stock (“New Hire Award”). To the extent allowable by applicable law, the New Hire Award shall vest over four years, with twenty-five percent vesting on the one-year anniversary of the Start Date and the remaining shares vesting in thirty-six equal monthly instalments following the one-year anniversary of the Start Date, subject to your ongoing employment by the Company and the terms and conditions of the relevant award agreement. To the extent allowable by applicable law, the New Hire Grant shall be granted in the form of a non-qualified stock option as an inducement grant consistent with the requirements of NASDAQ Stock Market Rule 5635(c)(4) instead of pursuant to the Company’s existing equity plan. The New Hire Award will be governed by the terms and conditions of an award agreement.</w:t>
      </w:r>
    </w:p>
    <w:p>
      <w:pPr>
        <w:spacing w:after="0" w:line="133" w:lineRule="exact"/>
        <w:rPr>
          <w:sz w:val="20"/>
          <w:szCs w:val="20"/>
          <w:color w:val="auto"/>
        </w:rPr>
      </w:pPr>
    </w:p>
    <w:p>
      <w:pPr>
        <w:jc w:val="both"/>
        <w:ind w:right="20" w:hanging="849"/>
        <w:spacing w:after="0" w:line="250" w:lineRule="auto"/>
        <w:rPr>
          <w:sz w:val="20"/>
          <w:szCs w:val="20"/>
          <w:color w:val="auto"/>
        </w:rPr>
      </w:pPr>
      <w:r>
        <w:rPr>
          <w:rFonts w:ascii="Arial" w:cs="Arial" w:eastAsia="Arial" w:hAnsi="Arial"/>
          <w:sz w:val="20"/>
          <w:szCs w:val="20"/>
          <w:color w:val="auto"/>
        </w:rPr>
        <w:t>6.8</w:t>
      </w:r>
      <w:r>
        <w:rPr>
          <w:sz w:val="20"/>
          <w:szCs w:val="20"/>
          <w:color w:val="auto"/>
        </w:rPr>
        <w:t xml:space="preserve"> </w:t>
      </w:r>
      <w:r>
        <w:rPr>
          <w:rFonts w:ascii="Arial" w:cs="Arial" w:eastAsia="Arial" w:hAnsi="Arial"/>
          <w:sz w:val="20"/>
          <w:szCs w:val="20"/>
          <w:color w:val="auto"/>
        </w:rPr>
        <w:t>On termination of your employment however arising you shall not be entitled to any compensation for the loss of any rights or benefits under any stock option, bonus, long-term incentive plan or other profit-sharing scheme operated by the Company or any Group Company (as defined in Schedule 1) in which you may participate.</w:t>
      </w:r>
    </w:p>
    <w:p>
      <w:pPr>
        <w:spacing w:after="0" w:line="145" w:lineRule="exact"/>
        <w:rPr>
          <w:sz w:val="20"/>
          <w:szCs w:val="20"/>
          <w:color w:val="auto"/>
        </w:rPr>
      </w:pPr>
    </w:p>
    <w:p>
      <w:pPr>
        <w:jc w:val="both"/>
        <w:ind w:hanging="849"/>
        <w:spacing w:after="0" w:line="263" w:lineRule="auto"/>
        <w:rPr>
          <w:sz w:val="20"/>
          <w:szCs w:val="20"/>
          <w:color w:val="auto"/>
        </w:rPr>
      </w:pPr>
      <w:r>
        <w:rPr>
          <w:rFonts w:ascii="Arial" w:cs="Arial" w:eastAsia="Arial" w:hAnsi="Arial"/>
          <w:sz w:val="20"/>
          <w:szCs w:val="20"/>
          <w:color w:val="auto"/>
        </w:rPr>
        <w:t>6.9</w:t>
      </w:r>
      <w:r>
        <w:rPr>
          <w:sz w:val="20"/>
          <w:szCs w:val="20"/>
          <w:color w:val="auto"/>
        </w:rPr>
        <w:t xml:space="preserve"> </w:t>
      </w:r>
      <w:r>
        <w:rPr>
          <w:rFonts w:ascii="Arial" w:cs="Arial" w:eastAsia="Arial" w:hAnsi="Arial"/>
          <w:sz w:val="19"/>
          <w:szCs w:val="19"/>
          <w:color w:val="auto"/>
        </w:rPr>
        <w:t>For the purposes of the Employment Rights Act 1996 or otherwise, you consent to the deduction of any sums due from you to the Company (including without limitation any overpayments, loans or advances made to you by the Company, any excess holiday taken by you and/or the cost of repairing any damage or loss to the Company’s property caused by you) at any time from your salary or any other payment due from the Company to you. You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187325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40"/>
          </w:cols>
          <w:pgMar w:left="1320" w:top="420" w:right="439" w:bottom="1440" w:gutter="0" w:footer="0" w:header="0"/>
        </w:sectPr>
      </w:pPr>
    </w:p>
    <w:bookmarkStart w:id="137" w:name="page138"/>
    <w:bookmarkEnd w:id="137"/>
    <w:p>
      <w:pPr>
        <w:ind w:left="857" w:right="20"/>
        <w:spacing w:after="0" w:line="260" w:lineRule="auto"/>
        <w:rPr>
          <w:sz w:val="20"/>
          <w:szCs w:val="20"/>
          <w:color w:val="auto"/>
        </w:rPr>
      </w:pPr>
      <w:r>
        <w:rPr>
          <w:rFonts w:ascii="Arial" w:cs="Arial" w:eastAsia="Arial" w:hAnsi="Arial"/>
          <w:sz w:val="20"/>
          <w:szCs w:val="20"/>
          <w:color w:val="auto"/>
        </w:rPr>
        <w:t>agree to make payment via wire transfer to the Company of any sums due from you to the Company within 7 calendar days upon demand by the Company at any time.</w:t>
      </w:r>
    </w:p>
    <w:p>
      <w:pPr>
        <w:spacing w:after="0" w:line="157" w:lineRule="exact"/>
        <w:rPr>
          <w:sz w:val="20"/>
          <w:szCs w:val="20"/>
          <w:color w:val="auto"/>
        </w:rPr>
      </w:pPr>
    </w:p>
    <w:p>
      <w:pPr>
        <w:ind w:left="857" w:hanging="857"/>
        <w:spacing w:after="0"/>
        <w:tabs>
          <w:tab w:leader="none" w:pos="857" w:val="left"/>
        </w:tabs>
        <w:numPr>
          <w:ilvl w:val="0"/>
          <w:numId w:val="73"/>
        </w:numPr>
        <w:rPr>
          <w:rFonts w:ascii="Arial" w:cs="Arial" w:eastAsia="Arial" w:hAnsi="Arial"/>
          <w:sz w:val="20"/>
          <w:szCs w:val="20"/>
          <w:color w:val="auto"/>
        </w:rPr>
      </w:pPr>
      <w:r>
        <w:rPr>
          <w:rFonts w:ascii="Arial" w:cs="Arial" w:eastAsia="Arial" w:hAnsi="Arial"/>
          <w:sz w:val="20"/>
          <w:szCs w:val="20"/>
          <w:b w:val="1"/>
          <w:bCs w:val="1"/>
          <w:color w:val="auto"/>
        </w:rPr>
        <w:t>O</w:t>
      </w:r>
      <w:r>
        <w:rPr>
          <w:rFonts w:ascii="Arial" w:cs="Arial" w:eastAsia="Arial" w:hAnsi="Arial"/>
          <w:sz w:val="16"/>
          <w:szCs w:val="16"/>
          <w:b w:val="1"/>
          <w:bCs w:val="1"/>
          <w:color w:val="auto"/>
        </w:rPr>
        <w:t>THER BENEFITS</w:t>
      </w:r>
    </w:p>
    <w:p>
      <w:pPr>
        <w:spacing w:after="0" w:line="222" w:lineRule="exact"/>
        <w:rPr>
          <w:sz w:val="20"/>
          <w:szCs w:val="20"/>
          <w:color w:val="auto"/>
        </w:rPr>
      </w:pPr>
    </w:p>
    <w:p>
      <w:pPr>
        <w:jc w:val="both"/>
        <w:ind w:left="857" w:hanging="849"/>
        <w:spacing w:after="0" w:line="260" w:lineRule="auto"/>
        <w:tabs>
          <w:tab w:leader="none" w:pos="837"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The Company will comply with the employer pension duties in respect of your employment in accordance with Part 1 of the Pensions Act 2008.</w:t>
      </w:r>
    </w:p>
    <w:p>
      <w:pPr>
        <w:spacing w:after="0" w:line="163" w:lineRule="exact"/>
        <w:rPr>
          <w:sz w:val="20"/>
          <w:szCs w:val="20"/>
          <w:color w:val="auto"/>
        </w:rPr>
      </w:pPr>
    </w:p>
    <w:p>
      <w:pPr>
        <w:jc w:val="both"/>
        <w:ind w:left="857" w:hanging="849"/>
        <w:spacing w:after="0" w:line="246" w:lineRule="auto"/>
        <w:tabs>
          <w:tab w:leader="none" w:pos="837"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In lieu of providing you with medical, dental, vision and leisure travel insurance benefits, the Company will pay you an allowance in the amount of £240 per month (the “Benefits Allowance”). The Benefits Allowance will be paid monthly in arrears by bank transfer on the Company’s normal payroll schedule, subject to deduction of applicable income tax and national insurance contributions (or other applicable social security contributions).</w:t>
      </w:r>
    </w:p>
    <w:p>
      <w:pPr>
        <w:spacing w:after="0" w:line="164" w:lineRule="exact"/>
        <w:rPr>
          <w:sz w:val="20"/>
          <w:szCs w:val="20"/>
          <w:color w:val="auto"/>
        </w:rPr>
      </w:pPr>
    </w:p>
    <w:p>
      <w:pPr>
        <w:jc w:val="both"/>
        <w:ind w:left="857" w:hanging="849"/>
        <w:spacing w:after="0" w:line="257" w:lineRule="auto"/>
        <w:tabs>
          <w:tab w:leader="none" w:pos="837"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Your participation in any insurance scheme as part of the benefits programme is subject to its terms and conditions from time to time in force and is without prejudice to the Company’s right at any time and in its absolute discretion to withdraw the benefits, change the provider of or change the terms on which the benefits are offered. It is also conditional upon you satisfying any applicable requirements of the insurers of any such scheme and is provided on the basis that the Company will not be liable to pay any sums to or in respect of you and/or your dependants unless the Company has received payment in full from the insurer. The Company shall not be required to take any steps to obtain the benefit of any such scheme should the insurer either reject any claim or discontinue the payment of benefits at any time.</w:t>
      </w:r>
    </w:p>
    <w:p>
      <w:pPr>
        <w:spacing w:after="0" w:line="144" w:lineRule="exact"/>
        <w:rPr>
          <w:sz w:val="20"/>
          <w:szCs w:val="20"/>
          <w:color w:val="auto"/>
        </w:rPr>
      </w:pPr>
    </w:p>
    <w:p>
      <w:pPr>
        <w:jc w:val="both"/>
        <w:ind w:left="857" w:right="20" w:hanging="849"/>
        <w:spacing w:after="0" w:line="246" w:lineRule="auto"/>
        <w:tabs>
          <w:tab w:leader="none" w:pos="837"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color w:val="auto"/>
        </w:rPr>
        <w:t>If you relocate to the United States, then subject to your execution and delivery of a relocation payment agreement in a form acceptable to the Company, you will be eligible for relocation benefits covering relocation expenses from the UK to Boston, Massachusetts, United States area, subject to and in accordance with the Company’s executive relocation policy in effect at the time of your relocation.</w:t>
      </w:r>
    </w:p>
    <w:p>
      <w:pPr>
        <w:spacing w:after="0" w:line="151" w:lineRule="exact"/>
        <w:rPr>
          <w:sz w:val="20"/>
          <w:szCs w:val="20"/>
          <w:color w:val="auto"/>
        </w:rPr>
      </w:pPr>
    </w:p>
    <w:p>
      <w:pPr>
        <w:jc w:val="both"/>
        <w:ind w:left="857" w:hanging="849"/>
        <w:spacing w:after="0" w:line="250" w:lineRule="auto"/>
        <w:tabs>
          <w:tab w:leader="none" w:pos="837"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20"/>
          <w:szCs w:val="20"/>
          <w:color w:val="auto"/>
        </w:rPr>
        <w:t>Nothing in this clause gives rise to any express or implied limitations on the ability of the Company to terminate this Agreement at any time or gives you any rights to continuation of existing benefits and/or any rights to prospective benefits following termination of your employment.</w:t>
      </w:r>
    </w:p>
    <w:p>
      <w:pPr>
        <w:spacing w:after="0" w:line="139" w:lineRule="exact"/>
        <w:rPr>
          <w:sz w:val="20"/>
          <w:szCs w:val="20"/>
          <w:color w:val="auto"/>
        </w:rPr>
      </w:pPr>
    </w:p>
    <w:p>
      <w:pPr>
        <w:ind w:left="857" w:hanging="857"/>
        <w:spacing w:after="0"/>
        <w:tabs>
          <w:tab w:leader="none" w:pos="857"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XPENSES</w:t>
      </w:r>
    </w:p>
    <w:p>
      <w:pPr>
        <w:spacing w:after="0" w:line="208" w:lineRule="exact"/>
        <w:rPr>
          <w:sz w:val="20"/>
          <w:szCs w:val="20"/>
          <w:color w:val="auto"/>
        </w:rPr>
      </w:pPr>
    </w:p>
    <w:p>
      <w:pPr>
        <w:ind w:left="857"/>
        <w:spacing w:after="0"/>
        <w:rPr>
          <w:sz w:val="20"/>
          <w:szCs w:val="20"/>
          <w:color w:val="auto"/>
        </w:rPr>
      </w:pPr>
      <w:r>
        <w:rPr>
          <w:rFonts w:ascii="Arial" w:cs="Arial" w:eastAsia="Arial" w:hAnsi="Arial"/>
          <w:sz w:val="18"/>
          <w:szCs w:val="18"/>
          <w:color w:val="auto"/>
        </w:rPr>
        <w:t>The Company shall reimburse you for all reasonable expenses properly incurred by you in the performance of your duties.</w:t>
      </w:r>
    </w:p>
    <w:p>
      <w:pPr>
        <w:spacing w:after="0" w:line="39" w:lineRule="exact"/>
        <w:rPr>
          <w:sz w:val="20"/>
          <w:szCs w:val="20"/>
          <w:color w:val="auto"/>
        </w:rPr>
      </w:pPr>
    </w:p>
    <w:p>
      <w:pPr>
        <w:ind w:left="857"/>
        <w:spacing w:after="0"/>
        <w:rPr>
          <w:sz w:val="20"/>
          <w:szCs w:val="20"/>
          <w:color w:val="auto"/>
        </w:rPr>
      </w:pPr>
      <w:r>
        <w:rPr>
          <w:rFonts w:ascii="Arial" w:cs="Arial" w:eastAsia="Arial" w:hAnsi="Arial"/>
          <w:sz w:val="20"/>
          <w:szCs w:val="20"/>
          <w:color w:val="auto"/>
        </w:rPr>
        <w:t>Reimbursement will be in accordance with any Company policy on expenses which is in force at the time.</w:t>
      </w:r>
    </w:p>
    <w:p>
      <w:pPr>
        <w:spacing w:after="0" w:line="167" w:lineRule="exact"/>
        <w:rPr>
          <w:sz w:val="20"/>
          <w:szCs w:val="20"/>
          <w:color w:val="auto"/>
        </w:rPr>
      </w:pPr>
    </w:p>
    <w:p>
      <w:pPr>
        <w:ind w:left="857" w:hanging="857"/>
        <w:spacing w:after="0"/>
        <w:tabs>
          <w:tab w:leader="none" w:pos="857" w:val="left"/>
        </w:tabs>
        <w:numPr>
          <w:ilvl w:val="0"/>
          <w:numId w:val="75"/>
        </w:numPr>
        <w:rPr>
          <w:rFonts w:ascii="Arial" w:cs="Arial" w:eastAsia="Arial" w:hAnsi="Arial"/>
          <w:sz w:val="20"/>
          <w:szCs w:val="20"/>
          <w:color w:val="auto"/>
        </w:rPr>
      </w:pPr>
      <w:r>
        <w:rPr>
          <w:rFonts w:ascii="Arial" w:cs="Arial" w:eastAsia="Arial" w:hAnsi="Arial"/>
          <w:sz w:val="20"/>
          <w:szCs w:val="20"/>
          <w:b w:val="1"/>
          <w:bCs w:val="1"/>
          <w:color w:val="auto"/>
        </w:rPr>
        <w:t>H</w:t>
      </w:r>
      <w:r>
        <w:rPr>
          <w:rFonts w:ascii="Arial" w:cs="Arial" w:eastAsia="Arial" w:hAnsi="Arial"/>
          <w:sz w:val="16"/>
          <w:szCs w:val="16"/>
          <w:b w:val="1"/>
          <w:bCs w:val="1"/>
          <w:color w:val="auto"/>
        </w:rPr>
        <w:t>OURS OF WORK</w:t>
      </w:r>
    </w:p>
    <w:p>
      <w:pPr>
        <w:spacing w:after="0" w:line="208" w:lineRule="exact"/>
        <w:rPr>
          <w:sz w:val="20"/>
          <w:szCs w:val="20"/>
          <w:color w:val="auto"/>
        </w:rPr>
      </w:pPr>
    </w:p>
    <w:p>
      <w:pPr>
        <w:jc w:val="both"/>
        <w:ind w:left="857" w:right="20" w:hanging="849"/>
        <w:spacing w:after="0" w:line="246" w:lineRule="auto"/>
        <w:tabs>
          <w:tab w:leader="none" w:pos="837"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The Company is based in Cambridge, Massachusetts and its working hours are generally from 8am to 5pm Eastern time, Monday to Friday. You agree to generally be available during these times, and you may be required to work different or additional hours without additional remuneration if that is reasonably necessary (in the Company's view) for the proper performance of your duties.</w:t>
      </w:r>
    </w:p>
    <w:p>
      <w:pPr>
        <w:spacing w:after="0" w:line="164" w:lineRule="exact"/>
        <w:rPr>
          <w:sz w:val="20"/>
          <w:szCs w:val="20"/>
          <w:color w:val="auto"/>
        </w:rPr>
      </w:pPr>
    </w:p>
    <w:p>
      <w:pPr>
        <w:jc w:val="both"/>
        <w:ind w:left="857" w:hanging="849"/>
        <w:spacing w:after="0" w:line="316" w:lineRule="auto"/>
        <w:tabs>
          <w:tab w:leader="none" w:pos="837"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color w:val="auto"/>
        </w:rPr>
        <w:t>You agree to work hours which exceed the maximum average weekly working time limit of 48 hours imposed by the Working Time Regulations 1998. You may withdraw your agreement at any time on giving the Company 3 months’ prior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149225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97"/>
          </w:cols>
          <w:pgMar w:left="463" w:top="420" w:right="439" w:bottom="1440" w:gutter="0" w:footer="0" w:header="0"/>
        </w:sectPr>
      </w:pPr>
    </w:p>
    <w:bookmarkStart w:id="138" w:name="page139"/>
    <w:bookmarkEnd w:id="138"/>
    <w:p>
      <w:pPr>
        <w:ind w:left="857" w:hanging="857"/>
        <w:spacing w:after="0"/>
        <w:tabs>
          <w:tab w:leader="none" w:pos="857"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H</w:t>
      </w:r>
      <w:r>
        <w:rPr>
          <w:rFonts w:ascii="Arial" w:cs="Arial" w:eastAsia="Arial" w:hAnsi="Arial"/>
          <w:sz w:val="16"/>
          <w:szCs w:val="16"/>
          <w:b w:val="1"/>
          <w:bCs w:val="1"/>
          <w:color w:val="auto"/>
        </w:rPr>
        <w:t>OLIDAYS</w:t>
      </w:r>
    </w:p>
    <w:p>
      <w:pPr>
        <w:spacing w:after="0" w:line="222" w:lineRule="exact"/>
        <w:rPr>
          <w:sz w:val="20"/>
          <w:szCs w:val="20"/>
          <w:color w:val="auto"/>
        </w:rPr>
      </w:pPr>
    </w:p>
    <w:p>
      <w:pPr>
        <w:jc w:val="both"/>
        <w:ind w:left="857" w:hanging="849"/>
        <w:spacing w:after="0" w:line="246" w:lineRule="auto"/>
        <w:tabs>
          <w:tab w:leader="none" w:pos="837"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color w:val="auto"/>
        </w:rPr>
        <w:t>In addition to normal English Bank and Public holidays, you are entitled to 25 working days’ paid holiday during each holiday year. The Company’s holiday year runs from January 1 to December 31. Holidays must be taken at times convenient to the Company and you must give reasonable notice of proposed holiday dates which must be agreed in advance with your supervisor.</w:t>
      </w:r>
    </w:p>
    <w:p>
      <w:pPr>
        <w:spacing w:after="0" w:line="151" w:lineRule="exact"/>
        <w:rPr>
          <w:sz w:val="20"/>
          <w:szCs w:val="20"/>
          <w:color w:val="auto"/>
        </w:rPr>
      </w:pPr>
    </w:p>
    <w:p>
      <w:pPr>
        <w:jc w:val="both"/>
        <w:ind w:left="857" w:hanging="849"/>
        <w:spacing w:after="0" w:line="246" w:lineRule="auto"/>
        <w:tabs>
          <w:tab w:leader="none" w:pos="837"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color w:val="auto"/>
        </w:rPr>
        <w:t>You cannot carry more than 10 days of holiday forward from one holiday year to the next unless you have been prevented from taking holiday in the year in which it accrues because of illness. No payment will be made to you as a result of the foregoing limitation. If you have been prevented from taking holiday because of illness, a maximum of 20 days’ holiday can be carried forward to the next holiday year.</w:t>
      </w:r>
    </w:p>
    <w:p>
      <w:pPr>
        <w:spacing w:after="0" w:line="151" w:lineRule="exact"/>
        <w:rPr>
          <w:sz w:val="20"/>
          <w:szCs w:val="20"/>
          <w:color w:val="auto"/>
        </w:rPr>
      </w:pPr>
    </w:p>
    <w:p>
      <w:pPr>
        <w:jc w:val="both"/>
        <w:ind w:left="857" w:right="20" w:hanging="849"/>
        <w:spacing w:after="0" w:line="260" w:lineRule="auto"/>
        <w:tabs>
          <w:tab w:leader="none" w:pos="837"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color w:val="auto"/>
        </w:rPr>
        <w:t>For the holiday year during which your employment begins or ends, you will be entitled to such proportion of your annual holiday entitlement as the period of your employment in that holiday year bears to a full holiday year.</w:t>
      </w:r>
    </w:p>
    <w:p>
      <w:pPr>
        <w:spacing w:after="0" w:line="136" w:lineRule="exact"/>
        <w:rPr>
          <w:sz w:val="20"/>
          <w:szCs w:val="20"/>
          <w:color w:val="auto"/>
        </w:rPr>
      </w:pPr>
    </w:p>
    <w:p>
      <w:pPr>
        <w:jc w:val="both"/>
        <w:ind w:left="857" w:hanging="849"/>
        <w:spacing w:after="0" w:line="260" w:lineRule="auto"/>
        <w:tabs>
          <w:tab w:leader="none" w:pos="837"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9"/>
          <w:szCs w:val="19"/>
          <w:color w:val="auto"/>
        </w:rPr>
        <w:t>The Company may require you to take some, all or none of any outstanding holiday entitlement during your notice period. Upon the termination of your employment for whatever reason you will, as appropriate, either be entitled to salary in lieu of any untaken accrued holiday entitlement or be required to repay to the Company any salary received in respect of holiday taken in excess of your proportionate holiday entitlement. For the purposes of calculating such payment in lieu or such repayment, a day’s paid holiday shall be taken to be your annual basic salary divided by 260.</w:t>
      </w:r>
    </w:p>
    <w:p>
      <w:pPr>
        <w:spacing w:after="0" w:line="134" w:lineRule="exact"/>
        <w:rPr>
          <w:sz w:val="20"/>
          <w:szCs w:val="20"/>
          <w:color w:val="auto"/>
        </w:rPr>
      </w:pPr>
    </w:p>
    <w:p>
      <w:pPr>
        <w:ind w:left="857" w:hanging="857"/>
        <w:spacing w:after="0"/>
        <w:tabs>
          <w:tab w:leader="none" w:pos="857"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ICKNESS</w:t>
      </w:r>
    </w:p>
    <w:p>
      <w:pPr>
        <w:spacing w:after="0" w:line="222" w:lineRule="exact"/>
        <w:rPr>
          <w:sz w:val="20"/>
          <w:szCs w:val="20"/>
          <w:color w:val="auto"/>
        </w:rPr>
      </w:pPr>
    </w:p>
    <w:p>
      <w:pPr>
        <w:ind w:left="857" w:right="20"/>
        <w:spacing w:after="0" w:line="260" w:lineRule="auto"/>
        <w:rPr>
          <w:sz w:val="20"/>
          <w:szCs w:val="20"/>
          <w:color w:val="auto"/>
        </w:rPr>
      </w:pPr>
      <w:r>
        <w:rPr>
          <w:rFonts w:ascii="Arial" w:cs="Arial" w:eastAsia="Arial" w:hAnsi="Arial"/>
          <w:sz w:val="20"/>
          <w:szCs w:val="20"/>
          <w:color w:val="auto"/>
        </w:rPr>
        <w:t>You will be entitled to statutory sick pay to which you are eligible. Payment of any additional sums will be in the Company’s absolute discretion.</w:t>
      </w:r>
    </w:p>
    <w:p>
      <w:pPr>
        <w:spacing w:after="0" w:line="157" w:lineRule="exact"/>
        <w:rPr>
          <w:sz w:val="20"/>
          <w:szCs w:val="20"/>
          <w:color w:val="auto"/>
        </w:rPr>
      </w:pPr>
    </w:p>
    <w:p>
      <w:pPr>
        <w:ind w:left="857" w:hanging="857"/>
        <w:spacing w:after="0"/>
        <w:tabs>
          <w:tab w:leader="none" w:pos="857"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O</w:t>
      </w:r>
      <w:r>
        <w:rPr>
          <w:rFonts w:ascii="Arial" w:cs="Arial" w:eastAsia="Arial" w:hAnsi="Arial"/>
          <w:sz w:val="16"/>
          <w:szCs w:val="16"/>
          <w:b w:val="1"/>
          <w:bCs w:val="1"/>
          <w:color w:val="auto"/>
        </w:rPr>
        <w:t>THER</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AID</w:t>
      </w:r>
      <w:r>
        <w:rPr>
          <w:rFonts w:ascii="Arial" w:cs="Arial" w:eastAsia="Arial" w:hAnsi="Arial"/>
          <w:sz w:val="20"/>
          <w:szCs w:val="20"/>
          <w:b w:val="1"/>
          <w:bCs w:val="1"/>
          <w:color w:val="auto"/>
        </w:rPr>
        <w:t xml:space="preserve"> L</w:t>
      </w:r>
      <w:r>
        <w:rPr>
          <w:rFonts w:ascii="Arial" w:cs="Arial" w:eastAsia="Arial" w:hAnsi="Arial"/>
          <w:sz w:val="16"/>
          <w:szCs w:val="16"/>
          <w:b w:val="1"/>
          <w:bCs w:val="1"/>
          <w:color w:val="auto"/>
        </w:rPr>
        <w:t>EAVE</w:t>
      </w:r>
    </w:p>
    <w:p>
      <w:pPr>
        <w:spacing w:after="0" w:line="222" w:lineRule="exact"/>
        <w:rPr>
          <w:sz w:val="20"/>
          <w:szCs w:val="20"/>
          <w:color w:val="auto"/>
        </w:rPr>
      </w:pPr>
    </w:p>
    <w:p>
      <w:pPr>
        <w:ind w:left="857" w:right="20"/>
        <w:spacing w:after="0" w:line="260" w:lineRule="auto"/>
        <w:rPr>
          <w:sz w:val="20"/>
          <w:szCs w:val="20"/>
          <w:color w:val="auto"/>
        </w:rPr>
      </w:pPr>
      <w:r>
        <w:rPr>
          <w:rFonts w:ascii="Arial" w:cs="Arial" w:eastAsia="Arial" w:hAnsi="Arial"/>
          <w:sz w:val="20"/>
          <w:szCs w:val="20"/>
          <w:color w:val="auto"/>
        </w:rPr>
        <w:t>You may be eligible to take the following types of paid leave, subject to any statutory eligibility requirements or conditions and the Company’s rules applicable to each type of leave in force from time to time:</w:t>
      </w:r>
    </w:p>
    <w:p>
      <w:pPr>
        <w:spacing w:after="0" w:line="136" w:lineRule="exact"/>
        <w:rPr>
          <w:sz w:val="20"/>
          <w:szCs w:val="20"/>
          <w:color w:val="auto"/>
        </w:rPr>
      </w:pPr>
    </w:p>
    <w:p>
      <w:pPr>
        <w:ind w:left="1697" w:hanging="847"/>
        <w:spacing w:after="0"/>
        <w:tabs>
          <w:tab w:leader="none" w:pos="1697" w:val="left"/>
        </w:tabs>
        <w:numPr>
          <w:ilvl w:val="1"/>
          <w:numId w:val="79"/>
        </w:numPr>
        <w:rPr>
          <w:rFonts w:ascii="Arial" w:cs="Arial" w:eastAsia="Arial" w:hAnsi="Arial"/>
          <w:sz w:val="20"/>
          <w:szCs w:val="20"/>
          <w:color w:val="auto"/>
        </w:rPr>
      </w:pPr>
      <w:r>
        <w:rPr>
          <w:rFonts w:ascii="Arial" w:cs="Arial" w:eastAsia="Arial" w:hAnsi="Arial"/>
          <w:sz w:val="20"/>
          <w:szCs w:val="20"/>
          <w:color w:val="auto"/>
        </w:rPr>
        <w:t>Parental leave;</w:t>
      </w:r>
    </w:p>
    <w:p>
      <w:pPr>
        <w:spacing w:after="0" w:line="215" w:lineRule="exact"/>
        <w:rPr>
          <w:rFonts w:ascii="Arial" w:cs="Arial" w:eastAsia="Arial" w:hAnsi="Arial"/>
          <w:sz w:val="20"/>
          <w:szCs w:val="20"/>
          <w:color w:val="auto"/>
        </w:rPr>
      </w:pPr>
    </w:p>
    <w:p>
      <w:pPr>
        <w:ind w:left="1697" w:hanging="847"/>
        <w:spacing w:after="0"/>
        <w:tabs>
          <w:tab w:leader="none" w:pos="1697" w:val="left"/>
        </w:tabs>
        <w:numPr>
          <w:ilvl w:val="1"/>
          <w:numId w:val="79"/>
        </w:numPr>
        <w:rPr>
          <w:rFonts w:ascii="Arial" w:cs="Arial" w:eastAsia="Arial" w:hAnsi="Arial"/>
          <w:sz w:val="20"/>
          <w:szCs w:val="20"/>
          <w:color w:val="auto"/>
        </w:rPr>
      </w:pPr>
      <w:r>
        <w:rPr>
          <w:rFonts w:ascii="Arial" w:cs="Arial" w:eastAsia="Arial" w:hAnsi="Arial"/>
          <w:sz w:val="20"/>
          <w:szCs w:val="20"/>
          <w:color w:val="auto"/>
        </w:rPr>
        <w:t>Shared parental leave;</w:t>
      </w:r>
    </w:p>
    <w:p>
      <w:pPr>
        <w:spacing w:after="0" w:line="215" w:lineRule="exact"/>
        <w:rPr>
          <w:rFonts w:ascii="Arial" w:cs="Arial" w:eastAsia="Arial" w:hAnsi="Arial"/>
          <w:sz w:val="20"/>
          <w:szCs w:val="20"/>
          <w:color w:val="auto"/>
        </w:rPr>
      </w:pPr>
    </w:p>
    <w:p>
      <w:pPr>
        <w:ind w:left="1697" w:hanging="847"/>
        <w:spacing w:after="0"/>
        <w:tabs>
          <w:tab w:leader="none" w:pos="1697" w:val="left"/>
        </w:tabs>
        <w:numPr>
          <w:ilvl w:val="1"/>
          <w:numId w:val="79"/>
        </w:numPr>
        <w:rPr>
          <w:rFonts w:ascii="Arial" w:cs="Arial" w:eastAsia="Arial" w:hAnsi="Arial"/>
          <w:sz w:val="20"/>
          <w:szCs w:val="20"/>
          <w:color w:val="auto"/>
        </w:rPr>
      </w:pPr>
      <w:r>
        <w:rPr>
          <w:rFonts w:ascii="Arial" w:cs="Arial" w:eastAsia="Arial" w:hAnsi="Arial"/>
          <w:sz w:val="20"/>
          <w:szCs w:val="20"/>
          <w:color w:val="auto"/>
        </w:rPr>
        <w:t>Adoption leave; and</w:t>
      </w:r>
    </w:p>
    <w:p>
      <w:pPr>
        <w:spacing w:after="0" w:line="215" w:lineRule="exact"/>
        <w:rPr>
          <w:rFonts w:ascii="Arial" w:cs="Arial" w:eastAsia="Arial" w:hAnsi="Arial"/>
          <w:sz w:val="20"/>
          <w:szCs w:val="20"/>
          <w:color w:val="auto"/>
        </w:rPr>
      </w:pPr>
    </w:p>
    <w:p>
      <w:pPr>
        <w:ind w:left="1697" w:hanging="847"/>
        <w:spacing w:after="0"/>
        <w:tabs>
          <w:tab w:leader="none" w:pos="1697" w:val="left"/>
        </w:tabs>
        <w:numPr>
          <w:ilvl w:val="1"/>
          <w:numId w:val="79"/>
        </w:numPr>
        <w:rPr>
          <w:rFonts w:ascii="Arial" w:cs="Arial" w:eastAsia="Arial" w:hAnsi="Arial"/>
          <w:sz w:val="20"/>
          <w:szCs w:val="20"/>
          <w:color w:val="auto"/>
        </w:rPr>
      </w:pPr>
      <w:r>
        <w:rPr>
          <w:rFonts w:ascii="Arial" w:cs="Arial" w:eastAsia="Arial" w:hAnsi="Arial"/>
          <w:sz w:val="20"/>
          <w:szCs w:val="20"/>
          <w:color w:val="auto"/>
        </w:rPr>
        <w:t>Bereavement leave.</w:t>
      </w:r>
    </w:p>
    <w:p>
      <w:pPr>
        <w:spacing w:after="0" w:line="209" w:lineRule="exact"/>
        <w:rPr>
          <w:rFonts w:ascii="Arial" w:cs="Arial" w:eastAsia="Arial" w:hAnsi="Arial"/>
          <w:sz w:val="20"/>
          <w:szCs w:val="20"/>
          <w:color w:val="auto"/>
        </w:rPr>
      </w:pPr>
    </w:p>
    <w:p>
      <w:pPr>
        <w:ind w:left="857" w:hanging="857"/>
        <w:spacing w:after="0"/>
        <w:tabs>
          <w:tab w:leader="none" w:pos="857" w:val="left"/>
        </w:tabs>
        <w:numPr>
          <w:ilvl w:val="0"/>
          <w:numId w:val="80"/>
        </w:numPr>
        <w:rPr>
          <w:rFonts w:ascii="Arial" w:cs="Arial" w:eastAsia="Arial" w:hAnsi="Arial"/>
          <w:sz w:val="20"/>
          <w:szCs w:val="20"/>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RAINING</w:t>
      </w:r>
    </w:p>
    <w:p>
      <w:pPr>
        <w:spacing w:after="0" w:line="222" w:lineRule="exact"/>
        <w:rPr>
          <w:sz w:val="20"/>
          <w:szCs w:val="20"/>
          <w:color w:val="auto"/>
        </w:rPr>
      </w:pPr>
    </w:p>
    <w:p>
      <w:pPr>
        <w:jc w:val="both"/>
        <w:ind w:left="857" w:right="20"/>
        <w:spacing w:after="0" w:line="250" w:lineRule="auto"/>
        <w:rPr>
          <w:sz w:val="20"/>
          <w:szCs w:val="20"/>
          <w:color w:val="auto"/>
        </w:rPr>
      </w:pPr>
      <w:r>
        <w:rPr>
          <w:rFonts w:ascii="Arial" w:cs="Arial" w:eastAsia="Arial" w:hAnsi="Arial"/>
          <w:sz w:val="20"/>
          <w:szCs w:val="20"/>
          <w:color w:val="auto"/>
        </w:rPr>
        <w:t>During your employment you may be required to take part in various training courses which we may provide from time to time in-house. You should speak to the CEO if you have any questions on the courses available or questions on how to take a course.</w:t>
      </w:r>
    </w:p>
    <w:p>
      <w:pPr>
        <w:spacing w:after="0" w:line="139" w:lineRule="exact"/>
        <w:rPr>
          <w:sz w:val="20"/>
          <w:szCs w:val="20"/>
          <w:color w:val="auto"/>
        </w:rPr>
      </w:pPr>
    </w:p>
    <w:p>
      <w:pPr>
        <w:ind w:left="857" w:hanging="857"/>
        <w:spacing w:after="0"/>
        <w:tabs>
          <w:tab w:leader="none" w:pos="857" w:val="left"/>
        </w:tabs>
        <w:numPr>
          <w:ilvl w:val="0"/>
          <w:numId w:val="81"/>
        </w:numPr>
        <w:rPr>
          <w:rFonts w:ascii="Arial" w:cs="Arial" w:eastAsia="Arial" w:hAnsi="Arial"/>
          <w:sz w:val="20"/>
          <w:szCs w:val="20"/>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ERMINATION OF EMPLOYMENT</w:t>
      </w:r>
    </w:p>
    <w:p>
      <w:pPr>
        <w:spacing w:after="0" w:line="222" w:lineRule="exact"/>
        <w:rPr>
          <w:sz w:val="20"/>
          <w:szCs w:val="20"/>
          <w:color w:val="auto"/>
        </w:rPr>
      </w:pPr>
    </w:p>
    <w:p>
      <w:pPr>
        <w:ind w:left="857"/>
        <w:spacing w:after="0"/>
        <w:rPr>
          <w:sz w:val="20"/>
          <w:szCs w:val="20"/>
          <w:color w:val="auto"/>
        </w:rPr>
      </w:pPr>
      <w:r>
        <w:rPr>
          <w:rFonts w:ascii="Arial" w:cs="Arial" w:eastAsia="Arial" w:hAnsi="Arial"/>
          <w:sz w:val="18"/>
          <w:szCs w:val="18"/>
          <w:color w:val="auto"/>
        </w:rPr>
        <w:t>Your employment hereunder may be terminated without any breach of this Agreement under the following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226695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97"/>
          </w:cols>
          <w:pgMar w:left="463" w:top="414" w:right="439" w:bottom="1440" w:gutter="0" w:footer="0" w:header="0"/>
        </w:sectPr>
      </w:pPr>
    </w:p>
    <w:bookmarkStart w:id="139" w:name="page140"/>
    <w:bookmarkEnd w:id="139"/>
    <w:p>
      <w:pPr>
        <w:spacing w:after="0"/>
        <w:tabs>
          <w:tab w:leader="none" w:pos="8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u w:val="single" w:color="auto"/>
          <w:color w:val="auto"/>
        </w:rPr>
        <w:t xml:space="preserve">Death. </w:t>
      </w:r>
      <w:r>
        <w:rPr>
          <w:rFonts w:ascii="Arial" w:cs="Arial" w:eastAsia="Arial" w:hAnsi="Arial"/>
          <w:sz w:val="16"/>
          <w:szCs w:val="16"/>
          <w:color w:val="auto"/>
        </w:rPr>
        <w:t>Your employment hereunder shall terminate upon your death.</w:t>
      </w:r>
    </w:p>
    <w:p>
      <w:pPr>
        <w:spacing w:after="0" w:line="189" w:lineRule="exact"/>
        <w:rPr>
          <w:sz w:val="20"/>
          <w:szCs w:val="20"/>
          <w:color w:val="auto"/>
        </w:rPr>
      </w:pPr>
    </w:p>
    <w:p>
      <w:pPr>
        <w:jc w:val="both"/>
        <w:ind w:left="860" w:hanging="849"/>
        <w:spacing w:after="0" w:line="255" w:lineRule="auto"/>
        <w:tabs>
          <w:tab w:leader="none" w:pos="8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u w:val="single" w:color="auto"/>
          <w:color w:val="auto"/>
        </w:rPr>
        <w:t xml:space="preserve">Disability. </w:t>
      </w:r>
      <w:r>
        <w:rPr>
          <w:rFonts w:ascii="Arial" w:cs="Arial" w:eastAsia="Arial" w:hAnsi="Arial"/>
          <w:sz w:val="19"/>
          <w:szCs w:val="19"/>
          <w:color w:val="auto"/>
        </w:rPr>
        <w:t>The Company may terminate your employment if you are disabled and unable to perform the essential functions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to whom you or your guardian has no reasonable objection as to whether you are so disabled or how long such disability is expected to continue, and 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determination of such issue shall be binding on you.</w:t>
      </w:r>
    </w:p>
    <w:p>
      <w:pPr>
        <w:spacing w:after="0" w:line="149" w:lineRule="exact"/>
        <w:rPr>
          <w:sz w:val="20"/>
          <w:szCs w:val="20"/>
          <w:color w:val="auto"/>
        </w:rPr>
      </w:pPr>
    </w:p>
    <w:p>
      <w:pPr>
        <w:jc w:val="both"/>
        <w:ind w:left="860" w:right="20" w:hanging="849"/>
        <w:spacing w:after="0" w:line="253" w:lineRule="auto"/>
        <w:tabs>
          <w:tab w:leader="none" w:pos="8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u w:val="single" w:color="auto"/>
          <w:color w:val="auto"/>
        </w:rPr>
        <w:t xml:space="preserve">Termination by Company for Cause. </w:t>
      </w:r>
      <w:r>
        <w:rPr>
          <w:rFonts w:ascii="Arial" w:cs="Arial" w:eastAsia="Arial" w:hAnsi="Arial"/>
          <w:sz w:val="19"/>
          <w:szCs w:val="19"/>
          <w:color w:val="auto"/>
        </w:rPr>
        <w:t>The Company may terminate your employment hereunder for Cause. For purposes of this</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Agreement, “Cause” shall mean: (i) conduct by you constituting a material act of misconduct in connection with the performance of your duties, including, without limitation, misappropriation of funds or property of the Company or Group Company other than the occasional, customary and de minimis use of Company property for personal purposes; (ii) the commission by you of any arrestable offence, material deceit or dishonesty, or fraud, or any conduct by you that would reasonably be expected to result in material injury or reputational harm to the Company or Group Company if you were retained in your position; (iii) continued non-performance by you of your duties hereunder including any failure by you to comply with the provisions of clause 5 above (other than by reason of your physical or mental illness, incapacity or disability) which has continued for more than 30 days following written notice (with a reasonably detailed summary of such alleged non-performance specified) of such nonperformance from the CEO; (iv) a breach by you of any of the provisions incorporated into or contained in clauses 17, 18 and/or 19 of this Agreement;</w:t>
      </w:r>
    </w:p>
    <w:p>
      <w:pPr>
        <w:spacing w:after="0" w:line="7" w:lineRule="exact"/>
        <w:rPr>
          <w:sz w:val="20"/>
          <w:szCs w:val="20"/>
          <w:color w:val="auto"/>
        </w:rPr>
      </w:pPr>
    </w:p>
    <w:p>
      <w:pPr>
        <w:jc w:val="both"/>
        <w:ind w:left="860" w:right="20" w:firstLine="4"/>
        <w:spacing w:after="0"/>
        <w:tabs>
          <w:tab w:leader="none" w:pos="1159"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material violation by you of the Company’s written employment policies; or (vi) failure to cooperate with a bona fide internal investigation or an investigation by regulatory or law enforcement authorities, after being instructed by the Company to cooperate, or the wilful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57" w:lineRule="exact"/>
        <w:rPr>
          <w:sz w:val="20"/>
          <w:szCs w:val="20"/>
          <w:color w:val="auto"/>
        </w:rPr>
      </w:pPr>
    </w:p>
    <w:p>
      <w:pPr>
        <w:jc w:val="both"/>
        <w:ind w:left="860" w:right="20" w:hanging="849"/>
        <w:spacing w:after="0" w:line="246" w:lineRule="auto"/>
        <w:tabs>
          <w:tab w:leader="none" w:pos="8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20"/>
          <w:szCs w:val="20"/>
          <w:u w:val="single" w:color="auto"/>
          <w:color w:val="auto"/>
        </w:rPr>
        <w:t xml:space="preserve">Termination Without Cause. </w:t>
      </w:r>
      <w:r>
        <w:rPr>
          <w:rFonts w:ascii="Arial" w:cs="Arial" w:eastAsia="Arial" w:hAnsi="Arial"/>
          <w:sz w:val="20"/>
          <w:szCs w:val="20"/>
          <w:color w:val="auto"/>
        </w:rPr>
        <w:t>The Company may terminate your employment hereunder at any time without Cause.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termination by the Company of your employment under this Agreement which does not constitute a termination for Cause under clause 14.3 and does not result from your death or disability under clauses 14.1 or 14.2 shall be deemed a termination without Cause.</w:t>
      </w:r>
    </w:p>
    <w:p>
      <w:pPr>
        <w:spacing w:after="0" w:line="151" w:lineRule="exact"/>
        <w:rPr>
          <w:sz w:val="20"/>
          <w:szCs w:val="20"/>
          <w:color w:val="auto"/>
        </w:rPr>
      </w:pPr>
    </w:p>
    <w:p>
      <w:pPr>
        <w:jc w:val="both"/>
        <w:ind w:left="860" w:hanging="849"/>
        <w:spacing w:after="0" w:line="242" w:lineRule="auto"/>
        <w:tabs>
          <w:tab w:leader="none" w:pos="84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20"/>
          <w:szCs w:val="20"/>
          <w:u w:val="single" w:color="auto"/>
          <w:color w:val="auto"/>
        </w:rPr>
        <w:t xml:space="preserve">Termination by You. </w:t>
      </w:r>
      <w:r>
        <w:rPr>
          <w:rFonts w:ascii="Arial" w:cs="Arial" w:eastAsia="Arial" w:hAnsi="Arial"/>
          <w:sz w:val="20"/>
          <w:szCs w:val="20"/>
          <w:color w:val="auto"/>
        </w:rPr>
        <w:t>You may terminate your employment hereunder at any time for any reason, including but not limited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Good Reason, with three months written notice to the CEO. For purposes of this Agreement, “Good Reason” shall mean that you have complied with the “Good Reason Process” (hereinafter defined) following the occurrence of any of the following events: (i) a material diminution in your responsibilities, authority or duties or reporting relationship; (ii) a material diminution in your Base Salary except for across-the- board salary reductions based on the Company’s financial performance similarly affecting all or substantially all senior management employees of the Company; (iii) a material change in the geographic location at which you provide services to the Company, other than as set forth in clause 5 of this Agreement; or (iv) a material breach of this Agreement by the Company. “Good Reason Process” shall mean that (i) you reasonably determine in good faith that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198755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60" w:top="420" w:right="439" w:bottom="1440" w:gutter="0" w:footer="0" w:header="0"/>
        </w:sectPr>
      </w:pPr>
    </w:p>
    <w:bookmarkStart w:id="140" w:name="page141"/>
    <w:bookmarkEnd w:id="140"/>
    <w:p>
      <w:pPr>
        <w:jc w:val="both"/>
        <w:ind w:left="857" w:right="20"/>
        <w:spacing w:after="0" w:line="243" w:lineRule="auto"/>
        <w:rPr>
          <w:sz w:val="20"/>
          <w:szCs w:val="20"/>
          <w:color w:val="auto"/>
        </w:rPr>
      </w:pPr>
      <w:r>
        <w:rPr>
          <w:rFonts w:ascii="Arial" w:cs="Arial" w:eastAsia="Arial" w:hAnsi="Arial"/>
          <w:sz w:val="20"/>
          <w:szCs w:val="20"/>
          <w:color w:val="auto"/>
        </w:rPr>
        <w:t>“Good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“Cure Period”), to remedy the condition; (iv) notwithstanding such efforts, the Good Reason condition continues to exist; and (v) you terminate your employment within 60 days after the end of the Cure Period. If the Company cures the Good Reason condition during the Cure Period, Good Reason shall be deemed not to have occurred.</w:t>
      </w:r>
    </w:p>
    <w:p>
      <w:pPr>
        <w:spacing w:after="0" w:line="169" w:lineRule="exact"/>
        <w:rPr>
          <w:sz w:val="20"/>
          <w:szCs w:val="20"/>
          <w:color w:val="auto"/>
        </w:rPr>
      </w:pPr>
    </w:p>
    <w:p>
      <w:pPr>
        <w:jc w:val="both"/>
        <w:ind w:left="857" w:right="20" w:hanging="849"/>
        <w:spacing w:after="0" w:line="246" w:lineRule="auto"/>
        <w:tabs>
          <w:tab w:leader="none" w:pos="837"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20"/>
          <w:szCs w:val="20"/>
          <w:u w:val="single" w:color="auto"/>
          <w:color w:val="auto"/>
        </w:rPr>
        <w:t xml:space="preserve">Notice of Termination. </w:t>
      </w:r>
      <w:r>
        <w:rPr>
          <w:rFonts w:ascii="Arial" w:cs="Arial" w:eastAsia="Arial" w:hAnsi="Arial"/>
          <w:sz w:val="20"/>
          <w:szCs w:val="20"/>
          <w:color w:val="auto"/>
        </w:rPr>
        <w:t>Except for termination as specified in clause 14.1, any termination of your employment by the Company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or any such termination by you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51" w:lineRule="exact"/>
        <w:rPr>
          <w:sz w:val="20"/>
          <w:szCs w:val="20"/>
          <w:color w:val="auto"/>
        </w:rPr>
      </w:pPr>
    </w:p>
    <w:p>
      <w:pPr>
        <w:jc w:val="both"/>
        <w:ind w:left="857" w:hanging="849"/>
        <w:spacing w:after="0" w:line="239" w:lineRule="auto"/>
        <w:tabs>
          <w:tab w:leader="none" w:pos="837"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20"/>
          <w:szCs w:val="20"/>
          <w:u w:val="single" w:color="auto"/>
          <w:color w:val="auto"/>
        </w:rPr>
        <w:t xml:space="preserve">Date of Termination. </w:t>
      </w:r>
      <w:r>
        <w:rPr>
          <w:rFonts w:ascii="Arial" w:cs="Arial" w:eastAsia="Arial" w:hAnsi="Arial"/>
          <w:sz w:val="20"/>
          <w:szCs w:val="20"/>
          <w:color w:val="auto"/>
        </w:rPr>
        <w:t>“Date of Termination” shall mean: (i) if your employment is terminated by your death, the date of your</w:t>
      </w:r>
      <w:r>
        <w:rPr>
          <w:rFonts w:ascii="Arial" w:cs="Arial" w:eastAsia="Arial" w:hAnsi="Arial"/>
          <w:sz w:val="20"/>
          <w:szCs w:val="20"/>
          <w:u w:val="single" w:color="auto"/>
          <w:color w:val="auto"/>
        </w:rPr>
        <w:t xml:space="preserve"> </w:t>
      </w:r>
      <w:r>
        <w:rPr>
          <w:rFonts w:ascii="Arial" w:cs="Arial" w:eastAsia="Arial" w:hAnsi="Arial"/>
          <w:sz w:val="20"/>
          <w:szCs w:val="20"/>
          <w:color w:val="auto"/>
        </w:rPr>
        <w:t>death; (ii) if your employment is terminated on account of disability under clause 14.2 or by the Company for Cause under clause 14.3, the date on which Notice of Termination is given; (iii) if your employment is terminated by the Company under clause 14.4, the date on which a Notice of Termination is given; (iv) if your employment is terminated by you under clause 14.5 without Good Reason, 3 months after the date on which a Notice of Termination is given, and (v) if your employment is terminated by you under clause</w:t>
      </w:r>
    </w:p>
    <w:p>
      <w:pPr>
        <w:spacing w:after="0" w:line="5" w:lineRule="exact"/>
        <w:rPr>
          <w:sz w:val="20"/>
          <w:szCs w:val="20"/>
          <w:color w:val="auto"/>
        </w:rPr>
      </w:pPr>
    </w:p>
    <w:p>
      <w:pPr>
        <w:jc w:val="both"/>
        <w:ind w:left="857" w:right="20"/>
        <w:spacing w:after="0" w:line="276" w:lineRule="auto"/>
        <w:rPr>
          <w:sz w:val="20"/>
          <w:szCs w:val="20"/>
          <w:color w:val="auto"/>
        </w:rPr>
      </w:pPr>
      <w:r>
        <w:rPr>
          <w:rFonts w:ascii="Arial" w:cs="Arial" w:eastAsia="Arial" w:hAnsi="Arial"/>
          <w:sz w:val="18"/>
          <w:szCs w:val="18"/>
          <w:color w:val="auto"/>
        </w:rPr>
        <w:t>14.5 with Good Reason, the date on which a Notice of Termination is given after the end of the Cure Period. Notwithstanding the foregoing, any notice of termination shall be subject to any minimum statutory period of notice required by English law and, in the event that you give a Notice of Termination to the Company, the Company may unilaterally accelerate the Date of Termination and such acceleration shall not result in a termination by the Company for purposes of this Agreement.</w:t>
      </w:r>
    </w:p>
    <w:p>
      <w:pPr>
        <w:spacing w:after="0" w:line="133" w:lineRule="exact"/>
        <w:rPr>
          <w:sz w:val="20"/>
          <w:szCs w:val="20"/>
          <w:color w:val="auto"/>
        </w:rPr>
      </w:pPr>
    </w:p>
    <w:p>
      <w:pPr>
        <w:ind w:left="857" w:hanging="857"/>
        <w:spacing w:after="0"/>
        <w:tabs>
          <w:tab w:leader="none" w:pos="857" w:val="left"/>
        </w:tabs>
        <w:numPr>
          <w:ilvl w:val="0"/>
          <w:numId w:val="83"/>
        </w:numPr>
        <w:rPr>
          <w:rFonts w:ascii="Arial" w:cs="Arial" w:eastAsia="Arial" w:hAnsi="Arial"/>
          <w:sz w:val="20"/>
          <w:szCs w:val="20"/>
          <w:color w:val="auto"/>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OMPENSATION</w:t>
      </w:r>
      <w:r>
        <w:rPr>
          <w:rFonts w:ascii="Arial" w:cs="Arial" w:eastAsia="Arial" w:hAnsi="Arial"/>
          <w:sz w:val="20"/>
          <w:szCs w:val="20"/>
          <w:b w:val="1"/>
          <w:bCs w:val="1"/>
          <w:color w:val="auto"/>
        </w:rPr>
        <w:t xml:space="preserve"> U</w:t>
      </w:r>
      <w:r>
        <w:rPr>
          <w:rFonts w:ascii="Arial" w:cs="Arial" w:eastAsia="Arial" w:hAnsi="Arial"/>
          <w:sz w:val="16"/>
          <w:szCs w:val="16"/>
          <w:b w:val="1"/>
          <w:bCs w:val="1"/>
          <w:color w:val="auto"/>
        </w:rPr>
        <w:t>PON</w:t>
      </w:r>
      <w:r>
        <w:rPr>
          <w:rFonts w:ascii="Arial" w:cs="Arial" w:eastAsia="Arial" w:hAnsi="Arial"/>
          <w:sz w:val="20"/>
          <w:szCs w:val="20"/>
          <w:b w:val="1"/>
          <w:bCs w:val="1"/>
          <w:color w:val="auto"/>
        </w:rPr>
        <w:t xml:space="preserve"> T</w:t>
      </w:r>
      <w:r>
        <w:rPr>
          <w:rFonts w:ascii="Arial" w:cs="Arial" w:eastAsia="Arial" w:hAnsi="Arial"/>
          <w:sz w:val="16"/>
          <w:szCs w:val="16"/>
          <w:b w:val="1"/>
          <w:bCs w:val="1"/>
          <w:color w:val="auto"/>
        </w:rPr>
        <w:t>ERMINATION</w:t>
      </w:r>
    </w:p>
    <w:p>
      <w:pPr>
        <w:spacing w:after="0" w:line="208" w:lineRule="exact"/>
        <w:rPr>
          <w:sz w:val="20"/>
          <w:szCs w:val="20"/>
          <w:color w:val="auto"/>
        </w:rPr>
      </w:pPr>
    </w:p>
    <w:p>
      <w:pPr>
        <w:jc w:val="both"/>
        <w:ind w:left="857" w:hanging="849"/>
        <w:spacing w:after="0" w:line="243" w:lineRule="auto"/>
        <w:tabs>
          <w:tab w:leader="none" w:pos="837"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20"/>
          <w:szCs w:val="20"/>
          <w:u w:val="single" w:color="auto"/>
          <w:color w:val="auto"/>
        </w:rPr>
        <w:t>Termination Generally</w:t>
      </w:r>
      <w:r>
        <w:rPr>
          <w:rFonts w:ascii="Arial" w:cs="Arial" w:eastAsia="Arial" w:hAnsi="Arial"/>
          <w:sz w:val="20"/>
          <w:szCs w:val="20"/>
          <w:color w:val="auto"/>
        </w:rPr>
        <w:t>. If your employment with the Company is terminated for any reason, the Company shall pay or provide</w:t>
      </w:r>
      <w:r>
        <w:rPr>
          <w:rFonts w:ascii="Arial" w:cs="Arial" w:eastAsia="Arial" w:hAnsi="Arial"/>
          <w:sz w:val="20"/>
          <w:szCs w:val="20"/>
          <w:u w:val="single" w:color="auto"/>
          <w:color w:val="auto"/>
        </w:rPr>
        <w:t xml:space="preserve"> </w:t>
      </w:r>
      <w:r>
        <w:rPr>
          <w:rFonts w:ascii="Arial" w:cs="Arial" w:eastAsia="Arial" w:hAnsi="Arial"/>
          <w:sz w:val="20"/>
          <w:szCs w:val="20"/>
          <w:color w:val="auto"/>
        </w:rPr>
        <w:t>to you (or to your authorized representative or estate) (i) any Base Salary earned through the Date of Termination, unpaid expense reimbursements (subject to, and in accordance with, clause 8 of this Agreement) and unused vacation that accrued through the Date of Termination on or before the time required by law but in no event more than 30 days after your Date of Termination; and (ii) any vested benefits you may have under any employee benefit plan of the Company through the Date of Termination, which vested benefits shall be paid and/or provided in accordance with the terms of such employee benefit plans (collectively, the “Accrued Benefit”).</w:t>
      </w:r>
    </w:p>
    <w:p>
      <w:pPr>
        <w:spacing w:after="0" w:line="166" w:lineRule="exact"/>
        <w:rPr>
          <w:sz w:val="20"/>
          <w:szCs w:val="20"/>
          <w:color w:val="auto"/>
        </w:rPr>
      </w:pPr>
    </w:p>
    <w:p>
      <w:pPr>
        <w:jc w:val="both"/>
        <w:ind w:left="857" w:right="20" w:hanging="849"/>
        <w:spacing w:after="0" w:line="272" w:lineRule="auto"/>
        <w:tabs>
          <w:tab w:leader="none" w:pos="837"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u w:val="single" w:color="auto"/>
          <w:color w:val="auto"/>
        </w:rPr>
        <w:t xml:space="preserve">Termination by the Company Without Cause or by the Executive with Good Reason. </w:t>
      </w:r>
      <w:r>
        <w:rPr>
          <w:rFonts w:ascii="Arial" w:cs="Arial" w:eastAsia="Arial" w:hAnsi="Arial"/>
          <w:sz w:val="18"/>
          <w:szCs w:val="18"/>
          <w:color w:val="auto"/>
        </w:rPr>
        <w:t>If your employment is terminated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without Cause as provided in clause 14.4, or you terminate your employment for Good Reason as provided in clause 14.5, then the Company shall pay you your Accrued Benefit. In addition, subject to you signing a settlement agreement in a form satisfactory to the Company containing, among other provisions, a general release of claims in favour of the Company and related persons and entities, confidentiality, return of property and non-disparagement provisions, a reaffirmation of the obligations set forth in clauses 17 and 18 and Schedule 1 of this Agreement, a twelve-month post-employment noncompetition provision, and which provides that if you breach any of your continuing obligations, all payments of the Severance Amount shall immediately cease (the “Separation Agreement and Release”) and the Separation Agreement and Release becoming irrevocable and fully effective and, if applicable, you resigning as a member of the Board of Directors,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174625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97"/>
          </w:cols>
          <w:pgMar w:left="463" w:top="420" w:right="439" w:bottom="1440" w:gutter="0" w:footer="0" w:header="0"/>
        </w:sectPr>
      </w:pPr>
    </w:p>
    <w:bookmarkStart w:id="141" w:name="page142"/>
    <w:bookmarkEnd w:id="141"/>
    <w:p>
      <w:pPr>
        <w:ind w:left="857"/>
        <w:spacing w:after="0"/>
        <w:rPr>
          <w:sz w:val="20"/>
          <w:szCs w:val="20"/>
          <w:color w:val="auto"/>
        </w:rPr>
      </w:pPr>
      <w:r>
        <w:rPr>
          <w:rFonts w:ascii="Arial" w:cs="Arial" w:eastAsia="Arial" w:hAnsi="Arial"/>
          <w:sz w:val="18"/>
          <w:szCs w:val="18"/>
          <w:color w:val="auto"/>
        </w:rPr>
        <w:t>within 60 days after the Date of Termination (or such shorter time period provided in the Separation Agreement and Release):</w:t>
      </w:r>
    </w:p>
    <w:p>
      <w:pPr>
        <w:spacing w:after="0" w:line="225" w:lineRule="exact"/>
        <w:rPr>
          <w:sz w:val="20"/>
          <w:szCs w:val="20"/>
          <w:color w:val="auto"/>
        </w:rPr>
      </w:pPr>
    </w:p>
    <w:p>
      <w:pPr>
        <w:ind w:left="1517" w:hanging="667"/>
        <w:spacing w:after="0"/>
        <w:tabs>
          <w:tab w:leader="none" w:pos="151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shall pay you an amount equal to 0.75 times the sum of your Base Salary (the “Severance Amount”);</w:t>
      </w:r>
    </w:p>
    <w:p>
      <w:pPr>
        <w:spacing w:after="0" w:line="211" w:lineRule="exact"/>
        <w:rPr>
          <w:rFonts w:ascii="Arial" w:cs="Arial" w:eastAsia="Arial" w:hAnsi="Arial"/>
          <w:sz w:val="18"/>
          <w:szCs w:val="18"/>
          <w:color w:val="auto"/>
        </w:rPr>
      </w:pPr>
    </w:p>
    <w:p>
      <w:pPr>
        <w:jc w:val="both"/>
        <w:ind w:left="1517" w:hanging="667"/>
        <w:spacing w:after="0" w:line="282" w:lineRule="auto"/>
        <w:tabs>
          <w:tab w:leader="none" w:pos="1517"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 based award agreement, all time-based stock options and other time-based stock-based awards held by you in which such stock option or other stock-based award would have vested if you had remained employed for an additional nine months following the Date of Termination shall vest and become exercisable or nonforfeitable as of the Date of Termination; and</w:t>
      </w:r>
    </w:p>
    <w:p>
      <w:pPr>
        <w:spacing w:after="0" w:line="120" w:lineRule="exact"/>
        <w:rPr>
          <w:rFonts w:ascii="Arial" w:cs="Arial" w:eastAsia="Arial" w:hAnsi="Arial"/>
          <w:sz w:val="18"/>
          <w:szCs w:val="18"/>
          <w:color w:val="auto"/>
        </w:rPr>
      </w:pPr>
    </w:p>
    <w:p>
      <w:pPr>
        <w:ind w:left="1517" w:hanging="667"/>
        <w:spacing w:after="0"/>
        <w:tabs>
          <w:tab w:leader="none" w:pos="1517"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Company shall pay you an amount equal to nine months of Benefits Allowance.</w:t>
      </w:r>
    </w:p>
    <w:p>
      <w:pPr>
        <w:spacing w:after="0" w:line="202" w:lineRule="exact"/>
        <w:rPr>
          <w:sz w:val="20"/>
          <w:szCs w:val="20"/>
          <w:color w:val="auto"/>
        </w:rPr>
      </w:pPr>
    </w:p>
    <w:p>
      <w:pPr>
        <w:ind w:left="857" w:right="40"/>
        <w:spacing w:after="0" w:line="287" w:lineRule="auto"/>
        <w:rPr>
          <w:sz w:val="20"/>
          <w:szCs w:val="20"/>
          <w:color w:val="auto"/>
        </w:rPr>
      </w:pPr>
      <w:r>
        <w:rPr>
          <w:rFonts w:ascii="Arial" w:cs="Arial" w:eastAsia="Arial" w:hAnsi="Arial"/>
          <w:sz w:val="19"/>
          <w:szCs w:val="19"/>
          <w:color w:val="auto"/>
        </w:rPr>
        <w:t>The amounts payable under clauses 15.2 (i) and (iii) shall be paid out in substantially equal instalments in accordance with the Company’s payroll practice over nine months commencing within 60 days after the Date of Termination.</w:t>
      </w:r>
    </w:p>
    <w:p>
      <w:pPr>
        <w:spacing w:after="0" w:line="119" w:lineRule="exact"/>
        <w:rPr>
          <w:sz w:val="20"/>
          <w:szCs w:val="20"/>
          <w:color w:val="auto"/>
        </w:rPr>
      </w:pPr>
    </w:p>
    <w:p>
      <w:pPr>
        <w:ind w:left="857" w:hanging="857"/>
        <w:spacing w:after="0"/>
        <w:tabs>
          <w:tab w:leader="none" w:pos="857"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HANGE IN</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ONTROL</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AYMENT</w:t>
      </w:r>
    </w:p>
    <w:p>
      <w:pPr>
        <w:spacing w:after="0" w:line="208" w:lineRule="exact"/>
        <w:rPr>
          <w:sz w:val="20"/>
          <w:szCs w:val="20"/>
          <w:color w:val="auto"/>
        </w:rPr>
      </w:pPr>
    </w:p>
    <w:p>
      <w:pPr>
        <w:jc w:val="both"/>
        <w:ind w:left="857" w:right="20"/>
        <w:spacing w:after="0" w:line="313" w:lineRule="auto"/>
        <w:rPr>
          <w:sz w:val="20"/>
          <w:szCs w:val="20"/>
          <w:color w:val="auto"/>
        </w:rPr>
      </w:pPr>
      <w:r>
        <w:rPr>
          <w:rFonts w:ascii="Arial" w:cs="Arial" w:eastAsia="Arial" w:hAnsi="Arial"/>
          <w:sz w:val="16"/>
          <w:szCs w:val="16"/>
          <w:color w:val="auto"/>
        </w:rPr>
        <w:t>The provisions of this clause 16 set forth certain terms of an agreement reached between you and the Company regarding your rights and obligations upon the occurrence of a Change in Control of the Company. These provisions are intended to assure and encourage in advance your continued attention and dedication to your assigned duties and your objectivity during the pendency and after the occurrence of any such event. These provisions shall apply in lieu of, and expressly supersede, the provisions of clause 15 regarding severance pay and benefits upon a termination of employment, if such termination of employment occurs within three months prior to or 18 months after the occurrence of the first event constituting a Change in Control. These provisions shall terminate and be of no further force or effect beginning 18 months after the occurrence of a Change in Control.</w:t>
      </w:r>
    </w:p>
    <w:p>
      <w:pPr>
        <w:spacing w:after="0" w:line="116" w:lineRule="exact"/>
        <w:rPr>
          <w:sz w:val="20"/>
          <w:szCs w:val="20"/>
          <w:color w:val="auto"/>
        </w:rPr>
      </w:pPr>
    </w:p>
    <w:p>
      <w:pPr>
        <w:jc w:val="both"/>
        <w:ind w:left="857" w:right="20" w:hanging="849"/>
        <w:spacing w:after="0" w:line="278" w:lineRule="auto"/>
        <w:tabs>
          <w:tab w:leader="none" w:pos="837"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u w:val="single" w:color="auto"/>
          <w:color w:val="auto"/>
        </w:rPr>
        <w:t>Change in Control</w:t>
      </w:r>
      <w:r>
        <w:rPr>
          <w:rFonts w:ascii="Arial" w:cs="Arial" w:eastAsia="Arial" w:hAnsi="Arial"/>
          <w:sz w:val="18"/>
          <w:szCs w:val="18"/>
          <w:color w:val="auto"/>
        </w:rPr>
        <w:t>. If within three months prior to or 18 months after a Change in Control, your employment is terminated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Company without Cause as provided in clause 14.4 or you terminate your employment for Good Reason as provided in clause 14.5, then, subject to the signing of the Separation Agreement and Release by you and the Separation Agreement and Release becoming irrevocable and fully effective and, if applicable, you resigning as a member of the Board of Directors, all within 60 days after the Date of Termination (or such shorter time period provided in the Separation Agreement and Release):</w:t>
      </w:r>
    </w:p>
    <w:p>
      <w:pPr>
        <w:spacing w:after="0" w:line="124" w:lineRule="exact"/>
        <w:rPr>
          <w:sz w:val="20"/>
          <w:szCs w:val="20"/>
          <w:color w:val="auto"/>
        </w:rPr>
      </w:pPr>
    </w:p>
    <w:p>
      <w:pPr>
        <w:ind w:left="1177" w:hanging="327"/>
        <w:spacing w:after="0"/>
        <w:tabs>
          <w:tab w:leader="none" w:pos="1177"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Company shall pay you a lump sum in cash in an amount equal to one times the sum of</w:t>
      </w:r>
    </w:p>
    <w:p>
      <w:pPr>
        <w:spacing w:after="0" w:line="20" w:lineRule="exact"/>
        <w:rPr>
          <w:rFonts w:ascii="Arial" w:cs="Arial" w:eastAsia="Arial" w:hAnsi="Arial"/>
          <w:sz w:val="20"/>
          <w:szCs w:val="20"/>
          <w:color w:val="auto"/>
        </w:rPr>
      </w:pPr>
    </w:p>
    <w:p>
      <w:pPr>
        <w:ind w:left="857" w:right="20" w:firstLine="4"/>
        <w:spacing w:after="0" w:line="253" w:lineRule="auto"/>
        <w:tabs>
          <w:tab w:leader="none" w:pos="1181" w:val="left"/>
        </w:tabs>
        <w:numPr>
          <w:ilvl w:val="1"/>
          <w:numId w:val="86"/>
        </w:numPr>
        <w:rPr>
          <w:rFonts w:ascii="Arial" w:cs="Arial" w:eastAsia="Arial" w:hAnsi="Arial"/>
          <w:sz w:val="20"/>
          <w:szCs w:val="20"/>
          <w:color w:val="auto"/>
        </w:rPr>
      </w:pPr>
      <w:r>
        <w:rPr>
          <w:rFonts w:ascii="Arial" w:cs="Arial" w:eastAsia="Arial" w:hAnsi="Arial"/>
          <w:sz w:val="20"/>
          <w:szCs w:val="20"/>
          <w:color w:val="auto"/>
        </w:rPr>
        <w:t>your current Base Salary (or your Base Salary in effect immediately prior to the Change in Control, if higher) and (B) your Target Annual Incentive Compensation then in effect (together, the “Change in Control Payment”);</w:t>
      </w:r>
    </w:p>
    <w:p>
      <w:pPr>
        <w:spacing w:after="0" w:line="142" w:lineRule="exact"/>
        <w:rPr>
          <w:sz w:val="20"/>
          <w:szCs w:val="20"/>
          <w:color w:val="auto"/>
        </w:rPr>
      </w:pPr>
    </w:p>
    <w:p>
      <w:pPr>
        <w:jc w:val="both"/>
        <w:ind w:left="857" w:right="20" w:firstLine="4"/>
        <w:spacing w:after="0" w:line="250" w:lineRule="auto"/>
        <w:tabs>
          <w:tab w:leader="none" w:pos="21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notwithstanding anything to the contrary in any applicable option agreement or stock- based award agreement, all time-based stock options and other time-based stock-based awards held by you shall immediately accelerate and become fully exercisable or nonforfeitable as of the Date of Termination; and</w:t>
      </w:r>
    </w:p>
    <w:p>
      <w:pPr>
        <w:spacing w:after="0" w:line="145" w:lineRule="exact"/>
        <w:rPr>
          <w:rFonts w:ascii="Arial" w:cs="Arial" w:eastAsia="Arial" w:hAnsi="Arial"/>
          <w:sz w:val="20"/>
          <w:szCs w:val="20"/>
          <w:color w:val="auto"/>
        </w:rPr>
      </w:pPr>
    </w:p>
    <w:p>
      <w:pPr>
        <w:ind w:left="2277" w:hanging="1416"/>
        <w:spacing w:after="0"/>
        <w:tabs>
          <w:tab w:leader="none" w:pos="2277"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Company shall pay you a lump sum in cash in an amount equal to 12 times the Benefits Allowance.</w:t>
      </w:r>
    </w:p>
    <w:p>
      <w:pPr>
        <w:spacing w:after="0" w:line="214" w:lineRule="exact"/>
        <w:rPr>
          <w:sz w:val="20"/>
          <w:szCs w:val="20"/>
          <w:color w:val="auto"/>
        </w:rPr>
      </w:pPr>
    </w:p>
    <w:p>
      <w:pPr>
        <w:ind w:left="857" w:right="20"/>
        <w:spacing w:after="0" w:line="260" w:lineRule="auto"/>
        <w:rPr>
          <w:sz w:val="20"/>
          <w:szCs w:val="20"/>
          <w:color w:val="auto"/>
        </w:rPr>
      </w:pPr>
      <w:r>
        <w:rPr>
          <w:rFonts w:ascii="Arial" w:cs="Arial" w:eastAsia="Arial" w:hAnsi="Arial"/>
          <w:sz w:val="20"/>
          <w:szCs w:val="20"/>
          <w:color w:val="auto"/>
        </w:rPr>
        <w:t>The amounts payable under clauses 16.1(i) and (iii) shall be paid or commence to be paid within 60 days after the Date of Termination; provided, however, that if the 60-day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187325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97"/>
          </w:cols>
          <w:pgMar w:left="463" w:top="420" w:right="439" w:bottom="1440" w:gutter="0" w:footer="0" w:header="0"/>
        </w:sectPr>
      </w:pPr>
    </w:p>
    <w:bookmarkStart w:id="142" w:name="page143"/>
    <w:bookmarkEnd w:id="142"/>
    <w:p>
      <w:pPr>
        <w:ind w:left="860" w:right="480"/>
        <w:spacing w:after="0" w:line="260" w:lineRule="auto"/>
        <w:rPr>
          <w:sz w:val="20"/>
          <w:szCs w:val="20"/>
          <w:color w:val="auto"/>
        </w:rPr>
      </w:pPr>
      <w:r>
        <w:rPr>
          <w:rFonts w:ascii="Arial" w:cs="Arial" w:eastAsia="Arial" w:hAnsi="Arial"/>
          <w:sz w:val="20"/>
          <w:szCs w:val="20"/>
          <w:color w:val="auto"/>
        </w:rPr>
        <w:t>begins in one calendar year and ends in a second calendar year, such payment shall be paid or commence to be paid in the second calendar year by the last day of such 60-day period.</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9"/>
          <w:szCs w:val="19"/>
          <w:color w:val="auto"/>
        </w:rPr>
        <w:t>Definitions. For purposes of this clause 16, the following terms shall have the following meanings: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“Change in Control” shall mean any of the following:</w:t>
      </w:r>
    </w:p>
    <w:p>
      <w:pPr>
        <w:spacing w:after="0" w:line="216" w:lineRule="exact"/>
        <w:rPr>
          <w:sz w:val="20"/>
          <w:szCs w:val="20"/>
          <w:color w:val="auto"/>
        </w:rPr>
      </w:pPr>
    </w:p>
    <w:p>
      <w:pPr>
        <w:jc w:val="both"/>
        <w:ind w:left="860" w:firstLine="4"/>
        <w:spacing w:after="0" w:line="272" w:lineRule="auto"/>
        <w:tabs>
          <w:tab w:leader="none" w:pos="203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 (ii) the date a majority of the members of the Board is replaced during any 12-month period by directors whose appointment or election is not endorsed by a majority of the members of the Board before the date of the appointment or election; or</w:t>
      </w:r>
    </w:p>
    <w:p>
      <w:pPr>
        <w:spacing w:after="0" w:line="130" w:lineRule="exact"/>
        <w:rPr>
          <w:sz w:val="20"/>
          <w:szCs w:val="20"/>
          <w:color w:val="auto"/>
        </w:rPr>
      </w:pPr>
    </w:p>
    <w:p>
      <w:pPr>
        <w:jc w:val="both"/>
        <w:ind w:left="860" w:firstLine="4"/>
        <w:spacing w:after="0" w:line="269" w:lineRule="auto"/>
        <w:tabs>
          <w:tab w:leader="none" w:pos="1262"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 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134" w:lineRule="exact"/>
        <w:rPr>
          <w:rFonts w:ascii="Arial" w:cs="Arial" w:eastAsia="Arial" w:hAnsi="Arial"/>
          <w:sz w:val="18"/>
          <w:szCs w:val="18"/>
          <w:color w:val="auto"/>
        </w:rPr>
      </w:pPr>
    </w:p>
    <w:p>
      <w:pPr>
        <w:ind w:left="860" w:hanging="857"/>
        <w:spacing w:after="0"/>
        <w:tabs>
          <w:tab w:leader="none" w:pos="860"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ONFIDENTIALITY AND</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OMPANY</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ROPERTY</w:t>
      </w:r>
    </w:p>
    <w:p>
      <w:pPr>
        <w:spacing w:after="0" w:line="222" w:lineRule="exact"/>
        <w:rPr>
          <w:sz w:val="20"/>
          <w:szCs w:val="20"/>
          <w:color w:val="auto"/>
        </w:rPr>
      </w:pPr>
    </w:p>
    <w:p>
      <w:pPr>
        <w:ind w:left="860" w:right="80" w:hanging="849"/>
        <w:spacing w:after="0" w:line="260" w:lineRule="auto"/>
        <w:tabs>
          <w:tab w:leader="none" w:pos="8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20"/>
          <w:szCs w:val="20"/>
          <w:color w:val="auto"/>
        </w:rPr>
        <w:t>You agree both during your employment and after the termination of your employment not to use or disclose to any person any confidential information:</w:t>
      </w:r>
    </w:p>
    <w:p>
      <w:pPr>
        <w:spacing w:after="0" w:line="163" w:lineRule="exact"/>
        <w:rPr>
          <w:sz w:val="20"/>
          <w:szCs w:val="20"/>
          <w:color w:val="auto"/>
        </w:rPr>
      </w:pPr>
    </w:p>
    <w:p>
      <w:pPr>
        <w:ind w:left="1700" w:hanging="847"/>
        <w:spacing w:after="0" w:line="260" w:lineRule="auto"/>
        <w:tabs>
          <w:tab w:leader="none" w:pos="17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concerning the business of the Company and which comes to your knowledge during the course of or in connection with your employment; or</w:t>
      </w:r>
    </w:p>
    <w:p>
      <w:pPr>
        <w:spacing w:after="0" w:line="136" w:lineRule="exact"/>
        <w:rPr>
          <w:rFonts w:ascii="Arial" w:cs="Arial" w:eastAsia="Arial" w:hAnsi="Arial"/>
          <w:sz w:val="20"/>
          <w:szCs w:val="20"/>
          <w:color w:val="auto"/>
        </w:rPr>
      </w:pPr>
    </w:p>
    <w:p>
      <w:pPr>
        <w:jc w:val="both"/>
        <w:ind w:left="1700" w:hanging="847"/>
        <w:spacing w:after="0" w:line="250" w:lineRule="auto"/>
        <w:tabs>
          <w:tab w:leader="none" w:pos="17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concerning the business of any client, customer, patient, agent, supplier, manufacturer or distributor having dealings with the Company and which is obtained either directly or indirectly in circumstances subject to a duty of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193040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420" w:right="459" w:bottom="1440" w:gutter="0" w:footer="0" w:header="0"/>
        </w:sectPr>
      </w:pPr>
    </w:p>
    <w:bookmarkStart w:id="143" w:name="page144"/>
    <w:bookmarkEnd w:id="143"/>
    <w:p>
      <w:pPr>
        <w:spacing w:after="0"/>
        <w:tabs>
          <w:tab w:leader="none" w:pos="8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8"/>
          <w:szCs w:val="18"/>
          <w:color w:val="auto"/>
        </w:rPr>
        <w:t>This clause shall not apply to information which is:</w:t>
      </w:r>
    </w:p>
    <w:p>
      <w:pPr>
        <w:spacing w:after="0" w:line="216" w:lineRule="exact"/>
        <w:rPr>
          <w:sz w:val="20"/>
          <w:szCs w:val="20"/>
          <w:color w:val="auto"/>
        </w:rPr>
      </w:pPr>
    </w:p>
    <w:p>
      <w:pPr>
        <w:ind w:left="1700" w:hanging="847"/>
        <w:spacing w:after="0"/>
        <w:tabs>
          <w:tab w:leader="none" w:pos="1700" w:val="left"/>
        </w:tabs>
        <w:numPr>
          <w:ilvl w:val="0"/>
          <w:numId w:val="92"/>
        </w:numPr>
        <w:rPr>
          <w:rFonts w:ascii="Arial" w:cs="Arial" w:eastAsia="Arial" w:hAnsi="Arial"/>
          <w:sz w:val="20"/>
          <w:szCs w:val="20"/>
          <w:color w:val="auto"/>
        </w:rPr>
      </w:pPr>
      <w:r>
        <w:rPr>
          <w:rFonts w:ascii="Arial" w:cs="Arial" w:eastAsia="Arial" w:hAnsi="Arial"/>
          <w:sz w:val="20"/>
          <w:szCs w:val="20"/>
          <w:color w:val="auto"/>
        </w:rPr>
        <w:t>used or disclosed in the proper performance of your duties or with the consent of the Company;</w:t>
      </w:r>
    </w:p>
    <w:p>
      <w:pPr>
        <w:spacing w:after="0" w:line="175" w:lineRule="exact"/>
        <w:rPr>
          <w:rFonts w:ascii="Arial" w:cs="Arial" w:eastAsia="Arial" w:hAnsi="Arial"/>
          <w:sz w:val="20"/>
          <w:szCs w:val="20"/>
          <w:color w:val="auto"/>
        </w:rPr>
      </w:pPr>
    </w:p>
    <w:p>
      <w:pPr>
        <w:ind w:left="1700" w:hanging="847"/>
        <w:spacing w:after="0"/>
        <w:tabs>
          <w:tab w:leader="none" w:pos="1700" w:val="left"/>
        </w:tabs>
        <w:numPr>
          <w:ilvl w:val="0"/>
          <w:numId w:val="92"/>
        </w:numPr>
        <w:rPr>
          <w:rFonts w:ascii="Arial" w:cs="Arial" w:eastAsia="Arial" w:hAnsi="Arial"/>
          <w:sz w:val="20"/>
          <w:szCs w:val="20"/>
          <w:color w:val="auto"/>
        </w:rPr>
      </w:pPr>
      <w:r>
        <w:rPr>
          <w:rFonts w:ascii="Arial" w:cs="Arial" w:eastAsia="Arial" w:hAnsi="Arial"/>
          <w:sz w:val="20"/>
          <w:szCs w:val="20"/>
          <w:color w:val="auto"/>
        </w:rPr>
        <w:t>disclosed as a protected disclosure within the meaning of section 43A Employment Rights Act 1996;</w:t>
      </w:r>
    </w:p>
    <w:p>
      <w:pPr>
        <w:spacing w:after="0" w:line="202" w:lineRule="exact"/>
        <w:rPr>
          <w:rFonts w:ascii="Arial" w:cs="Arial" w:eastAsia="Arial" w:hAnsi="Arial"/>
          <w:sz w:val="20"/>
          <w:szCs w:val="20"/>
          <w:color w:val="auto"/>
        </w:rPr>
      </w:pPr>
    </w:p>
    <w:p>
      <w:pPr>
        <w:ind w:left="1700" w:hanging="847"/>
        <w:spacing w:after="0"/>
        <w:tabs>
          <w:tab w:leader="none" w:pos="1700" w:val="left"/>
        </w:tabs>
        <w:numPr>
          <w:ilvl w:val="0"/>
          <w:numId w:val="92"/>
        </w:numPr>
        <w:rPr>
          <w:rFonts w:ascii="Arial" w:cs="Arial" w:eastAsia="Arial" w:hAnsi="Arial"/>
          <w:sz w:val="19"/>
          <w:szCs w:val="19"/>
          <w:color w:val="auto"/>
        </w:rPr>
      </w:pPr>
      <w:r>
        <w:rPr>
          <w:rFonts w:ascii="Arial" w:cs="Arial" w:eastAsia="Arial" w:hAnsi="Arial"/>
          <w:sz w:val="19"/>
          <w:szCs w:val="19"/>
          <w:color w:val="auto"/>
        </w:rPr>
        <w:t>ordered to be disclosed by a court of competent jurisdiction or otherwise required to be disclosed by law; or</w:t>
      </w:r>
    </w:p>
    <w:p>
      <w:pPr>
        <w:spacing w:after="0" w:line="186" w:lineRule="exact"/>
        <w:rPr>
          <w:rFonts w:ascii="Arial" w:cs="Arial" w:eastAsia="Arial" w:hAnsi="Arial"/>
          <w:sz w:val="19"/>
          <w:szCs w:val="19"/>
          <w:color w:val="auto"/>
        </w:rPr>
      </w:pPr>
    </w:p>
    <w:p>
      <w:pPr>
        <w:ind w:left="1700" w:hanging="847"/>
        <w:spacing w:after="0"/>
        <w:tabs>
          <w:tab w:leader="none" w:pos="1700" w:val="left"/>
        </w:tabs>
        <w:numPr>
          <w:ilvl w:val="0"/>
          <w:numId w:val="92"/>
        </w:numPr>
        <w:rPr>
          <w:rFonts w:ascii="Arial" w:cs="Arial" w:eastAsia="Arial" w:hAnsi="Arial"/>
          <w:sz w:val="20"/>
          <w:szCs w:val="20"/>
          <w:color w:val="auto"/>
        </w:rPr>
      </w:pPr>
      <w:r>
        <w:rPr>
          <w:rFonts w:ascii="Arial" w:cs="Arial" w:eastAsia="Arial" w:hAnsi="Arial"/>
          <w:sz w:val="20"/>
          <w:szCs w:val="20"/>
          <w:color w:val="auto"/>
        </w:rPr>
        <w:t>comes into the public domain (otherwise than due to a default by you).</w:t>
      </w:r>
    </w:p>
    <w:p>
      <w:pPr>
        <w:spacing w:after="0" w:line="216" w:lineRule="exact"/>
        <w:rPr>
          <w:sz w:val="20"/>
          <w:szCs w:val="20"/>
          <w:color w:val="auto"/>
        </w:rPr>
      </w:pPr>
    </w:p>
    <w:p>
      <w:pPr>
        <w:jc w:val="both"/>
        <w:ind w:left="860" w:hanging="849"/>
        <w:spacing w:after="0" w:line="276" w:lineRule="auto"/>
        <w:tabs>
          <w:tab w:leader="none" w:pos="8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All documents, manuals, hardware and software provided for your use by the Company, and any data or documents produced, maintained or stored on the Company’s computer systems or other electronic equipment remain the property of the Company and upon demand by the Company and in any event upon the termination of your employment with the Company for whatever reason you shall immediately return them together with all equipment, notes and memoranda, documents, software, records, codes, keys and passwords, designs, drawings or other property in any medium whatsoever belonging to the Company (together with any copies of the same) which is in your possession or under your control.</w:t>
      </w:r>
    </w:p>
    <w:p>
      <w:pPr>
        <w:spacing w:after="0" w:line="118" w:lineRule="exact"/>
        <w:rPr>
          <w:sz w:val="20"/>
          <w:szCs w:val="20"/>
          <w:color w:val="auto"/>
        </w:rPr>
      </w:pPr>
    </w:p>
    <w:p>
      <w:pPr>
        <w:ind w:left="860" w:hanging="857"/>
        <w:spacing w:after="0"/>
        <w:tabs>
          <w:tab w:leader="none" w:pos="860"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NTELLECTUAL PROPERTY</w:t>
      </w: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6"/>
          <w:szCs w:val="16"/>
          <w:color w:val="auto"/>
        </w:rPr>
        <w:t>For the purposes of this clause:</w:t>
      </w:r>
    </w:p>
    <w:p>
      <w:pPr>
        <w:spacing w:after="0" w:line="210" w:lineRule="exact"/>
        <w:rPr>
          <w:sz w:val="20"/>
          <w:szCs w:val="20"/>
          <w:color w:val="auto"/>
        </w:rPr>
      </w:pPr>
    </w:p>
    <w:p>
      <w:pPr>
        <w:jc w:val="both"/>
        <w:ind w:left="860" w:right="2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Rights</w:t>
      </w:r>
      <w:r>
        <w:rPr>
          <w:rFonts w:ascii="Arial" w:cs="Arial" w:eastAsia="Arial" w:hAnsi="Arial"/>
          <w:sz w:val="20"/>
          <w:szCs w:val="20"/>
          <w:color w:val="auto"/>
        </w:rPr>
        <w:t>” means all intellectual property rights in any part of the world including patents, rights to inventions, registered and unregistered trademarks, rights in get-up, rights in domain names, registered designs, unregistered rights in designs, copyright (including rights in software) and neighbouring rights, database rights, rights in know-how and, in each case, rights of a similar or corresponding character and all applications and rights to apply for the protections of such rights;</w:t>
      </w:r>
    </w:p>
    <w:p>
      <w:pPr>
        <w:spacing w:after="0" w:line="144" w:lineRule="exact"/>
        <w:rPr>
          <w:sz w:val="20"/>
          <w:szCs w:val="20"/>
          <w:color w:val="auto"/>
        </w:rPr>
      </w:pPr>
    </w:p>
    <w:p>
      <w:pPr>
        <w:jc w:val="both"/>
        <w:ind w:left="86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Invention</w:t>
      </w:r>
      <w:r>
        <w:rPr>
          <w:rFonts w:ascii="Arial" w:cs="Arial" w:eastAsia="Arial" w:hAnsi="Arial"/>
          <w:sz w:val="20"/>
          <w:szCs w:val="20"/>
          <w:color w:val="auto"/>
        </w:rPr>
        <w:t>” means all inventions, innovations, discoveries, development, improvements, ideas, formulae, processes and know-how;</w:t>
      </w:r>
    </w:p>
    <w:p>
      <w:pPr>
        <w:spacing w:after="0" w:line="136" w:lineRule="exact"/>
        <w:rPr>
          <w:sz w:val="20"/>
          <w:szCs w:val="20"/>
          <w:color w:val="auto"/>
        </w:rPr>
      </w:pPr>
    </w:p>
    <w:p>
      <w:pPr>
        <w:jc w:val="both"/>
        <w:ind w:left="860" w:right="2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 Results</w:t>
      </w:r>
      <w:r>
        <w:rPr>
          <w:rFonts w:ascii="Arial" w:cs="Arial" w:eastAsia="Arial" w:hAnsi="Arial"/>
          <w:sz w:val="20"/>
          <w:szCs w:val="20"/>
          <w:color w:val="auto"/>
        </w:rPr>
        <w:t>” means all Inventions and all other works or materials in whatever form devised, prepared, developed, created or made by you (whether alone or with others and whether or not patentable or capable of registration and whether or not recorded in any medium) during the term of this agreement either in the course of your employment under this agreement or outside the course of your employment if such matters relate to the business of the Company or any Group Company or to projects carried out by you on behalf of the Company.</w:t>
      </w:r>
    </w:p>
    <w:p>
      <w:pPr>
        <w:spacing w:after="0" w:line="150" w:lineRule="exact"/>
        <w:rPr>
          <w:sz w:val="20"/>
          <w:szCs w:val="20"/>
          <w:color w:val="auto"/>
        </w:rPr>
      </w:pPr>
    </w:p>
    <w:p>
      <w:pPr>
        <w:jc w:val="both"/>
        <w:ind w:left="860" w:hanging="849"/>
        <w:spacing w:after="0" w:line="260" w:lineRule="auto"/>
        <w:tabs>
          <w:tab w:leader="none" w:pos="8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20"/>
          <w:szCs w:val="20"/>
          <w:color w:val="auto"/>
        </w:rPr>
        <w:t>You agree to promptly give the Company full written details of all Work Results and keep details of the Work Results confidential.</w:t>
      </w:r>
    </w:p>
    <w:p>
      <w:pPr>
        <w:spacing w:after="0" w:line="163" w:lineRule="exact"/>
        <w:rPr>
          <w:sz w:val="20"/>
          <w:szCs w:val="20"/>
          <w:color w:val="auto"/>
        </w:rPr>
      </w:pPr>
    </w:p>
    <w:p>
      <w:pPr>
        <w:jc w:val="both"/>
        <w:ind w:left="860" w:right="20" w:hanging="849"/>
        <w:spacing w:after="0" w:line="250" w:lineRule="auto"/>
        <w:tabs>
          <w:tab w:leader="none" w:pos="84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20"/>
          <w:szCs w:val="20"/>
          <w:color w:val="auto"/>
        </w:rPr>
        <w:t>All Work Results anywhere in the world shall, to the fullest extent permitted by law, be the exclusive property of the Company. You hereby assign with full title guarantee to the Company all rights, title and interest in existing and future Intellectual Property Rights in the Work Results.</w:t>
      </w:r>
    </w:p>
    <w:p>
      <w:pPr>
        <w:spacing w:after="0" w:line="172" w:lineRule="exact"/>
        <w:rPr>
          <w:sz w:val="20"/>
          <w:szCs w:val="20"/>
          <w:color w:val="auto"/>
        </w:rPr>
      </w:pPr>
    </w:p>
    <w:p>
      <w:pPr>
        <w:jc w:val="both"/>
        <w:ind w:left="860" w:right="20" w:hanging="849"/>
        <w:spacing w:after="0" w:line="291" w:lineRule="auto"/>
        <w:tabs>
          <w:tab w:leader="none" w:pos="84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8"/>
          <w:szCs w:val="18"/>
          <w:color w:val="auto"/>
        </w:rPr>
        <w:t>You shall during your employment or at any time after its termination for any reason whatsoever (at the expense of the Company) do all acts and execute all documents required by the Company to vest absolute legal and beneficial ownership of the Intellectual Property Rights in the Work Results in the Company (or its nominee) or to confirm the vesting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60" w:top="420" w:right="439" w:bottom="1440" w:gutter="0" w:footer="0" w:header="0"/>
        </w:sectPr>
      </w:pPr>
    </w:p>
    <w:bookmarkStart w:id="144" w:name="page145"/>
    <w:bookmarkEnd w:id="144"/>
    <w:p>
      <w:pPr>
        <w:ind w:left="860"/>
        <w:spacing w:after="0" w:line="260" w:lineRule="auto"/>
        <w:rPr>
          <w:sz w:val="20"/>
          <w:szCs w:val="20"/>
          <w:color w:val="auto"/>
        </w:rPr>
      </w:pPr>
      <w:r>
        <w:rPr>
          <w:rFonts w:ascii="Arial" w:cs="Arial" w:eastAsia="Arial" w:hAnsi="Arial"/>
          <w:sz w:val="20"/>
          <w:szCs w:val="20"/>
          <w:color w:val="auto"/>
        </w:rPr>
        <w:t>rights in the Company (or its nominee) or to perfect the Company’s (or its nominee’s) title to the Intellectual Property Rights in the Work Results anywhere in the world.</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18"/>
          <w:szCs w:val="18"/>
          <w:color w:val="auto"/>
        </w:rPr>
        <w:t>You irrevocably waive all moral rights arising in the Work Results anywhere in the world to the fullest extent permitted by law.</w:t>
      </w:r>
    </w:p>
    <w:p>
      <w:pPr>
        <w:spacing w:after="0" w:line="196" w:lineRule="exact"/>
        <w:rPr>
          <w:sz w:val="20"/>
          <w:szCs w:val="20"/>
          <w:color w:val="auto"/>
        </w:rPr>
      </w:pPr>
    </w:p>
    <w:p>
      <w:pPr>
        <w:ind w:left="860" w:hanging="857"/>
        <w:spacing w:after="0"/>
        <w:tabs>
          <w:tab w:leader="none" w:pos="860"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ONFLICTS OF INTEREST</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During your employment with the Company you will not:</w:t>
      </w:r>
    </w:p>
    <w:p>
      <w:pPr>
        <w:spacing w:after="0" w:line="216" w:lineRule="exact"/>
        <w:rPr>
          <w:sz w:val="20"/>
          <w:szCs w:val="20"/>
          <w:color w:val="auto"/>
        </w:rPr>
      </w:pPr>
    </w:p>
    <w:p>
      <w:pPr>
        <w:ind w:left="1700" w:hanging="847"/>
        <w:spacing w:after="0"/>
        <w:tabs>
          <w:tab w:leader="none" w:pos="17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engage in any activities that could detract from the proper performance of your duties; or</w:t>
      </w:r>
    </w:p>
    <w:p>
      <w:pPr>
        <w:spacing w:after="0" w:line="188" w:lineRule="exact"/>
        <w:rPr>
          <w:rFonts w:ascii="Arial" w:cs="Arial" w:eastAsia="Arial" w:hAnsi="Arial"/>
          <w:sz w:val="20"/>
          <w:szCs w:val="20"/>
          <w:color w:val="auto"/>
        </w:rPr>
      </w:pPr>
    </w:p>
    <w:p>
      <w:pPr>
        <w:jc w:val="both"/>
        <w:ind w:left="1700" w:hanging="847"/>
        <w:spacing w:after="0" w:line="250" w:lineRule="auto"/>
        <w:tabs>
          <w:tab w:leader="none" w:pos="17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engage or be concerned or interested in any other business activity (except for investments that do not exceed three per cent in nominal value of the issued share capital of any company quoted on a recognised stock exchange) without obtaining the prior written consent of the CEO.</w:t>
      </w:r>
    </w:p>
    <w:p>
      <w:pPr>
        <w:spacing w:after="0" w:line="145" w:lineRule="exact"/>
        <w:rPr>
          <w:sz w:val="20"/>
          <w:szCs w:val="20"/>
          <w:color w:val="auto"/>
        </w:rPr>
      </w:pPr>
    </w:p>
    <w:p>
      <w:pPr>
        <w:jc w:val="both"/>
        <w:ind w:left="860"/>
        <w:spacing w:after="0" w:line="246" w:lineRule="auto"/>
        <w:rPr>
          <w:sz w:val="20"/>
          <w:szCs w:val="20"/>
          <w:color w:val="auto"/>
        </w:rPr>
      </w:pPr>
      <w:r>
        <w:rPr>
          <w:rFonts w:ascii="Arial" w:cs="Arial" w:eastAsia="Arial" w:hAnsi="Arial"/>
          <w:sz w:val="20"/>
          <w:szCs w:val="20"/>
          <w:color w:val="auto"/>
        </w:rPr>
        <w:t>Notwithstanding the foregoing, you may serve on other boards of directors, with the approval of the Board (or Nominating and Corporate Governance Committee), or engage in religious, charitable or other community activities as long as such services and activities are disclosed to the Company and do not materially interfere with your performance of duties to the Company as provided in this Agreement.</w:t>
      </w:r>
    </w:p>
    <w:p>
      <w:pPr>
        <w:spacing w:after="0" w:line="145" w:lineRule="exact"/>
        <w:rPr>
          <w:sz w:val="20"/>
          <w:szCs w:val="20"/>
          <w:color w:val="auto"/>
        </w:rPr>
      </w:pPr>
    </w:p>
    <w:p>
      <w:pPr>
        <w:ind w:left="860" w:hanging="857"/>
        <w:spacing w:after="0"/>
        <w:tabs>
          <w:tab w:leader="none" w:pos="860" w:val="left"/>
        </w:tabs>
        <w:numPr>
          <w:ilvl w:val="0"/>
          <w:numId w:val="96"/>
        </w:numPr>
        <w:rPr>
          <w:rFonts w:ascii="Arial" w:cs="Arial" w:eastAsia="Arial" w:hAnsi="Arial"/>
          <w:sz w:val="20"/>
          <w:szCs w:val="20"/>
          <w:color w:val="auto"/>
        </w:rPr>
      </w:pPr>
      <w:r>
        <w:rPr>
          <w:rFonts w:ascii="Arial" w:cs="Arial" w:eastAsia="Arial" w:hAnsi="Arial"/>
          <w:sz w:val="20"/>
          <w:szCs w:val="20"/>
          <w:b w:val="1"/>
          <w:bCs w:val="1"/>
          <w:color w:val="auto"/>
        </w:rPr>
        <w:t>P</w:t>
      </w:r>
      <w:r>
        <w:rPr>
          <w:rFonts w:ascii="Arial" w:cs="Arial" w:eastAsia="Arial" w:hAnsi="Arial"/>
          <w:sz w:val="16"/>
          <w:szCs w:val="16"/>
          <w:b w:val="1"/>
          <w:bCs w:val="1"/>
          <w:color w:val="auto"/>
        </w:rPr>
        <w:t>OST</w:t>
      </w:r>
      <w:r>
        <w:rPr>
          <w:rFonts w:ascii="Arial" w:cs="Arial" w:eastAsia="Arial" w:hAnsi="Arial"/>
          <w:sz w:val="20"/>
          <w:szCs w:val="20"/>
          <w:b w:val="1"/>
          <w:bCs w:val="1"/>
          <w:color w:val="auto"/>
        </w:rPr>
        <w:t>-</w:t>
      </w:r>
      <w:r>
        <w:rPr>
          <w:rFonts w:ascii="Arial" w:cs="Arial" w:eastAsia="Arial" w:hAnsi="Arial"/>
          <w:sz w:val="16"/>
          <w:szCs w:val="16"/>
          <w:b w:val="1"/>
          <w:bCs w:val="1"/>
          <w:color w:val="auto"/>
        </w:rPr>
        <w:t>TERMINATION RESTRICTIONS</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You agree to comply with the provisions set out in Schedule 1.</w:t>
      </w:r>
    </w:p>
    <w:p>
      <w:pPr>
        <w:spacing w:after="0" w:line="210" w:lineRule="exact"/>
        <w:rPr>
          <w:sz w:val="20"/>
          <w:szCs w:val="20"/>
          <w:color w:val="auto"/>
        </w:rPr>
      </w:pPr>
    </w:p>
    <w:p>
      <w:pPr>
        <w:ind w:left="860" w:hanging="857"/>
        <w:spacing w:after="0"/>
        <w:tabs>
          <w:tab w:leader="none" w:pos="860" w:val="left"/>
        </w:tabs>
        <w:numPr>
          <w:ilvl w:val="0"/>
          <w:numId w:val="97"/>
        </w:numPr>
        <w:rPr>
          <w:rFonts w:ascii="Arial" w:cs="Arial" w:eastAsia="Arial" w:hAnsi="Arial"/>
          <w:sz w:val="20"/>
          <w:szCs w:val="20"/>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ISCIPLINARY AND</w:t>
      </w:r>
      <w:r>
        <w:rPr>
          <w:rFonts w:ascii="Arial" w:cs="Arial" w:eastAsia="Arial" w:hAnsi="Arial"/>
          <w:sz w:val="20"/>
          <w:szCs w:val="20"/>
          <w:b w:val="1"/>
          <w:bCs w:val="1"/>
          <w:color w:val="auto"/>
        </w:rPr>
        <w:t xml:space="preserve"> G</w:t>
      </w:r>
      <w:r>
        <w:rPr>
          <w:rFonts w:ascii="Arial" w:cs="Arial" w:eastAsia="Arial" w:hAnsi="Arial"/>
          <w:sz w:val="16"/>
          <w:szCs w:val="16"/>
          <w:b w:val="1"/>
          <w:bCs w:val="1"/>
          <w:color w:val="auto"/>
        </w:rPr>
        <w:t>RIEVANCE PROCEDURES</w:t>
      </w:r>
    </w:p>
    <w:p>
      <w:pPr>
        <w:spacing w:after="0" w:line="222" w:lineRule="exact"/>
        <w:rPr>
          <w:sz w:val="20"/>
          <w:szCs w:val="20"/>
          <w:color w:val="auto"/>
        </w:rPr>
      </w:pPr>
    </w:p>
    <w:p>
      <w:pPr>
        <w:jc w:val="both"/>
        <w:ind w:left="860"/>
        <w:spacing w:after="0" w:line="263" w:lineRule="auto"/>
        <w:rPr>
          <w:sz w:val="20"/>
          <w:szCs w:val="20"/>
          <w:color w:val="auto"/>
        </w:rPr>
      </w:pPr>
      <w:r>
        <w:rPr>
          <w:rFonts w:ascii="Arial" w:cs="Arial" w:eastAsia="Arial" w:hAnsi="Arial"/>
          <w:sz w:val="19"/>
          <w:szCs w:val="19"/>
          <w:color w:val="auto"/>
        </w:rPr>
        <w:t>As a condition of employment, you will be required to sign the Company’s Code of Business Conduct &amp; Ethics. If you wish to appeal against a disciplinary decision you may apply in writing to the Company’s Chief Human Resources Officer. If you wish to raise a grievance, please apply in writing to the Company’s Chief Compliance Officer. The Company reserves the right to suspend you with pay pending the outcome of any disciplinary proceedings.</w:t>
      </w:r>
    </w:p>
    <w:p>
      <w:pPr>
        <w:spacing w:after="0" w:line="130" w:lineRule="exact"/>
        <w:rPr>
          <w:sz w:val="20"/>
          <w:szCs w:val="20"/>
          <w:color w:val="auto"/>
        </w:rPr>
      </w:pPr>
    </w:p>
    <w:p>
      <w:pPr>
        <w:ind w:left="860" w:hanging="857"/>
        <w:spacing w:after="0"/>
        <w:tabs>
          <w:tab w:leader="none" w:pos="860" w:val="left"/>
        </w:tabs>
        <w:numPr>
          <w:ilvl w:val="0"/>
          <w:numId w:val="98"/>
        </w:numPr>
        <w:rPr>
          <w:rFonts w:ascii="Arial" w:cs="Arial" w:eastAsia="Arial" w:hAnsi="Arial"/>
          <w:sz w:val="20"/>
          <w:szCs w:val="20"/>
          <w:color w:val="auto"/>
        </w:rPr>
      </w:pPr>
      <w:r>
        <w:rPr>
          <w:rFonts w:ascii="Arial" w:cs="Arial" w:eastAsia="Arial" w:hAnsi="Arial"/>
          <w:sz w:val="20"/>
          <w:szCs w:val="20"/>
          <w:b w:val="1"/>
          <w:bCs w:val="1"/>
          <w:color w:val="auto"/>
        </w:rPr>
        <w:t>P</w:t>
      </w:r>
      <w:r>
        <w:rPr>
          <w:rFonts w:ascii="Arial" w:cs="Arial" w:eastAsia="Arial" w:hAnsi="Arial"/>
          <w:sz w:val="16"/>
          <w:szCs w:val="16"/>
          <w:b w:val="1"/>
          <w:bCs w:val="1"/>
          <w:color w:val="auto"/>
        </w:rPr>
        <w:t>REMISES</w:t>
      </w:r>
    </w:p>
    <w:p>
      <w:pPr>
        <w:spacing w:after="0" w:line="222" w:lineRule="exact"/>
        <w:rPr>
          <w:sz w:val="20"/>
          <w:szCs w:val="20"/>
          <w:color w:val="auto"/>
        </w:rPr>
      </w:pPr>
    </w:p>
    <w:p>
      <w:pPr>
        <w:ind w:left="860"/>
        <w:spacing w:after="0" w:line="287" w:lineRule="auto"/>
        <w:rPr>
          <w:sz w:val="20"/>
          <w:szCs w:val="20"/>
          <w:color w:val="auto"/>
        </w:rPr>
      </w:pPr>
      <w:r>
        <w:rPr>
          <w:rFonts w:ascii="Arial" w:cs="Arial" w:eastAsia="Arial" w:hAnsi="Arial"/>
          <w:sz w:val="19"/>
          <w:szCs w:val="19"/>
          <w:color w:val="auto"/>
        </w:rPr>
        <w:t>Where notice of termination has been served by the Company or by you, the Company may exclude you from Company premises for the notice period or the remainder of the notice period (up to a maximum of three months), as applicable.</w:t>
      </w:r>
    </w:p>
    <w:p>
      <w:pPr>
        <w:spacing w:after="0" w:line="106" w:lineRule="exact"/>
        <w:rPr>
          <w:sz w:val="20"/>
          <w:szCs w:val="20"/>
          <w:color w:val="auto"/>
        </w:rPr>
      </w:pPr>
    </w:p>
    <w:p>
      <w:pPr>
        <w:ind w:left="860" w:hanging="857"/>
        <w:spacing w:after="0"/>
        <w:tabs>
          <w:tab w:leader="none" w:pos="860"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USPENSION</w:t>
      </w:r>
    </w:p>
    <w:p>
      <w:pPr>
        <w:spacing w:after="0" w:line="222" w:lineRule="exact"/>
        <w:rPr>
          <w:sz w:val="20"/>
          <w:szCs w:val="20"/>
          <w:color w:val="auto"/>
        </w:rPr>
      </w:pPr>
    </w:p>
    <w:p>
      <w:pPr>
        <w:ind w:left="860"/>
        <w:spacing w:after="0" w:line="260" w:lineRule="auto"/>
        <w:rPr>
          <w:sz w:val="20"/>
          <w:szCs w:val="20"/>
          <w:color w:val="auto"/>
        </w:rPr>
      </w:pPr>
      <w:r>
        <w:rPr>
          <w:rFonts w:ascii="Arial" w:cs="Arial" w:eastAsia="Arial" w:hAnsi="Arial"/>
          <w:sz w:val="20"/>
          <w:szCs w:val="20"/>
          <w:color w:val="auto"/>
        </w:rPr>
        <w:t>The Company may suspend you from the performance of any of your duties during any period in which the Company is carrying out an investigation into any alleged acts or defaults by you.</w:t>
      </w:r>
    </w:p>
    <w:p>
      <w:pPr>
        <w:spacing w:after="0" w:line="157" w:lineRule="exact"/>
        <w:rPr>
          <w:sz w:val="20"/>
          <w:szCs w:val="20"/>
          <w:color w:val="auto"/>
        </w:rPr>
      </w:pPr>
    </w:p>
    <w:p>
      <w:pPr>
        <w:ind w:left="860" w:hanging="857"/>
        <w:spacing w:after="0"/>
        <w:tabs>
          <w:tab w:leader="none" w:pos="860" w:val="left"/>
        </w:tabs>
        <w:numPr>
          <w:ilvl w:val="0"/>
          <w:numId w:val="100"/>
        </w:numPr>
        <w:rPr>
          <w:rFonts w:ascii="Arial" w:cs="Arial" w:eastAsia="Arial" w:hAnsi="Arial"/>
          <w:sz w:val="20"/>
          <w:szCs w:val="20"/>
          <w:color w:val="auto"/>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OLLECTIVE</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GREEMENTS</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There are no collective agreements applicable to you or which affect your terms of employment.</w:t>
      </w:r>
    </w:p>
    <w:p>
      <w:pPr>
        <w:spacing w:after="0" w:line="196" w:lineRule="exact"/>
        <w:rPr>
          <w:sz w:val="20"/>
          <w:szCs w:val="20"/>
          <w:color w:val="auto"/>
        </w:rPr>
      </w:pPr>
    </w:p>
    <w:p>
      <w:pPr>
        <w:ind w:left="860" w:hanging="857"/>
        <w:spacing w:after="0"/>
        <w:tabs>
          <w:tab w:leader="none" w:pos="860" w:val="left"/>
        </w:tabs>
        <w:numPr>
          <w:ilvl w:val="0"/>
          <w:numId w:val="101"/>
        </w:numPr>
        <w:rPr>
          <w:rFonts w:ascii="Arial" w:cs="Arial" w:eastAsia="Arial" w:hAnsi="Arial"/>
          <w:sz w:val="20"/>
          <w:szCs w:val="20"/>
          <w:color w:val="auto"/>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HANGES TO TERMS AND CONDITIONS OF EMPLOYMENT</w:t>
      </w:r>
    </w:p>
    <w:p>
      <w:pPr>
        <w:spacing w:after="0" w:line="222" w:lineRule="exact"/>
        <w:rPr>
          <w:sz w:val="20"/>
          <w:szCs w:val="20"/>
          <w:color w:val="auto"/>
        </w:rPr>
      </w:pPr>
    </w:p>
    <w:p>
      <w:pPr>
        <w:ind w:left="860" w:right="20"/>
        <w:spacing w:after="0" w:line="260" w:lineRule="auto"/>
        <w:rPr>
          <w:sz w:val="20"/>
          <w:szCs w:val="20"/>
          <w:color w:val="auto"/>
        </w:rPr>
      </w:pPr>
      <w:r>
        <w:rPr>
          <w:rFonts w:ascii="Arial" w:cs="Arial" w:eastAsia="Arial" w:hAnsi="Arial"/>
          <w:sz w:val="20"/>
          <w:szCs w:val="20"/>
          <w:color w:val="auto"/>
        </w:rPr>
        <w:t>The Company reserves the right to make reasonable changes to any of your terms of employment. You will be notified in writing of any change as soon as possible and in any event within one month of the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187325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420" w:right="459" w:bottom="1440" w:gutter="0" w:footer="0" w:header="0"/>
        </w:sectPr>
      </w:pPr>
    </w:p>
    <w:bookmarkStart w:id="145" w:name="page146"/>
    <w:bookmarkEnd w:id="145"/>
    <w:p>
      <w:pPr>
        <w:ind w:left="860" w:hanging="857"/>
        <w:spacing w:after="0"/>
        <w:tabs>
          <w:tab w:leader="none" w:pos="860" w:val="left"/>
        </w:tabs>
        <w:numPr>
          <w:ilvl w:val="0"/>
          <w:numId w:val="102"/>
        </w:numPr>
        <w:rPr>
          <w:rFonts w:ascii="Arial" w:cs="Arial" w:eastAsia="Arial" w:hAnsi="Arial"/>
          <w:sz w:val="20"/>
          <w:szCs w:val="20"/>
          <w:color w:val="auto"/>
        </w:rPr>
      </w:pPr>
      <w:r>
        <w:rPr>
          <w:rFonts w:ascii="Arial" w:cs="Arial" w:eastAsia="Arial" w:hAnsi="Arial"/>
          <w:sz w:val="20"/>
          <w:szCs w:val="20"/>
          <w:b w:val="1"/>
          <w:bCs w:val="1"/>
          <w:color w:val="auto"/>
        </w:rPr>
        <w:t>G</w:t>
      </w:r>
      <w:r>
        <w:rPr>
          <w:rFonts w:ascii="Arial" w:cs="Arial" w:eastAsia="Arial" w:hAnsi="Arial"/>
          <w:sz w:val="16"/>
          <w:szCs w:val="16"/>
          <w:b w:val="1"/>
          <w:bCs w:val="1"/>
          <w:color w:val="auto"/>
        </w:rPr>
        <w:t>ENERAL</w:t>
      </w:r>
    </w:p>
    <w:p>
      <w:pPr>
        <w:spacing w:after="0" w:line="222" w:lineRule="exact"/>
        <w:rPr>
          <w:sz w:val="20"/>
          <w:szCs w:val="20"/>
          <w:color w:val="auto"/>
        </w:rPr>
      </w:pPr>
    </w:p>
    <w:p>
      <w:pPr>
        <w:ind w:left="860" w:hanging="849"/>
        <w:spacing w:after="0" w:line="260" w:lineRule="auto"/>
        <w:tabs>
          <w:tab w:leader="none" w:pos="840" w:val="left"/>
        </w:tabs>
        <w:rPr>
          <w:sz w:val="20"/>
          <w:szCs w:val="20"/>
          <w:color w:val="auto"/>
        </w:rPr>
      </w:pPr>
      <w:r>
        <w:rPr>
          <w:rFonts w:ascii="Arial" w:cs="Arial" w:eastAsia="Arial" w:hAnsi="Arial"/>
          <w:sz w:val="20"/>
          <w:szCs w:val="20"/>
          <w:color w:val="auto"/>
        </w:rPr>
        <w:t>26.1</w:t>
      </w:r>
      <w:r>
        <w:rPr>
          <w:sz w:val="20"/>
          <w:szCs w:val="20"/>
          <w:color w:val="auto"/>
        </w:rPr>
        <w:tab/>
      </w:r>
      <w:r>
        <w:rPr>
          <w:rFonts w:ascii="Arial" w:cs="Arial" w:eastAsia="Arial" w:hAnsi="Arial"/>
          <w:sz w:val="20"/>
          <w:szCs w:val="20"/>
          <w:color w:val="auto"/>
        </w:rPr>
        <w:t>A person, firm or company which is not a party to this Agreement shall have no right under the Contracts (Rights of Third Parties) Act 1999 to enforce any of its terms.</w:t>
      </w:r>
    </w:p>
    <w:p>
      <w:pPr>
        <w:spacing w:after="0" w:line="136" w:lineRule="exact"/>
        <w:rPr>
          <w:sz w:val="20"/>
          <w:szCs w:val="20"/>
          <w:color w:val="auto"/>
        </w:rPr>
      </w:pPr>
    </w:p>
    <w:p>
      <w:pPr>
        <w:ind w:left="860" w:hanging="849"/>
        <w:spacing w:after="0" w:line="287" w:lineRule="auto"/>
        <w:tabs>
          <w:tab w:leader="none" w:pos="84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19"/>
          <w:szCs w:val="19"/>
          <w:color w:val="auto"/>
        </w:rPr>
        <w:t>For the avoidance of doubt, any amount paid to you or any benefit provided to you shall be subject to the deduction of applicable income tax and national insurance contributions (or other applicable social security contributions).</w:t>
      </w:r>
    </w:p>
    <w:p>
      <w:pPr>
        <w:spacing w:after="0" w:line="11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18"/>
          <w:szCs w:val="18"/>
          <w:color w:val="auto"/>
        </w:rPr>
        <w:t>English law shall apply to this Agreement and both you and the Company submit to the jurisdiction of the English courts.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80"/>
        <w:spacing w:after="0"/>
        <w:rPr>
          <w:sz w:val="20"/>
          <w:szCs w:val="20"/>
          <w:color w:val="auto"/>
        </w:rPr>
      </w:pPr>
      <w:r>
        <w:rPr>
          <w:rFonts w:ascii="Arial" w:cs="Arial" w:eastAsia="Arial" w:hAnsi="Arial"/>
          <w:sz w:val="20"/>
          <w:szCs w:val="20"/>
          <w:i w:val="1"/>
          <w:i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212090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414" w:right="45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0"/>
        </w:trPr>
        <w:tc>
          <w:tcPr>
            <w:tcW w:w="2800" w:type="dxa"/>
            <w:vAlign w:val="bottom"/>
            <w:gridSpan w:val="3"/>
          </w:tcPr>
          <w:p>
            <w:pPr>
              <w:spacing w:after="0"/>
              <w:rPr>
                <w:sz w:val="20"/>
                <w:szCs w:val="20"/>
                <w:color w:val="auto"/>
              </w:rPr>
            </w:pPr>
            <w:r>
              <w:rPr>
                <w:rFonts w:ascii="Arial" w:cs="Arial" w:eastAsia="Arial" w:hAnsi="Arial"/>
                <w:sz w:val="20"/>
                <w:szCs w:val="20"/>
                <w:color w:val="auto"/>
              </w:rPr>
              <w:t>Signed: /s/ Geoff MacKay</w:t>
            </w:r>
          </w:p>
        </w:tc>
        <w:tc>
          <w:tcPr>
            <w:tcW w:w="1900" w:type="dxa"/>
            <w:vAlign w:val="bottom"/>
            <w:gridSpan w:val="2"/>
          </w:tcPr>
          <w:p>
            <w:pPr>
              <w:ind w:left="120"/>
              <w:spacing w:after="0"/>
              <w:rPr>
                <w:sz w:val="20"/>
                <w:szCs w:val="20"/>
                <w:color w:val="auto"/>
              </w:rPr>
            </w:pPr>
            <w:r>
              <w:rPr>
                <w:rFonts w:ascii="Arial" w:cs="Arial" w:eastAsia="Arial" w:hAnsi="Arial"/>
                <w:sz w:val="20"/>
                <w:szCs w:val="20"/>
                <w:color w:val="auto"/>
              </w:rPr>
              <w:t>Dated: 06-Oct-2021</w:t>
            </w:r>
          </w:p>
        </w:tc>
      </w:tr>
      <w:tr>
        <w:trPr>
          <w:trHeight w:val="20"/>
        </w:trPr>
        <w:tc>
          <w:tcPr>
            <w:tcW w:w="6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457"/>
        </w:trPr>
        <w:tc>
          <w:tcPr>
            <w:tcW w:w="2800" w:type="dxa"/>
            <w:vAlign w:val="bottom"/>
            <w:gridSpan w:val="3"/>
          </w:tcPr>
          <w:p>
            <w:pPr>
              <w:spacing w:after="0"/>
              <w:rPr>
                <w:sz w:val="20"/>
                <w:szCs w:val="20"/>
                <w:color w:val="auto"/>
              </w:rPr>
            </w:pPr>
            <w:r>
              <w:rPr>
                <w:rFonts w:ascii="Arial" w:cs="Arial" w:eastAsia="Arial" w:hAnsi="Arial"/>
                <w:sz w:val="20"/>
                <w:szCs w:val="20"/>
                <w:color w:val="auto"/>
                <w:w w:val="91"/>
              </w:rPr>
              <w:t>For and on behalf of the Company</w:t>
            </w: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 agree to the terms and conditions set out in the above Agreement.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2660" w:val="left"/>
        </w:tabs>
        <w:rPr>
          <w:sz w:val="20"/>
          <w:szCs w:val="20"/>
          <w:color w:val="auto"/>
        </w:rPr>
      </w:pPr>
      <w:r>
        <w:rPr>
          <w:rFonts w:ascii="Arial" w:cs="Arial" w:eastAsia="Arial" w:hAnsi="Arial"/>
          <w:sz w:val="20"/>
          <w:szCs w:val="20"/>
          <w:color w:val="auto"/>
        </w:rPr>
        <w:t>Signed: /s/ Essra Ridha</w:t>
      </w:r>
      <w:r>
        <w:rPr>
          <w:sz w:val="20"/>
          <w:szCs w:val="20"/>
          <w:color w:val="auto"/>
        </w:rPr>
        <w:tab/>
      </w:r>
      <w:r>
        <w:rPr>
          <w:rFonts w:ascii="Arial" w:cs="Arial" w:eastAsia="Arial" w:hAnsi="Arial"/>
          <w:sz w:val="18"/>
          <w:szCs w:val="18"/>
          <w:color w:val="auto"/>
        </w:rPr>
        <w:t>Dated: 05-Oct-2021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297815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-14605</wp:posOffset>
            </wp:positionV>
            <wp:extent cx="8877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88773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-14605</wp:posOffset>
            </wp:positionV>
            <wp:extent cx="7505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ectPr>
          <w:pgSz w:w="11900" w:h="16838" w:orient="portrait"/>
          <w:cols w:equalWidth="0" w:num="1">
            <w:col w:w="9979"/>
          </w:cols>
          <w:pgMar w:left="480" w:top="598"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CHEDULE</w:t>
      </w:r>
      <w:r>
        <w:rPr>
          <w:rFonts w:ascii="Arial" w:cs="Arial" w:eastAsia="Arial" w:hAnsi="Arial"/>
          <w:sz w:val="20"/>
          <w:szCs w:val="20"/>
          <w:b w:val="1"/>
          <w:bCs w:val="1"/>
          <w:color w:val="auto"/>
        </w:rPr>
        <w:t xml:space="preserv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Post-termination restrictions</w:t>
      </w:r>
    </w:p>
    <w:p>
      <w:pPr>
        <w:spacing w:after="0" w:line="216" w:lineRule="exact"/>
        <w:rPr>
          <w:sz w:val="20"/>
          <w:szCs w:val="20"/>
          <w:color w:val="auto"/>
        </w:rPr>
      </w:pPr>
    </w:p>
    <w:p>
      <w:pPr>
        <w:ind w:left="860" w:hanging="857"/>
        <w:spacing w:after="0"/>
        <w:tabs>
          <w:tab w:leader="none" w:pos="860" w:val="left"/>
        </w:tabs>
        <w:numPr>
          <w:ilvl w:val="0"/>
          <w:numId w:val="103"/>
        </w:numPr>
        <w:rPr>
          <w:rFonts w:ascii="Arial" w:cs="Arial" w:eastAsia="Arial" w:hAnsi="Arial"/>
          <w:sz w:val="20"/>
          <w:szCs w:val="20"/>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EFINITIONS</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In this Schedule:</w:t>
      </w:r>
    </w:p>
    <w:p>
      <w:pPr>
        <w:spacing w:after="0" w:line="183" w:lineRule="exact"/>
        <w:rPr>
          <w:sz w:val="20"/>
          <w:szCs w:val="20"/>
          <w:color w:val="auto"/>
        </w:rPr>
      </w:pPr>
    </w:p>
    <w:p>
      <w:pPr>
        <w:jc w:val="both"/>
        <w:ind w:left="86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w:t>
      </w:r>
      <w:r>
        <w:rPr>
          <w:rFonts w:ascii="Arial" w:cs="Arial" w:eastAsia="Arial" w:hAnsi="Arial"/>
          <w:sz w:val="20"/>
          <w:szCs w:val="20"/>
          <w:color w:val="auto"/>
        </w:rPr>
        <w:t>” means the business or businesses of the Company or any Group Company in or with which you have been involved or concerned at any time during the period of 12 months prior to the Relevant Date;</w:t>
      </w:r>
    </w:p>
    <w:p>
      <w:pPr>
        <w:spacing w:after="0" w:line="123" w:lineRule="exact"/>
        <w:rPr>
          <w:sz w:val="20"/>
          <w:szCs w:val="20"/>
          <w:color w:val="auto"/>
        </w:rPr>
      </w:pPr>
    </w:p>
    <w:p>
      <w:pPr>
        <w:jc w:val="both"/>
        <w:ind w:left="860" w:right="2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directly or indirectly</w:t>
      </w:r>
      <w:r>
        <w:rPr>
          <w:rFonts w:ascii="Arial" w:cs="Arial" w:eastAsia="Arial" w:hAnsi="Arial"/>
          <w:sz w:val="20"/>
          <w:szCs w:val="20"/>
          <w:color w:val="auto"/>
        </w:rPr>
        <w:t>” means you acting either alone or jointly with or on behalf of or by means of any other person, firm or company whether as principal, partner, manager, employee, contractor, director, consultant, investor or otherwise (provided that you shall not be regarded as an investor in a company unless you hold an investment by way of shares or other securities of more than 5% of the total issued share capital in that company, whether or not it is listed or dealt in on a recognised stock exchange);</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Company</w:t>
      </w:r>
      <w:r>
        <w:rPr>
          <w:rFonts w:ascii="Arial" w:cs="Arial" w:eastAsia="Arial" w:hAnsi="Arial"/>
          <w:sz w:val="20"/>
          <w:szCs w:val="20"/>
          <w:color w:val="auto"/>
        </w:rPr>
        <w:t>” means any company which for the time being is:</w:t>
      </w:r>
    </w:p>
    <w:p>
      <w:pPr>
        <w:spacing w:after="0" w:line="222" w:lineRule="exact"/>
        <w:rPr>
          <w:sz w:val="20"/>
          <w:szCs w:val="20"/>
          <w:color w:val="auto"/>
        </w:rPr>
      </w:pPr>
    </w:p>
    <w:p>
      <w:pPr>
        <w:ind w:left="1700" w:hanging="847"/>
        <w:spacing w:after="0"/>
        <w:tabs>
          <w:tab w:leader="none" w:pos="17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 parent undertaking (as defined by the Companies Act 2006) of the Company; or</w:t>
      </w:r>
    </w:p>
    <w:p>
      <w:pPr>
        <w:spacing w:after="0" w:line="215" w:lineRule="exact"/>
        <w:rPr>
          <w:rFonts w:ascii="Arial" w:cs="Arial" w:eastAsia="Arial" w:hAnsi="Arial"/>
          <w:sz w:val="20"/>
          <w:szCs w:val="20"/>
          <w:color w:val="auto"/>
        </w:rPr>
      </w:pPr>
    </w:p>
    <w:p>
      <w:pPr>
        <w:ind w:left="1700" w:hanging="847"/>
        <w:spacing w:after="0"/>
        <w:tabs>
          <w:tab w:leader="none" w:pos="17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subsidiary undertaking (as defined by the Companies Act 2006) of any such parent undertaking or of the Company;</w:t>
      </w:r>
    </w:p>
    <w:p>
      <w:pPr>
        <w:spacing w:after="0" w:line="215" w:lineRule="exact"/>
        <w:rPr>
          <w:sz w:val="20"/>
          <w:szCs w:val="20"/>
          <w:color w:val="auto"/>
        </w:rPr>
      </w:pPr>
    </w:p>
    <w:p>
      <w:pPr>
        <w:jc w:val="both"/>
        <w:ind w:left="860" w:right="2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Personnel”</w:t>
      </w:r>
      <w:r>
        <w:rPr>
          <w:rFonts w:ascii="Arial" w:cs="Arial" w:eastAsia="Arial" w:hAnsi="Arial"/>
          <w:sz w:val="18"/>
          <w:szCs w:val="18"/>
          <w:color w:val="auto"/>
        </w:rPr>
        <w:t xml:space="preserve"> means any person who is at the Relevant Date or was at any time during the period of 12 months prior to the Relevant Date employed by or engaged in the Business in an executive or senior managerial or technical capacity and with whom you had dealings other than in a minimal and non-material way at any time during the said period;</w:t>
      </w:r>
    </w:p>
    <w:p>
      <w:pPr>
        <w:spacing w:after="0" w:line="103" w:lineRule="exact"/>
        <w:rPr>
          <w:sz w:val="20"/>
          <w:szCs w:val="20"/>
          <w:color w:val="auto"/>
        </w:rPr>
      </w:pPr>
    </w:p>
    <w:p>
      <w:pPr>
        <w:jc w:val="both"/>
        <w:ind w:left="860" w:right="2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Prospective Client”</w:t>
      </w:r>
      <w:r>
        <w:rPr>
          <w:rFonts w:ascii="Arial" w:cs="Arial" w:eastAsia="Arial" w:hAnsi="Arial"/>
          <w:sz w:val="20"/>
          <w:szCs w:val="20"/>
          <w:color w:val="auto"/>
        </w:rPr>
        <w:t xml:space="preserve"> means any person, firm or company to whom or which at any time during the period of 6 months prior to the Relevant Date the Company or any Group Company was actively and directly seeking to supply goods and/or services for the purposes of the Business and with whom or which you had dealings other than in a minimal and non-material way at any time during the said period;</w:t>
      </w:r>
    </w:p>
    <w:p>
      <w:pPr>
        <w:spacing w:after="0" w:line="156" w:lineRule="exact"/>
        <w:rPr>
          <w:sz w:val="20"/>
          <w:szCs w:val="20"/>
          <w:color w:val="auto"/>
        </w:rPr>
      </w:pPr>
    </w:p>
    <w:p>
      <w:pPr>
        <w:jc w:val="both"/>
        <w:ind w:left="860" w:righ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Area”</w:t>
      </w:r>
      <w:r>
        <w:rPr>
          <w:rFonts w:ascii="Arial" w:cs="Arial" w:eastAsia="Arial" w:hAnsi="Arial"/>
          <w:sz w:val="20"/>
          <w:szCs w:val="20"/>
          <w:color w:val="auto"/>
        </w:rPr>
        <w:t xml:space="preserve"> means anywhere in the world in which the Company or any Group Company has carried on business in which you have been involved or concerned other than in a minimal and non-material way at any time during the period of 12 months prior to the Relevant Date;</w:t>
      </w:r>
    </w:p>
    <w:p>
      <w:pPr>
        <w:spacing w:after="0" w:line="137" w:lineRule="exact"/>
        <w:rPr>
          <w:sz w:val="20"/>
          <w:szCs w:val="20"/>
          <w:color w:val="auto"/>
        </w:rPr>
      </w:pPr>
    </w:p>
    <w:p>
      <w:pPr>
        <w:jc w:val="both"/>
        <w:ind w:left="860" w:right="2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Client”</w:t>
      </w:r>
      <w:r>
        <w:rPr>
          <w:rFonts w:ascii="Arial" w:cs="Arial" w:eastAsia="Arial" w:hAnsi="Arial"/>
          <w:sz w:val="20"/>
          <w:szCs w:val="20"/>
          <w:color w:val="auto"/>
        </w:rPr>
        <w:t xml:space="preserve"> means any person, firm or company who or that at any time during the period of 12 months prior to the Relevant Date is or was a client or customer of the Company or any Group Company or was in the habit of dealing under contract with the Company or any Group Company and with whom or which you had dealings other than in a minimal and non- material way at any time during the said period;</w:t>
      </w:r>
    </w:p>
    <w:p>
      <w:pPr>
        <w:spacing w:after="0" w:line="143" w:lineRule="exact"/>
        <w:rPr>
          <w:sz w:val="20"/>
          <w:szCs w:val="20"/>
          <w:color w:val="auto"/>
        </w:rPr>
      </w:pPr>
    </w:p>
    <w:p>
      <w:pPr>
        <w:jc w:val="both"/>
        <w:ind w:left="860" w:right="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Date”</w:t>
      </w:r>
      <w:r>
        <w:rPr>
          <w:rFonts w:ascii="Arial" w:cs="Arial" w:eastAsia="Arial" w:hAnsi="Arial"/>
          <w:sz w:val="20"/>
          <w:szCs w:val="20"/>
          <w:color w:val="auto"/>
        </w:rPr>
        <w:t xml:space="preserve"> means the earlier of the Termination Date and the date on which any period of suspension or exclusion under clause 23 begins;</w:t>
      </w:r>
    </w:p>
    <w:p>
      <w:pPr>
        <w:spacing w:after="0" w:line="136" w:lineRule="exact"/>
        <w:rPr>
          <w:sz w:val="20"/>
          <w:szCs w:val="20"/>
          <w:color w:val="auto"/>
        </w:rPr>
      </w:pPr>
    </w:p>
    <w:p>
      <w:pPr>
        <w:jc w:val="both"/>
        <w:ind w:left="86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Period”</w:t>
      </w:r>
      <w:r>
        <w:rPr>
          <w:rFonts w:ascii="Arial" w:cs="Arial" w:eastAsia="Arial" w:hAnsi="Arial"/>
          <w:sz w:val="20"/>
          <w:szCs w:val="20"/>
          <w:color w:val="auto"/>
        </w:rPr>
        <w:t xml:space="preserve"> means the period of 12 months from the Termination Date, reduced by any period immediately prior to the Termination Date during which you have been suspended pursuant to clause 23.</w:t>
      </w:r>
    </w:p>
    <w:p>
      <w:pPr>
        <w:spacing w:after="0" w:line="123" w:lineRule="exact"/>
        <w:rPr>
          <w:sz w:val="20"/>
          <w:szCs w:val="20"/>
          <w:color w:val="auto"/>
        </w:rPr>
      </w:pPr>
    </w:p>
    <w:p>
      <w:pPr>
        <w:jc w:val="both"/>
        <w:ind w:left="86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Supplier”</w:t>
      </w:r>
      <w:r>
        <w:rPr>
          <w:rFonts w:ascii="Arial" w:cs="Arial" w:eastAsia="Arial" w:hAnsi="Arial"/>
          <w:sz w:val="20"/>
          <w:szCs w:val="20"/>
          <w:color w:val="auto"/>
        </w:rPr>
        <w:t xml:space="preserve"> means any person, firm or company who or that at any time during the period of 12 months prior to the Relevant Date was a supplier of any goods or services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182880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60" w:top="414" w:right="439" w:bottom="1440" w:gutter="0" w:footer="0" w:header="0"/>
        </w:sectPr>
      </w:pPr>
    </w:p>
    <w:bookmarkStart w:id="148" w:name="page149"/>
    <w:bookmarkEnd w:id="148"/>
    <w:p>
      <w:pPr>
        <w:ind w:left="860" w:right="20"/>
        <w:spacing w:after="0" w:line="287" w:lineRule="auto"/>
        <w:rPr>
          <w:sz w:val="20"/>
          <w:szCs w:val="20"/>
          <w:color w:val="auto"/>
        </w:rPr>
      </w:pPr>
      <w:r>
        <w:rPr>
          <w:rFonts w:ascii="Arial" w:cs="Arial" w:eastAsia="Arial" w:hAnsi="Arial"/>
          <w:sz w:val="19"/>
          <w:szCs w:val="19"/>
          <w:color w:val="auto"/>
        </w:rPr>
        <w:t>than utilities and goods or services supplied for administrative purposes) to the Company or any Group Company and with whom or which you had dealings other than in a minimal and non-material way at any time during the said period.</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xml:space="preserve"> means the date on which your employment with the Company terminates.</w:t>
      </w:r>
    </w:p>
    <w:p>
      <w:pPr>
        <w:spacing w:after="0" w:line="202" w:lineRule="exact"/>
        <w:rPr>
          <w:sz w:val="20"/>
          <w:szCs w:val="20"/>
          <w:color w:val="auto"/>
        </w:rPr>
      </w:pPr>
    </w:p>
    <w:p>
      <w:pPr>
        <w:ind w:left="860" w:hanging="857"/>
        <w:spacing w:after="0"/>
        <w:tabs>
          <w:tab w:leader="none" w:pos="860" w:val="left"/>
        </w:tabs>
        <w:numPr>
          <w:ilvl w:val="0"/>
          <w:numId w:val="105"/>
        </w:numPr>
        <w:rPr>
          <w:rFonts w:ascii="Arial" w:cs="Arial" w:eastAsia="Arial" w:hAnsi="Arial"/>
          <w:sz w:val="20"/>
          <w:szCs w:val="20"/>
          <w:color w:val="auto"/>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ESTRICTIONS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ND</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BLIGATIONS</w:t>
      </w:r>
    </w:p>
    <w:p>
      <w:pPr>
        <w:spacing w:after="0" w:line="22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You shall not without the prior written consent of the Board directly or indirectly at any time during the Relevant Period:</w:t>
      </w:r>
    </w:p>
    <w:p>
      <w:pPr>
        <w:spacing w:after="0" w:line="202" w:lineRule="exact"/>
        <w:rPr>
          <w:sz w:val="20"/>
          <w:szCs w:val="20"/>
          <w:color w:val="auto"/>
        </w:rPr>
      </w:pPr>
    </w:p>
    <w:p>
      <w:pPr>
        <w:jc w:val="both"/>
        <w:ind w:left="1700" w:right="20" w:hanging="847"/>
        <w:spacing w:after="0" w:line="246" w:lineRule="auto"/>
        <w:tabs>
          <w:tab w:leader="none" w:pos="17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accept employment or consult in any role in which you would be working, consulting or advising on </w:t>
      </w:r>
      <w:r>
        <w:rPr>
          <w:rFonts w:ascii="Arial" w:cs="Arial" w:eastAsia="Arial" w:hAnsi="Arial"/>
          <w:sz w:val="20"/>
          <w:szCs w:val="20"/>
          <w:i w:val="1"/>
          <w:iCs w:val="1"/>
          <w:color w:val="auto"/>
        </w:rPr>
        <w:t>ex vivo</w:t>
      </w:r>
      <w:r>
        <w:rPr>
          <w:rFonts w:ascii="Arial" w:cs="Arial" w:eastAsia="Arial" w:hAnsi="Arial"/>
          <w:sz w:val="20"/>
          <w:szCs w:val="20"/>
          <w:color w:val="auto"/>
        </w:rPr>
        <w:t xml:space="preserve"> lentiviral or adeno-associated virus gene therapy products or product candidates, in each case for diseases on which you have worked, or on which you have received Company confidential information, during your employment with the Company;</w:t>
      </w:r>
    </w:p>
    <w:p>
      <w:pPr>
        <w:spacing w:after="0" w:line="150" w:lineRule="exact"/>
        <w:rPr>
          <w:rFonts w:ascii="Arial" w:cs="Arial" w:eastAsia="Arial" w:hAnsi="Arial"/>
          <w:sz w:val="20"/>
          <w:szCs w:val="20"/>
          <w:color w:val="auto"/>
        </w:rPr>
      </w:pPr>
    </w:p>
    <w:p>
      <w:pPr>
        <w:ind w:left="1700" w:hanging="847"/>
        <w:spacing w:after="0"/>
        <w:tabs>
          <w:tab w:leader="none" w:pos="17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(i)solicit or entice or endeavour to solicit or entice business from; or</w:t>
      </w:r>
    </w:p>
    <w:p>
      <w:pPr>
        <w:spacing w:after="0" w:line="216" w:lineRule="exact"/>
        <w:rPr>
          <w:sz w:val="20"/>
          <w:szCs w:val="20"/>
          <w:color w:val="auto"/>
        </w:rPr>
      </w:pPr>
    </w:p>
    <w:p>
      <w:pPr>
        <w:ind w:left="1720"/>
        <w:spacing w:after="0"/>
        <w:tabs>
          <w:tab w:leader="none" w:pos="396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deal with</w:t>
      </w:r>
    </w:p>
    <w:p>
      <w:pPr>
        <w:spacing w:after="0" w:line="216" w:lineRule="exact"/>
        <w:rPr>
          <w:sz w:val="20"/>
          <w:szCs w:val="20"/>
          <w:color w:val="auto"/>
        </w:rPr>
      </w:pPr>
    </w:p>
    <w:p>
      <w:pPr>
        <w:ind w:left="1720" w:right="20"/>
        <w:spacing w:after="0" w:line="260" w:lineRule="auto"/>
        <w:rPr>
          <w:sz w:val="20"/>
          <w:szCs w:val="20"/>
          <w:color w:val="auto"/>
        </w:rPr>
      </w:pPr>
      <w:r>
        <w:rPr>
          <w:rFonts w:ascii="Arial" w:cs="Arial" w:eastAsia="Arial" w:hAnsi="Arial"/>
          <w:sz w:val="20"/>
          <w:szCs w:val="20"/>
          <w:color w:val="auto"/>
        </w:rPr>
        <w:t>any Relevant Client or Prospective Client for the purposes of any business which at any time during the Relevant Period competes or will compete or seeks to compete with the Business;</w:t>
      </w:r>
    </w:p>
    <w:p>
      <w:pPr>
        <w:spacing w:after="0" w:line="136" w:lineRule="exact"/>
        <w:rPr>
          <w:sz w:val="20"/>
          <w:szCs w:val="20"/>
          <w:color w:val="auto"/>
        </w:rPr>
      </w:pPr>
    </w:p>
    <w:p>
      <w:pPr>
        <w:ind w:left="1700" w:hanging="847"/>
        <w:spacing w:after="0" w:line="260" w:lineRule="auto"/>
        <w:tabs>
          <w:tab w:leader="none" w:pos="17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solicit or entice or endeavour to solicit or entice away from the Company or any Group Company any Key Personnel;</w:t>
      </w:r>
    </w:p>
    <w:p>
      <w:pPr>
        <w:spacing w:after="0" w:line="136" w:lineRule="exact"/>
        <w:rPr>
          <w:rFonts w:ascii="Arial" w:cs="Arial" w:eastAsia="Arial" w:hAnsi="Arial"/>
          <w:sz w:val="20"/>
          <w:szCs w:val="20"/>
          <w:color w:val="auto"/>
        </w:rPr>
      </w:pPr>
    </w:p>
    <w:p>
      <w:pPr>
        <w:ind w:left="1700" w:hanging="847"/>
        <w:spacing w:after="0"/>
        <w:tabs>
          <w:tab w:leader="none" w:pos="17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employ or engage or endeavour to employ or engage any Key Personnel; and</w:t>
      </w:r>
    </w:p>
    <w:p>
      <w:pPr>
        <w:spacing w:after="0" w:line="215" w:lineRule="exact"/>
        <w:rPr>
          <w:rFonts w:ascii="Arial" w:cs="Arial" w:eastAsia="Arial" w:hAnsi="Arial"/>
          <w:sz w:val="20"/>
          <w:szCs w:val="20"/>
          <w:color w:val="auto"/>
        </w:rPr>
      </w:pPr>
    </w:p>
    <w:p>
      <w:pPr>
        <w:ind w:left="1700" w:right="20" w:hanging="847"/>
        <w:spacing w:after="0" w:line="260" w:lineRule="auto"/>
        <w:tabs>
          <w:tab w:leader="none" w:pos="17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interfere or endeavour to interfere with the continuance of supplies to the Company and/or any Group Company (or the terms relating to those supplies) by any Relevant Supplier.</w:t>
      </w:r>
    </w:p>
    <w:p>
      <w:pPr>
        <w:spacing w:after="0" w:line="136" w:lineRule="exact"/>
        <w:rPr>
          <w:sz w:val="20"/>
          <w:szCs w:val="20"/>
          <w:color w:val="auto"/>
        </w:rPr>
      </w:pPr>
    </w:p>
    <w:p>
      <w:pPr>
        <w:jc w:val="both"/>
        <w:ind w:left="860" w:right="20" w:hanging="849"/>
        <w:spacing w:after="0" w:line="260" w:lineRule="auto"/>
        <w:tabs>
          <w:tab w:leader="none" w:pos="8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You acknowledge (having taken appropriate legal advice) that the provisions of this Schedule are fair, reasonable and necessary to protect the goodwill and interests of the Company and any Group Company.</w:t>
      </w:r>
    </w:p>
    <w:p>
      <w:pPr>
        <w:spacing w:after="0" w:line="163" w:lineRule="exact"/>
        <w:rPr>
          <w:sz w:val="20"/>
          <w:szCs w:val="20"/>
          <w:color w:val="auto"/>
        </w:rPr>
      </w:pPr>
    </w:p>
    <w:p>
      <w:pPr>
        <w:jc w:val="both"/>
        <w:ind w:left="860" w:right="20" w:hanging="849"/>
        <w:spacing w:after="0" w:line="260" w:lineRule="auto"/>
        <w:tabs>
          <w:tab w:leader="none" w:pos="8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You acknowledge that the provisions of this Schedule constitute severable undertakings given for the benefit of the Company and each Group Company and may be enforced by the Company on behalf of all or any of them.</w:t>
      </w:r>
    </w:p>
    <w:p>
      <w:pPr>
        <w:spacing w:after="0" w:line="136" w:lineRule="exact"/>
        <w:rPr>
          <w:sz w:val="20"/>
          <w:szCs w:val="20"/>
          <w:color w:val="auto"/>
        </w:rPr>
      </w:pPr>
    </w:p>
    <w:p>
      <w:pPr>
        <w:jc w:val="both"/>
        <w:ind w:left="860" w:right="20" w:hanging="849"/>
        <w:spacing w:after="0" w:line="246" w:lineRule="auto"/>
        <w:tabs>
          <w:tab w:leader="none" w:pos="8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If any of the restrictions or obligations contained in this Schedule is held not to be valid on the basis that it exceeds what is reasonable for the protection of the goodwill and interests of the Company and any Group Company but would be valid if part of the wording were deleted then such restriction or obligation shall apply with such deletions as may be necessary to make it enforceable.</w:t>
      </w:r>
    </w:p>
    <w:p>
      <w:pPr>
        <w:spacing w:after="0" w:line="151" w:lineRule="exact"/>
        <w:rPr>
          <w:sz w:val="20"/>
          <w:szCs w:val="20"/>
          <w:color w:val="auto"/>
        </w:rPr>
      </w:pPr>
    </w:p>
    <w:p>
      <w:pPr>
        <w:jc w:val="both"/>
        <w:ind w:left="860" w:right="20" w:hanging="849"/>
        <w:spacing w:after="0" w:line="250" w:lineRule="auto"/>
        <w:tabs>
          <w:tab w:leader="none" w:pos="8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20"/>
          <w:szCs w:val="20"/>
          <w:color w:val="auto"/>
        </w:rPr>
        <w:t>You agree that you will draw the provisions of this Schedule to the attention of any third party who may at any time before or after the termination of your employment under this Agreement offer to employ or engage you and for or with whom you intend to work within the Relevant Period.</w:t>
      </w:r>
    </w:p>
    <w:p>
      <w:pPr>
        <w:sectPr>
          <w:pgSz w:w="11900" w:h="16838" w:orient="portrait"/>
          <w:cols w:equalWidth="0" w:num="1">
            <w:col w:w="11000"/>
          </w:cols>
          <w:pgMar w:left="460" w:top="420" w:right="4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List of Subsidiaries</w:t>
            </w:r>
          </w:p>
        </w:tc>
      </w:tr>
      <w:tr>
        <w:trPr>
          <w:trHeight w:val="20"/>
        </w:trPr>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5"/>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3820" w:type="dxa"/>
            <w:vAlign w:val="bottom"/>
            <w:gridSpan w:val="4"/>
          </w:tcPr>
          <w:p>
            <w:pPr>
              <w:ind w:left="1020"/>
              <w:spacing w:after="0"/>
              <w:rPr>
                <w:sz w:val="20"/>
                <w:szCs w:val="20"/>
                <w:color w:val="auto"/>
              </w:rPr>
            </w:pPr>
            <w:r>
              <w:rPr>
                <w:rFonts w:ascii="Arial" w:cs="Arial" w:eastAsia="Arial" w:hAnsi="Arial"/>
                <w:sz w:val="14"/>
                <w:szCs w:val="14"/>
                <w:b w:val="1"/>
                <w:bCs w:val="1"/>
                <w:color w:val="auto"/>
                <w:w w:val="94"/>
              </w:rPr>
              <w:t>Jurisdiction of incorporation or organization</w:t>
            </w:r>
          </w:p>
        </w:tc>
      </w:t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2"/>
              </w:rPr>
              <w:t>AVROBIO</w:t>
            </w:r>
          </w:p>
        </w:tc>
        <w:tc>
          <w:tcPr>
            <w:tcW w:w="2780" w:type="dxa"/>
            <w:vAlign w:val="bottom"/>
          </w:tcPr>
          <w:p>
            <w:pPr>
              <w:ind w:left="140"/>
              <w:spacing w:after="0" w:line="195" w:lineRule="exact"/>
              <w:rPr>
                <w:sz w:val="20"/>
                <w:szCs w:val="20"/>
                <w:color w:val="auto"/>
              </w:rPr>
            </w:pPr>
            <w:r>
              <w:rPr>
                <w:rFonts w:ascii="Arial" w:cs="Arial" w:eastAsia="Arial" w:hAnsi="Arial"/>
                <w:sz w:val="18"/>
                <w:szCs w:val="18"/>
                <w:color w:val="auto"/>
              </w:rPr>
              <w:t>Inc.</w:t>
            </w:r>
          </w:p>
        </w:tc>
        <w:tc>
          <w:tcPr>
            <w:tcW w:w="1020" w:type="dxa"/>
            <w:vAlign w:val="bottom"/>
          </w:tcPr>
          <w:p>
            <w:pPr>
              <w:spacing w:after="0"/>
              <w:rPr>
                <w:sz w:val="16"/>
                <w:szCs w:val="16"/>
                <w:color w:val="auto"/>
              </w:rPr>
            </w:pPr>
          </w:p>
        </w:tc>
        <w:tc>
          <w:tcPr>
            <w:tcW w:w="28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Ontario, Canada</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AVROBIO Australia Pty Ltd</w:t>
            </w:r>
          </w:p>
        </w:tc>
        <w:tc>
          <w:tcPr>
            <w:tcW w:w="3820" w:type="dxa"/>
            <w:vAlign w:val="bottom"/>
            <w:gridSpan w:val="4"/>
          </w:tcPr>
          <w:p>
            <w:pPr>
              <w:ind w:left="1020"/>
              <w:spacing w:after="0"/>
              <w:rPr>
                <w:sz w:val="20"/>
                <w:szCs w:val="20"/>
                <w:color w:val="auto"/>
              </w:rPr>
            </w:pPr>
            <w:r>
              <w:rPr>
                <w:rFonts w:ascii="Arial" w:cs="Arial" w:eastAsia="Arial" w:hAnsi="Arial"/>
                <w:sz w:val="18"/>
                <w:szCs w:val="18"/>
                <w:color w:val="auto"/>
              </w:rPr>
              <w:t>Australia</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AVROBIO Securities Corporation</w:t>
            </w:r>
          </w:p>
        </w:tc>
        <w:tc>
          <w:tcPr>
            <w:tcW w:w="3820" w:type="dxa"/>
            <w:vAlign w:val="bottom"/>
            <w:gridSpan w:val="4"/>
          </w:tcPr>
          <w:p>
            <w:pPr>
              <w:ind w:left="1020"/>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240"/>
          </w:cols>
          <w:pgMar w:left="320" w:top="35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b w:val="1"/>
          <w:bCs w:val="1"/>
          <w:color w:val="auto"/>
        </w:rPr>
        <w:t>Exhibit 23.1</w:t>
      </w:r>
    </w:p>
    <w:p>
      <w:pPr>
        <w:spacing w:after="0" w:line="220" w:lineRule="exact"/>
        <w:rPr>
          <w:sz w:val="20"/>
          <w:szCs w:val="20"/>
          <w:color w:val="auto"/>
        </w:rPr>
      </w:pPr>
    </w:p>
    <w:p>
      <w:pPr>
        <w:ind w:right="2860" w:firstLine="2858"/>
        <w:spacing w:after="0" w:line="522"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spacing w:after="0" w:line="1" w:lineRule="exact"/>
        <w:rPr>
          <w:sz w:val="20"/>
          <w:szCs w:val="20"/>
          <w:color w:val="auto"/>
        </w:rPr>
      </w:pPr>
    </w:p>
    <w:p>
      <w:pPr>
        <w:ind w:left="760" w:right="140" w:hanging="442"/>
        <w:spacing w:after="0" w:line="328" w:lineRule="auto"/>
        <w:tabs>
          <w:tab w:leader="none" w:pos="7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Registration Statement (Form S-8 No. 333-225788) pertaining to the Amended and Restated 2015 Stock Option and Grant Plan, the 2018 Stock Option and Incentive Plan, and the 2018 Employee Stock Purchase Plan of AVROBIO, Inc.,</w:t>
      </w:r>
    </w:p>
    <w:p>
      <w:pPr>
        <w:spacing w:after="0" w:line="118" w:lineRule="exact"/>
        <w:rPr>
          <w:rFonts w:ascii="Arial" w:cs="Arial" w:eastAsia="Arial" w:hAnsi="Arial"/>
          <w:sz w:val="19"/>
          <w:szCs w:val="19"/>
          <w:color w:val="auto"/>
        </w:rPr>
      </w:pPr>
    </w:p>
    <w:p>
      <w:pPr>
        <w:ind w:left="760" w:right="1040" w:hanging="442"/>
        <w:spacing w:after="0" w:line="250" w:lineRule="auto"/>
        <w:tabs>
          <w:tab w:leader="none" w:pos="7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Registration Statement (Form S-8 No. 333-230493) pertaining to the Inducement Stock Option Agreement of AVROBIO, Inc.,</w:t>
      </w:r>
    </w:p>
    <w:p>
      <w:pPr>
        <w:spacing w:after="0" w:line="188" w:lineRule="exact"/>
        <w:rPr>
          <w:rFonts w:ascii="Arial" w:cs="Arial" w:eastAsia="Arial" w:hAnsi="Arial"/>
          <w:sz w:val="22"/>
          <w:szCs w:val="22"/>
          <w:color w:val="auto"/>
        </w:rPr>
      </w:pPr>
    </w:p>
    <w:p>
      <w:pPr>
        <w:ind w:left="760" w:right="40" w:hanging="442"/>
        <w:spacing w:after="0" w:line="250" w:lineRule="auto"/>
        <w:tabs>
          <w:tab w:leader="none" w:pos="7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Registration Statement (Form S-8 No. 333-230494) pertaining to the 2018 Stock Option and Incentive Plan and the 2018 Employee Stock Purchase Plan of AVROBIO, Inc.,</w:t>
      </w:r>
    </w:p>
    <w:p>
      <w:pPr>
        <w:spacing w:after="0" w:line="188" w:lineRule="exact"/>
        <w:rPr>
          <w:rFonts w:ascii="Arial" w:cs="Arial" w:eastAsia="Arial" w:hAnsi="Arial"/>
          <w:sz w:val="22"/>
          <w:szCs w:val="22"/>
          <w:color w:val="auto"/>
        </w:rPr>
      </w:pPr>
    </w:p>
    <w:p>
      <w:pPr>
        <w:ind w:left="760" w:hanging="442"/>
        <w:spacing w:after="0"/>
        <w:tabs>
          <w:tab w:leader="none" w:pos="7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Registration Statement (Form S-3 No. 333-232489) of AVROBIO, Inc.,</w:t>
      </w:r>
    </w:p>
    <w:p>
      <w:pPr>
        <w:spacing w:after="0" w:line="219" w:lineRule="exact"/>
        <w:rPr>
          <w:rFonts w:ascii="Arial" w:cs="Arial" w:eastAsia="Arial" w:hAnsi="Arial"/>
          <w:sz w:val="22"/>
          <w:szCs w:val="22"/>
          <w:color w:val="auto"/>
        </w:rPr>
      </w:pPr>
    </w:p>
    <w:p>
      <w:pPr>
        <w:ind w:left="760" w:right="1040" w:hanging="442"/>
        <w:spacing w:after="0" w:line="250" w:lineRule="auto"/>
        <w:tabs>
          <w:tab w:leader="none" w:pos="7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Registration Statement (Form S-8 No. 333-234641) pertaining to the Inducement Stock Option Agreement of AVROBIO, Inc.,</w:t>
      </w:r>
    </w:p>
    <w:p>
      <w:pPr>
        <w:spacing w:after="0" w:line="188" w:lineRule="exact"/>
        <w:rPr>
          <w:rFonts w:ascii="Arial" w:cs="Arial" w:eastAsia="Arial" w:hAnsi="Arial"/>
          <w:sz w:val="22"/>
          <w:szCs w:val="22"/>
          <w:color w:val="auto"/>
        </w:rPr>
      </w:pPr>
    </w:p>
    <w:p>
      <w:pPr>
        <w:ind w:left="760" w:hanging="442"/>
        <w:spacing w:after="0"/>
        <w:tabs>
          <w:tab w:leader="none" w:pos="7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Registration Statement (Form S-3 No. 333-235641) of AVROBIO, Inc.,</w:t>
      </w:r>
    </w:p>
    <w:p>
      <w:pPr>
        <w:spacing w:after="0" w:line="219" w:lineRule="exact"/>
        <w:rPr>
          <w:rFonts w:ascii="Arial" w:cs="Arial" w:eastAsia="Arial" w:hAnsi="Arial"/>
          <w:sz w:val="22"/>
          <w:szCs w:val="22"/>
          <w:color w:val="auto"/>
        </w:rPr>
      </w:pPr>
    </w:p>
    <w:p>
      <w:pPr>
        <w:ind w:left="760" w:right="260" w:hanging="442"/>
        <w:spacing w:after="0" w:line="250" w:lineRule="auto"/>
        <w:tabs>
          <w:tab w:leader="none" w:pos="7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Registration Statement (Form S-8 No. 333-235643) pertaining to the 2019 Inducement Plan and the Inducement Stock Option Agreement of AVROBIO, Inc.,</w:t>
      </w:r>
    </w:p>
    <w:p>
      <w:pPr>
        <w:spacing w:after="0" w:line="188" w:lineRule="exact"/>
        <w:rPr>
          <w:rFonts w:ascii="Arial" w:cs="Arial" w:eastAsia="Arial" w:hAnsi="Arial"/>
          <w:sz w:val="22"/>
          <w:szCs w:val="22"/>
          <w:color w:val="auto"/>
        </w:rPr>
      </w:pPr>
    </w:p>
    <w:p>
      <w:pPr>
        <w:ind w:left="760" w:right="40" w:hanging="442"/>
        <w:spacing w:after="0" w:line="250" w:lineRule="auto"/>
        <w:tabs>
          <w:tab w:leader="none" w:pos="7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Registration Statement (Form S-8 No. 333-237203) pertaining to the 2018 Stock Option and Incentive Plan and the 2018 Employee Stock Purchase Plan of AVROBIO, Inc.,</w:t>
      </w:r>
    </w:p>
    <w:p>
      <w:pPr>
        <w:spacing w:after="0" w:line="188" w:lineRule="exact"/>
        <w:rPr>
          <w:rFonts w:ascii="Arial" w:cs="Arial" w:eastAsia="Arial" w:hAnsi="Arial"/>
          <w:sz w:val="22"/>
          <w:szCs w:val="22"/>
          <w:color w:val="auto"/>
        </w:rPr>
      </w:pPr>
    </w:p>
    <w:p>
      <w:pPr>
        <w:ind w:left="760" w:right="980" w:hanging="442"/>
        <w:spacing w:after="0" w:line="250" w:lineRule="auto"/>
        <w:tabs>
          <w:tab w:leader="none" w:pos="7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Registration Statement (Form S-8 No. 333-241400) pertaining to the 2018 Stock Option and Incentive Plan of AVROBIO, Inc., and</w:t>
      </w:r>
    </w:p>
    <w:p>
      <w:pPr>
        <w:spacing w:after="0" w:line="188" w:lineRule="exact"/>
        <w:rPr>
          <w:rFonts w:ascii="Arial" w:cs="Arial" w:eastAsia="Arial" w:hAnsi="Arial"/>
          <w:sz w:val="22"/>
          <w:szCs w:val="22"/>
          <w:color w:val="auto"/>
        </w:rPr>
      </w:pPr>
    </w:p>
    <w:p>
      <w:pPr>
        <w:ind w:left="760" w:right="140" w:hanging="442"/>
        <w:spacing w:after="0" w:line="250" w:lineRule="auto"/>
        <w:tabs>
          <w:tab w:leader="none" w:pos="7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Registration Statement (Form S-8 No. 333-254466) pertaining to the 2020 Inducement Plan, the 2018 Stock Option and Incentive Plan and the 2018 Employee Stock Purchase Plan of AVROBIO, Inc.;</w:t>
      </w:r>
    </w:p>
    <w:p>
      <w:pPr>
        <w:spacing w:after="0" w:line="188"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of our report dated March 17, 2022, with respect to the consolidated financial statements of AVROBIO, Inc. included in this Annual Report (Form 10-K) of AVROBIO, Inc. for the year ended December 31, 2021.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Ernst </w:t>
      </w:r>
      <w:r>
        <w:rPr>
          <w:rFonts w:ascii="Arial" w:cs="Arial" w:eastAsia="Arial" w:hAnsi="Arial"/>
          <w:sz w:val="19"/>
          <w:szCs w:val="19"/>
          <w:color w:val="auto"/>
        </w:rPr>
        <w:t>&amp;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17, 2022</w:t>
      </w:r>
    </w:p>
    <w:p>
      <w:pPr>
        <w:sectPr>
          <w:pgSz w:w="11900" w:h="16838" w:orient="portrait"/>
          <w:cols w:equalWidth="0" w:num="1">
            <w:col w:w="11240"/>
          </w:cols>
          <w:pgMar w:left="320" w:top="34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900" w:hanging="892"/>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AVROBIO, Inc.;</w:t>
      </w:r>
    </w:p>
    <w:p>
      <w:pPr>
        <w:spacing w:after="0" w:line="225" w:lineRule="exact"/>
        <w:rPr>
          <w:rFonts w:ascii="Arial" w:cs="Arial" w:eastAsia="Arial" w:hAnsi="Arial"/>
          <w:sz w:val="18"/>
          <w:szCs w:val="18"/>
          <w:color w:val="auto"/>
        </w:rPr>
      </w:pPr>
    </w:p>
    <w:p>
      <w:pPr>
        <w:jc w:val="both"/>
        <w:ind w:left="900" w:right="140" w:hanging="892"/>
        <w:spacing w:after="0" w:line="263"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00" w:right="100" w:hanging="892"/>
        <w:spacing w:after="0" w:line="308"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892"/>
        <w:spacing w:after="0" w:line="291"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800" w:right="60" w:hanging="901"/>
        <w:spacing w:after="0" w:line="286" w:lineRule="auto"/>
        <w:tabs>
          <w:tab w:leader="none" w:pos="18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800" w:right="380" w:hanging="901"/>
        <w:spacing w:after="0" w:line="286" w:lineRule="auto"/>
        <w:tabs>
          <w:tab w:leader="none" w:pos="18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800" w:right="20" w:hanging="901"/>
        <w:spacing w:after="0" w:line="263" w:lineRule="auto"/>
        <w:tabs>
          <w:tab w:leader="none" w:pos="1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800" w:right="120" w:hanging="901"/>
        <w:spacing w:after="0" w:line="286" w:lineRule="auto"/>
        <w:tabs>
          <w:tab w:leader="none" w:pos="18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900" w:right="20" w:hanging="892"/>
        <w:spacing w:after="0" w:line="342"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800" w:right="60" w:hanging="901"/>
        <w:spacing w:after="0" w:line="342" w:lineRule="auto"/>
        <w:tabs>
          <w:tab w:leader="none" w:pos="18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right="260" w:hanging="901"/>
        <w:spacing w:after="0" w:line="277" w:lineRule="auto"/>
        <w:tabs>
          <w:tab w:leader="none" w:pos="1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80" w:val="left"/>
          <w:tab w:leader="none" w:pos="820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Geoff MacKay</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900" w:hanging="892"/>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AVROBIO, Inc.;</w:t>
      </w:r>
    </w:p>
    <w:p>
      <w:pPr>
        <w:spacing w:after="0" w:line="225" w:lineRule="exact"/>
        <w:rPr>
          <w:rFonts w:ascii="Arial" w:cs="Arial" w:eastAsia="Arial" w:hAnsi="Arial"/>
          <w:sz w:val="18"/>
          <w:szCs w:val="18"/>
          <w:color w:val="auto"/>
        </w:rPr>
      </w:pPr>
    </w:p>
    <w:p>
      <w:pPr>
        <w:jc w:val="both"/>
        <w:ind w:left="900" w:right="140" w:hanging="892"/>
        <w:spacing w:after="0" w:line="263"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00" w:right="100" w:hanging="892"/>
        <w:spacing w:after="0" w:line="308"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892"/>
        <w:spacing w:after="0" w:line="291"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800" w:right="60" w:hanging="901"/>
        <w:spacing w:after="0" w:line="286" w:lineRule="auto"/>
        <w:tabs>
          <w:tab w:leader="none" w:pos="18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800" w:right="380" w:hanging="901"/>
        <w:spacing w:after="0" w:line="286" w:lineRule="auto"/>
        <w:tabs>
          <w:tab w:leader="none" w:pos="18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800" w:right="20" w:hanging="901"/>
        <w:spacing w:after="0" w:line="263" w:lineRule="auto"/>
        <w:tabs>
          <w:tab w:leader="none" w:pos="1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800" w:right="120" w:hanging="901"/>
        <w:spacing w:after="0" w:line="286" w:lineRule="auto"/>
        <w:tabs>
          <w:tab w:leader="none" w:pos="18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900" w:right="20" w:hanging="892"/>
        <w:spacing w:after="0" w:line="34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800" w:right="60" w:hanging="901"/>
        <w:spacing w:after="0" w:line="342" w:lineRule="auto"/>
        <w:tabs>
          <w:tab w:leader="none" w:pos="18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right="260" w:hanging="901"/>
        <w:spacing w:after="0" w:line="277" w:lineRule="auto"/>
        <w:tabs>
          <w:tab w:leader="none" w:pos="1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80" w:val="left"/>
          <w:tab w:leader="none" w:pos="818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Erik Ostrowski</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Annual Report of AVROBIO, Inc. (the “Company”) on Form 10-K for the year ended December 31, 2021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84" w:lineRule="exact"/>
        <w:rPr>
          <w:sz w:val="20"/>
          <w:szCs w:val="20"/>
          <w:color w:val="auto"/>
        </w:rPr>
      </w:pPr>
    </w:p>
    <w:p>
      <w:pPr>
        <w:ind w:left="260" w:hanging="252"/>
        <w:spacing w:after="0"/>
        <w:tabs>
          <w:tab w:leader="none" w:pos="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50" w:lineRule="exact"/>
        <w:rPr>
          <w:sz w:val="20"/>
          <w:szCs w:val="20"/>
          <w:color w:val="auto"/>
        </w:rPr>
      </w:pPr>
    </w:p>
    <w:p>
      <w:pPr>
        <w:spacing w:after="0"/>
        <w:tabs>
          <w:tab w:leader="none" w:pos="6080" w:val="left"/>
          <w:tab w:leader="none" w:pos="820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Geoff MacKay</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6080" w:val="left"/>
          <w:tab w:leader="none" w:pos="818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Erik Ostrowski</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1."/>
      <w:numFmt w:val="decimal"/>
      <w:start w:val="2"/>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1)"/>
      <w:numFmt w:val="lowerRoman"/>
      <w:start w:val="4"/>
    </w:lvl>
    <w:lvl w:ilvl="1">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1)"/>
      <w:numFmt w:val="decimal"/>
      <w:start w:val="3"/>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lowerLetter"/>
      <w:start w:val="1"/>
    </w:lvl>
    <w:lvl w:ilvl="1">
      <w:lvlJc w:val="left"/>
      <w:lvlText w:val="%2."/>
      <w:numFmt w:val="decimal"/>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1"/>
      <w:numFmt w:val="decimal"/>
      <w:start w:val="104"/>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1."/>
      <w:numFmt w:val="decimal"/>
      <w:start w:val="1"/>
    </w:lvl>
  </w:abstractNum>
  <w:abstractNum w:abstractNumId="67">
    <w:nsid w:val="74DE0EE3"/>
    <w:multiLevelType w:val="hybridMultilevel"/>
    <w:lvl w:ilvl="0">
      <w:lvlJc w:val="left"/>
      <w:lvlText w:val="%1."/>
      <w:numFmt w:val="decimal"/>
      <w:start w:val="2"/>
    </w:lvl>
  </w:abstractNum>
  <w:abstractNum w:abstractNumId="68">
    <w:nsid w:val="68EBC550"/>
    <w:multiLevelType w:val="hybridMultilevel"/>
    <w:lvl w:ilvl="0">
      <w:lvlJc w:val="left"/>
      <w:lvlText w:val="%1."/>
      <w:numFmt w:val="decimal"/>
      <w:start w:val="3"/>
    </w:lvl>
  </w:abstractNum>
  <w:abstractNum w:abstractNumId="69">
    <w:nsid w:val="2DF6D648"/>
    <w:multiLevelType w:val="hybridMultilevel"/>
    <w:lvl w:ilvl="0">
      <w:lvlJc w:val="left"/>
      <w:lvlText w:val="%1."/>
      <w:numFmt w:val="decimal"/>
      <w:start w:val="4"/>
    </w:lvl>
  </w:abstractNum>
  <w:abstractNum w:abstractNumId="70">
    <w:nsid w:val="46B7D447"/>
    <w:multiLevelType w:val="hybridMultilevel"/>
    <w:lvl w:ilvl="0">
      <w:lvlJc w:val="left"/>
      <w:lvlText w:val="%1."/>
      <w:numFmt w:val="decimal"/>
      <w:start w:val="5"/>
    </w:lvl>
  </w:abstractNum>
  <w:abstractNum w:abstractNumId="71">
    <w:nsid w:val="4A2AC315"/>
    <w:multiLevelType w:val="hybridMultilevel"/>
    <w:lvl w:ilvl="0">
      <w:lvlJc w:val="left"/>
      <w:lvlText w:val="%1."/>
      <w:numFmt w:val="decimal"/>
      <w:start w:val="6"/>
    </w:lvl>
  </w:abstractNum>
  <w:abstractNum w:abstractNumId="72">
    <w:nsid w:val="39EE015C"/>
    <w:multiLevelType w:val="hybridMultilevel"/>
    <w:lvl w:ilvl="0">
      <w:lvlJc w:val="left"/>
      <w:lvlText w:val="%1."/>
      <w:numFmt w:val="decimal"/>
      <w:start w:val="7"/>
    </w:lvl>
  </w:abstractNum>
  <w:abstractNum w:abstractNumId="73">
    <w:nsid w:val="57FC4FBB"/>
    <w:multiLevelType w:val="hybridMultilevel"/>
    <w:lvl w:ilvl="0">
      <w:lvlJc w:val="left"/>
      <w:lvlText w:val="%1."/>
      <w:numFmt w:val="decimal"/>
      <w:start w:val="8"/>
    </w:lvl>
  </w:abstractNum>
  <w:abstractNum w:abstractNumId="74">
    <w:nsid w:val="CC1016F"/>
    <w:multiLevelType w:val="hybridMultilevel"/>
    <w:lvl w:ilvl="0">
      <w:lvlJc w:val="left"/>
      <w:lvlText w:val="%1."/>
      <w:numFmt w:val="decimal"/>
      <w:start w:val="9"/>
    </w:lvl>
  </w:abstractNum>
  <w:abstractNum w:abstractNumId="75">
    <w:nsid w:val="43F18422"/>
    <w:multiLevelType w:val="hybridMultilevel"/>
    <w:lvl w:ilvl="0">
      <w:lvlJc w:val="left"/>
      <w:lvlText w:val="%1."/>
      <w:numFmt w:val="decimal"/>
      <w:start w:val="10"/>
    </w:lvl>
  </w:abstractNum>
  <w:abstractNum w:abstractNumId="76">
    <w:nsid w:val="60EF0119"/>
    <w:multiLevelType w:val="hybridMultilevel"/>
    <w:lvl w:ilvl="0">
      <w:lvlJc w:val="left"/>
      <w:lvlText w:val="%1."/>
      <w:numFmt w:val="decimal"/>
      <w:start w:val="11"/>
    </w:lvl>
  </w:abstractNum>
  <w:abstractNum w:abstractNumId="77">
    <w:nsid w:val="26F324BA"/>
    <w:multiLevelType w:val="hybridMultilevel"/>
    <w:lvl w:ilvl="0">
      <w:lvlJc w:val="left"/>
      <w:lvlText w:val="%1."/>
      <w:numFmt w:val="decimal"/>
      <w:start w:val="12"/>
    </w:lvl>
  </w:abstractNum>
  <w:abstractNum w:abstractNumId="78">
    <w:nsid w:val="7F01579B"/>
    <w:multiLevelType w:val="hybridMultilevel"/>
    <w:lvl w:ilvl="0">
      <w:lvlJc w:val="left"/>
      <w:lvlText w:val="%1"/>
      <w:numFmt w:val="decimal"/>
      <w:start w:val="1"/>
    </w:lvl>
    <w:lvl w:ilvl="1">
      <w:lvlJc w:val="left"/>
      <w:lvlText w:val="(%2)"/>
      <w:numFmt w:val="lowerLetter"/>
      <w:start w:val="1"/>
    </w:lvl>
  </w:abstractNum>
  <w:abstractNum w:abstractNumId="79">
    <w:nsid w:val="49DA307D"/>
    <w:multiLevelType w:val="hybridMultilevel"/>
    <w:lvl w:ilvl="0">
      <w:lvlJc w:val="left"/>
      <w:lvlText w:val="%1."/>
      <w:numFmt w:val="decimal"/>
      <w:start w:val="13"/>
    </w:lvl>
    <w:lvl w:ilvl="1">
      <w:lvlJc w:val="left"/>
      <w:lvlText w:val="%2"/>
      <w:numFmt w:val="lowerLetter"/>
      <w:start w:val="1"/>
    </w:lvl>
  </w:abstractNum>
  <w:abstractNum w:abstractNumId="80">
    <w:nsid w:val="7055A5F5"/>
    <w:multiLevelType w:val="hybridMultilevel"/>
    <w:lvl w:ilvl="0">
      <w:lvlJc w:val="left"/>
      <w:lvlText w:val="%1."/>
      <w:numFmt w:val="decimal"/>
      <w:start w:val="14"/>
    </w:lvl>
  </w:abstractNum>
  <w:abstractNum w:abstractNumId="81">
    <w:nsid w:val="5FB8370B"/>
    <w:multiLevelType w:val="hybridMultilevel"/>
    <w:lvl w:ilvl="0">
      <w:lvlJc w:val="left"/>
      <w:lvlText w:val="(%1)"/>
      <w:numFmt w:val="lowerRoman"/>
      <w:start w:val="5"/>
    </w:lvl>
  </w:abstractNum>
  <w:abstractNum w:abstractNumId="82">
    <w:nsid w:val="50801EE1"/>
    <w:multiLevelType w:val="hybridMultilevel"/>
    <w:lvl w:ilvl="0">
      <w:lvlJc w:val="left"/>
      <w:lvlText w:val="%1."/>
      <w:numFmt w:val="decimal"/>
      <w:start w:val="15"/>
    </w:lvl>
  </w:abstractNum>
  <w:abstractNum w:abstractNumId="83">
    <w:nsid w:val="488AC1A"/>
    <w:multiLevelType w:val="hybridMultilevel"/>
    <w:lvl w:ilvl="0">
      <w:lvlJc w:val="left"/>
      <w:lvlText w:val="(%1)"/>
      <w:numFmt w:val="lowerRoman"/>
      <w:start w:val="1"/>
    </w:lvl>
  </w:abstractNum>
  <w:abstractNum w:abstractNumId="84">
    <w:nsid w:val="5FB8011C"/>
    <w:multiLevelType w:val="hybridMultilevel"/>
    <w:lvl w:ilvl="0">
      <w:lvlJc w:val="left"/>
      <w:lvlText w:val="%1."/>
      <w:numFmt w:val="decimal"/>
      <w:start w:val="16"/>
    </w:lvl>
  </w:abstractNum>
  <w:abstractNum w:abstractNumId="85">
    <w:nsid w:val="6AA78F7F"/>
    <w:multiLevelType w:val="hybridMultilevel"/>
    <w:lvl w:ilvl="0">
      <w:lvlJc w:val="left"/>
      <w:lvlText w:val="(%1)"/>
      <w:numFmt w:val="lowerRoman"/>
      <w:start w:val="1"/>
    </w:lvl>
    <w:lvl w:ilvl="1">
      <w:lvlJc w:val="left"/>
      <w:lvlText w:val="(%2)"/>
      <w:numFmt w:val="upperLetter"/>
      <w:start w:val="1"/>
    </w:lvl>
  </w:abstractNum>
  <w:abstractNum w:abstractNumId="86">
    <w:nsid w:val="7672BD23"/>
    <w:multiLevelType w:val="hybridMultilevel"/>
    <w:lvl w:ilvl="0">
      <w:lvlJc w:val="left"/>
      <w:lvlText w:val="(%1)"/>
      <w:numFmt w:val="lowerRoman"/>
      <w:start w:val="2"/>
    </w:lvl>
  </w:abstractNum>
  <w:abstractNum w:abstractNumId="87">
    <w:nsid w:val="6FC75AF8"/>
    <w:multiLevelType w:val="hybridMultilevel"/>
    <w:lvl w:ilvl="0">
      <w:lvlJc w:val="left"/>
      <w:lvlText w:val="(%1)"/>
      <w:numFmt w:val="lowerRoman"/>
      <w:start w:val="1"/>
    </w:lvl>
  </w:abstractNum>
  <w:abstractNum w:abstractNumId="88">
    <w:nsid w:val="6A5F7029"/>
    <w:multiLevelType w:val="hybridMultilevel"/>
    <w:lvl w:ilvl="0">
      <w:lvlJc w:val="left"/>
      <w:lvlText w:val="%1"/>
      <w:numFmt w:val="decimal"/>
      <w:start w:val="1"/>
    </w:lvl>
    <w:lvl w:ilvl="1">
      <w:lvlJc w:val="left"/>
      <w:lvlText w:val="(%2)"/>
      <w:numFmt w:val="lowerRoman"/>
      <w:start w:val="3"/>
    </w:lvl>
  </w:abstractNum>
  <w:abstractNum w:abstractNumId="89">
    <w:nsid w:val="7D5E18F8"/>
    <w:multiLevelType w:val="hybridMultilevel"/>
    <w:lvl w:ilvl="0">
      <w:lvlJc w:val="left"/>
      <w:lvlText w:val="%1."/>
      <w:numFmt w:val="decimal"/>
      <w:start w:val="17"/>
    </w:lvl>
    <w:lvl w:ilvl="1">
      <w:lvlJc w:val="left"/>
      <w:lvlText w:val="%2"/>
      <w:numFmt w:val="lowerRoman"/>
      <w:start w:val="1"/>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1)"/>
      <w:numFmt w:val="lowerLetter"/>
      <w:start w:val="1"/>
    </w:lvl>
  </w:abstractNum>
  <w:abstractNum w:abstractNumId="92">
    <w:nsid w:val="7DE67713"/>
    <w:multiLevelType w:val="hybridMultilevel"/>
    <w:lvl w:ilvl="0">
      <w:lvlJc w:val="left"/>
      <w:lvlText w:val="%1."/>
      <w:numFmt w:val="decimal"/>
      <w:start w:val="18"/>
    </w:lvl>
  </w:abstractNum>
  <w:abstractNum w:abstractNumId="93">
    <w:nsid w:val="555C55B5"/>
    <w:multiLevelType w:val="hybridMultilevel"/>
    <w:lvl w:ilvl="0">
      <w:lvlJc w:val="left"/>
      <w:lvlText w:val="%1."/>
      <w:numFmt w:val="decimal"/>
      <w:start w:val="19"/>
    </w:lvl>
  </w:abstractNum>
  <w:abstractNum w:abstractNumId="94">
    <w:nsid w:val="3FA62ACA"/>
    <w:multiLevelType w:val="hybridMultilevel"/>
    <w:lvl w:ilvl="0">
      <w:lvlJc w:val="left"/>
      <w:lvlText w:val="(%1)"/>
      <w:numFmt w:val="lowerLetter"/>
      <w:start w:val="1"/>
    </w:lvl>
  </w:abstractNum>
  <w:abstractNum w:abstractNumId="95">
    <w:nsid w:val="14FCE74E"/>
    <w:multiLevelType w:val="hybridMultilevel"/>
    <w:lvl w:ilvl="0">
      <w:lvlJc w:val="left"/>
      <w:lvlText w:val="%1."/>
      <w:numFmt w:val="decimal"/>
      <w:start w:val="20"/>
    </w:lvl>
  </w:abstractNum>
  <w:abstractNum w:abstractNumId="96">
    <w:nsid w:val="6A3DD3E8"/>
    <w:multiLevelType w:val="hybridMultilevel"/>
    <w:lvl w:ilvl="0">
      <w:lvlJc w:val="left"/>
      <w:lvlText w:val="%1."/>
      <w:numFmt w:val="decimal"/>
      <w:start w:val="21"/>
    </w:lvl>
  </w:abstractNum>
  <w:abstractNum w:abstractNumId="97">
    <w:nsid w:val="71C91298"/>
    <w:multiLevelType w:val="hybridMultilevel"/>
    <w:lvl w:ilvl="0">
      <w:lvlJc w:val="left"/>
      <w:lvlText w:val="%1."/>
      <w:numFmt w:val="decimal"/>
      <w:start w:val="22"/>
    </w:lvl>
  </w:abstractNum>
  <w:abstractNum w:abstractNumId="98">
    <w:nsid w:val="9DAF632"/>
    <w:multiLevelType w:val="hybridMultilevel"/>
    <w:lvl w:ilvl="0">
      <w:lvlJc w:val="left"/>
      <w:lvlText w:val="%1."/>
      <w:numFmt w:val="decimal"/>
      <w:start w:val="23"/>
    </w:lvl>
  </w:abstractNum>
  <w:abstractNum w:abstractNumId="99">
    <w:nsid w:val="53299938"/>
    <w:multiLevelType w:val="hybridMultilevel"/>
    <w:lvl w:ilvl="0">
      <w:lvlJc w:val="left"/>
      <w:lvlText w:val="%1."/>
      <w:numFmt w:val="decimal"/>
      <w:start w:val="24"/>
    </w:lvl>
  </w:abstractNum>
  <w:abstractNum w:abstractNumId="100">
    <w:nsid w:val="1FBFE8E0"/>
    <w:multiLevelType w:val="hybridMultilevel"/>
    <w:lvl w:ilvl="0">
      <w:lvlJc w:val="left"/>
      <w:lvlText w:val="%1."/>
      <w:numFmt w:val="decimal"/>
      <w:start w:val="25"/>
    </w:lvl>
  </w:abstractNum>
  <w:abstractNum w:abstractNumId="101">
    <w:nsid w:val="5092CA79"/>
    <w:multiLevelType w:val="hybridMultilevel"/>
    <w:lvl w:ilvl="0">
      <w:lvlJc w:val="left"/>
      <w:lvlText w:val="%1."/>
      <w:numFmt w:val="decimal"/>
      <w:start w:val="26"/>
    </w:lvl>
  </w:abstractNum>
  <w:abstractNum w:abstractNumId="102">
    <w:nsid w:val="1D545C4D"/>
    <w:multiLevelType w:val="hybridMultilevel"/>
    <w:lvl w:ilvl="0">
      <w:lvlJc w:val="left"/>
      <w:lvlText w:val="%1."/>
      <w:numFmt w:val="decimal"/>
      <w:start w:val="1"/>
    </w:lvl>
  </w:abstractNum>
  <w:abstractNum w:abstractNumId="103">
    <w:nsid w:val="59ADEA3D"/>
    <w:multiLevelType w:val="hybridMultilevel"/>
    <w:lvl w:ilvl="0">
      <w:lvlJc w:val="left"/>
      <w:lvlText w:val="(%1)"/>
      <w:numFmt w:val="lowerLetter"/>
      <w:start w:val="1"/>
    </w:lvl>
  </w:abstractNum>
  <w:abstractNum w:abstractNumId="104">
    <w:nsid w:val="288F1A34"/>
    <w:multiLevelType w:val="hybridMultilevel"/>
    <w:lvl w:ilvl="0">
      <w:lvlJc w:val="left"/>
      <w:lvlText w:val="%1."/>
      <w:numFmt w:val="decimal"/>
      <w:start w:val="2"/>
    </w:lvl>
  </w:abstractNum>
  <w:abstractNum w:abstractNumId="105">
    <w:nsid w:val="2A155DBC"/>
    <w:multiLevelType w:val="hybridMultilevel"/>
    <w:lvl w:ilvl="0">
      <w:lvlJc w:val="left"/>
      <w:lvlText w:val="(%1)"/>
      <w:numFmt w:val="lowerLetter"/>
      <w:start w:val="1"/>
    </w:lvl>
  </w:abstractNum>
  <w:abstractNum w:abstractNumId="106">
    <w:nsid w:val="1D9F6E5F"/>
    <w:multiLevelType w:val="hybridMultilevel"/>
    <w:lvl w:ilvl="0">
      <w:lvlJc w:val="left"/>
      <w:lvlText w:val="(%1)"/>
      <w:numFmt w:val="lowerLetter"/>
      <w:start w:val="3"/>
    </w:lvl>
  </w:abstractNum>
  <w:abstractNum w:abstractNumId="107">
    <w:nsid w:val="97E1B4E"/>
    <w:multiLevelType w:val="hybridMultilevel"/>
    <w:lvl w:ilvl="0">
      <w:lvlJc w:val="left"/>
      <w:lvlText w:val="(%1)"/>
      <w:numFmt w:val="decimal"/>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152" Type="http://schemas.openxmlformats.org/officeDocument/2006/relationships/hyperlink" Target="http://www.sec.gov/Archives/edgar/data/1681087/000119312518202460/d153924dex31.htm" TargetMode="External"/><Relationship Id="rId153" Type="http://schemas.openxmlformats.org/officeDocument/2006/relationships/hyperlink" Target="http://www.sec.gov/Archives/edgar/data/0001681087/000156459020051456/avro-ex32_90.htm" TargetMode="External"/><Relationship Id="rId154" Type="http://schemas.openxmlformats.org/officeDocument/2006/relationships/hyperlink" Target="http://www.sec.gov/Archives/edgar/data/1681087/000119312518202460/d153924dex32.htm" TargetMode="External"/><Relationship Id="rId155" Type="http://schemas.openxmlformats.org/officeDocument/2006/relationships/hyperlink" Target="http://www.sec.gov/Archives/edgar/data/1681087/000119312518188630/d562006dex41.htm" TargetMode="External"/><Relationship Id="rId156" Type="http://schemas.openxmlformats.org/officeDocument/2006/relationships/hyperlink" Target="http://www.sec.gov/Archives/edgar/data/1681087/000119312518175024/d562006dex42.htm" TargetMode="External"/><Relationship Id="rId157" Type="http://schemas.openxmlformats.org/officeDocument/2006/relationships/hyperlink" Target="http://www.sec.gov/Archives/edgar/data/0001681087/000156459020011144/avro-ex43_591.htm" TargetMode="External"/><Relationship Id="rId158" Type="http://schemas.openxmlformats.org/officeDocument/2006/relationships/hyperlink" Target="http://www.sec.gov/Archives/edgar/data/1681087/000119312518175024/d562006dex101.htm" TargetMode="External"/><Relationship Id="rId159" Type="http://schemas.openxmlformats.org/officeDocument/2006/relationships/hyperlink" Target="http://www.sec.gov/Archives/edgar/data/1681087/000119312518188630/d562006dex102.htm" TargetMode="External"/><Relationship Id="rId160" Type="http://schemas.openxmlformats.org/officeDocument/2006/relationships/hyperlink" Target="http://www.sec.gov/Archives/edgar/data/0001681087/000156459020028774/avro-ex101_30.htm" TargetMode="External"/><Relationship Id="rId161" Type="http://schemas.openxmlformats.org/officeDocument/2006/relationships/hyperlink" Target="http://www.sec.gov/Archives/edgar/data/1681087/000119312518188630/d562006dex103.htm" TargetMode="External"/><Relationship Id="rId162" Type="http://schemas.openxmlformats.org/officeDocument/2006/relationships/hyperlink" Target="http://www.sec.gov/Archives/edgar/data/1681087/000119312518188630/d562006dex104.htm" TargetMode="External"/><Relationship Id="rId163" Type="http://schemas.openxmlformats.org/officeDocument/2006/relationships/hyperlink" Target="http://www.sec.gov/Archives/edgar/data/1681087/000119312518181102/d562006dex105.htm" TargetMode="External"/><Relationship Id="rId164" Type="http://schemas.openxmlformats.org/officeDocument/2006/relationships/hyperlink" Target="http://www.sec.gov/Archives/edgar/data/1681087/000119312518188630/d562006dex106.htm" TargetMode="External"/><Relationship Id="rId165" Type="http://schemas.openxmlformats.org/officeDocument/2006/relationships/hyperlink" Target="http://www.sec.gov/Archives/edgar/data/0001681087/000156459020011144/avro-ex107_544.htm" TargetMode="External"/><Relationship Id="rId166" Type="http://schemas.openxmlformats.org/officeDocument/2006/relationships/hyperlink" Target="http://www.sec.gov/Archives/edgar/data/0001681087/000156459020011144/avro-ex108_543.htm" TargetMode="External"/><Relationship Id="rId167" Type="http://schemas.openxmlformats.org/officeDocument/2006/relationships/hyperlink" Target="http://www.sec.gov/Archives/edgar/data/1681087/000119312518175024/d562006dex107.htm" TargetMode="External"/><Relationship Id="rId170" Type="http://schemas.openxmlformats.org/officeDocument/2006/relationships/hyperlink" Target="http://www.sec.gov/Archives/edgar/data/1681087/000119312518175024/d562006dex108.htm" TargetMode="External"/><Relationship Id="rId171" Type="http://schemas.openxmlformats.org/officeDocument/2006/relationships/hyperlink" Target="http://www.sec.gov/Archives/edgar/data/1681087/000119312518188630/d562006dex109.htm" TargetMode="External"/><Relationship Id="rId172" Type="http://schemas.openxmlformats.org/officeDocument/2006/relationships/hyperlink" Target="http://www.sec.gov/Archives/edgar/data/1681087/000156459021027619/avro-ex101_113.htm" TargetMode="External"/><Relationship Id="rId173" Type="http://schemas.openxmlformats.org/officeDocument/2006/relationships/hyperlink" Target="http://www.sec.gov/Archives/edgar/data/1681087/000119312518356370/d676576dex101.htm" TargetMode="External"/><Relationship Id="rId174" Type="http://schemas.openxmlformats.org/officeDocument/2006/relationships/hyperlink" Target="http://www.sec.gov/Archives/edgar/data/1681087/000156459021027619/avro-ex102_112.htm" TargetMode="External"/><Relationship Id="rId175" Type="http://schemas.openxmlformats.org/officeDocument/2006/relationships/hyperlink" Target="http://www.sec.gov/Archives/edgar/data/1681087/000119312519085321/d677215dex1013.htm" TargetMode="External"/><Relationship Id="rId176" Type="http://schemas.openxmlformats.org/officeDocument/2006/relationships/hyperlink" Target="http://www.sec.gov/Archives/edgar/data/1681087/000156459021027619/avro-ex103_111.htm" TargetMode="External"/><Relationship Id="rId177" Type="http://schemas.openxmlformats.org/officeDocument/2006/relationships/hyperlink" Target="http://www.sec.gov/Archives/edgar/data/0001681087/000156459020011144/avro-ex1016_545.htm" TargetMode="External"/><Relationship Id="rId178" Type="http://schemas.openxmlformats.org/officeDocument/2006/relationships/hyperlink" Target="http://www.sec.gov/Archives/edgar/data/1681087/000156459021027619/avro-ex106_108.htm" TargetMode="External"/><Relationship Id="rId179" Type="http://schemas.openxmlformats.org/officeDocument/2006/relationships/hyperlink" Target="http://www.sec.gov/Archives/edgar/data/1681087/000156459021014190/avro-ex1019_283.htm" TargetMode="External"/><Relationship Id="rId180" Type="http://schemas.openxmlformats.org/officeDocument/2006/relationships/hyperlink" Target="http://www.sec.gov/Archives/edgar/data/1681087/000156459021027619/avro-ex105_109.htm" TargetMode="External"/><Relationship Id="rId181" Type="http://schemas.openxmlformats.org/officeDocument/2006/relationships/hyperlink" Target="http://www.sec.gov/Archives/edgar/data/1681087/000119312518188630/d562006dex1014.htm" TargetMode="External"/><Relationship Id="rId182" Type="http://schemas.openxmlformats.org/officeDocument/2006/relationships/hyperlink" Target="http://www.sec.gov/Archives/edgar/data/1681087/000119312518175024/d562006dex1012.htm" TargetMode="External"/><Relationship Id="rId183" Type="http://schemas.openxmlformats.org/officeDocument/2006/relationships/hyperlink" Target="http://www.sec.gov/Archives/edgar/data/1681087/000119312519320938/d842233dex991.htm" TargetMode="External"/><Relationship Id="rId184" Type="http://schemas.openxmlformats.org/officeDocument/2006/relationships/hyperlink" Target="http://www.sec.gov/Archives/edgar/data/1681087/000119312519085335/d724212dex991.htm" TargetMode="External"/><Relationship Id="rId185" Type="http://schemas.openxmlformats.org/officeDocument/2006/relationships/hyperlink" Target="http://www.sec.gov/Archives/edgar/data/1681087/000156459021014190/avro-ex1025_465.htm" TargetMode="External"/><Relationship Id="rId188" Type="http://schemas.openxmlformats.org/officeDocument/2006/relationships/hyperlink" Target="http://www.sec.gov/Archives/edgar/data/1681087/000156459021054522/avro-ex101_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2022-03-17T15:55:11Z</dcterms:created>
  <dcterms:modified xsi:type="dcterms:W3CDTF">2022-03-17T15:55:11Z</dcterms:modified>
</cp:coreProperties>
</file>