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Donenberg Phillip B.</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Tectonic Therapeutic,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06/09/2025</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SUITE 210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24.48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earliest of (i) June 9, 2026, (ii) the date of the Issuer's 2026 Annual Meeting of stockholders, or (iii) a "Change in Control" (as defined in the Issuer's 2024 Equity Incentive Plan) of the Issuer, subject in each case, to the Reporting Person providing continuous service to the Issuer on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06/11/2025</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8120"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2025-06-11T15:36:41Z</dcterms:created>
  <dcterms:modified xsi:type="dcterms:W3CDTF">2025-06-11T15:36:41Z</dcterms:modified>
</cp:coreProperties>
</file>