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March 23, 2023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6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ind w:right="1050"/>
              <w:spacing w:after="0"/>
              <w:rPr>
                <w:sz w:val="20"/>
                <w:szCs w:val="20"/>
                <w:color w:val="auto"/>
              </w:rPr>
            </w:pPr>
            <w:r>
              <w:rPr>
                <w:rFonts w:ascii="Arial" w:cs="Arial" w:eastAsia="Arial" w:hAnsi="Arial"/>
                <w:sz w:val="18"/>
                <w:szCs w:val="18"/>
                <w:b w:val="1"/>
                <w:bCs w:val="1"/>
                <w:color w:val="auto"/>
              </w:rPr>
              <w:t>81-0710585</w:t>
            </w:r>
          </w:p>
        </w:tc>
      </w:tr>
      <w:tr>
        <w:trPr>
          <w:trHeight w:val="234"/>
        </w:trPr>
        <w:tc>
          <w:tcPr>
            <w:tcW w:w="556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06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41"/>
        </w:trPr>
        <w:tc>
          <w:tcPr>
            <w:tcW w:w="5560" w:type="dxa"/>
            <w:vAlign w:val="bottom"/>
          </w:tcPr>
          <w:p>
            <w:pPr>
              <w:jc w:val="center"/>
              <w:ind w:right="810"/>
              <w:spacing w:after="0"/>
              <w:rPr>
                <w:sz w:val="20"/>
                <w:szCs w:val="20"/>
                <w:color w:val="auto"/>
              </w:rPr>
            </w:pPr>
            <w:r>
              <w:rPr>
                <w:rFonts w:ascii="Arial" w:cs="Arial" w:eastAsia="Arial" w:hAnsi="Arial"/>
                <w:sz w:val="18"/>
                <w:szCs w:val="18"/>
                <w:b w:val="1"/>
                <w:bCs w:val="1"/>
                <w:color w:val="auto"/>
                <w:w w:val="88"/>
              </w:rPr>
              <w:t>100 Technology Square</w:t>
            </w:r>
          </w:p>
        </w:tc>
        <w:tc>
          <w:tcPr>
            <w:tcW w:w="4060" w:type="dxa"/>
            <w:vAlign w:val="bottom"/>
          </w:tcPr>
          <w:p>
            <w:pPr>
              <w:spacing w:after="0"/>
              <w:rPr>
                <w:sz w:val="24"/>
                <w:szCs w:val="24"/>
                <w:color w:val="auto"/>
              </w:rPr>
            </w:pPr>
          </w:p>
        </w:tc>
      </w:tr>
      <w:tr>
        <w:trPr>
          <w:trHeight w:val="216"/>
        </w:trPr>
        <w:tc>
          <w:tcPr>
            <w:tcW w:w="556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Sixth Floor</w:t>
            </w:r>
          </w:p>
        </w:tc>
        <w:tc>
          <w:tcPr>
            <w:tcW w:w="4060" w:type="dxa"/>
            <w:vAlign w:val="bottom"/>
          </w:tcPr>
          <w:p>
            <w:pPr>
              <w:spacing w:after="0"/>
              <w:rPr>
                <w:sz w:val="18"/>
                <w:szCs w:val="18"/>
                <w:color w:val="auto"/>
              </w:rPr>
            </w:pPr>
          </w:p>
        </w:tc>
      </w:tr>
      <w:tr>
        <w:trPr>
          <w:trHeight w:val="216"/>
        </w:trPr>
        <w:tc>
          <w:tcPr>
            <w:tcW w:w="556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Cambridge, Massachusetts</w:t>
            </w:r>
          </w:p>
        </w:tc>
        <w:tc>
          <w:tcPr>
            <w:tcW w:w="4060" w:type="dxa"/>
            <w:vAlign w:val="bottom"/>
          </w:tcPr>
          <w:p>
            <w:pPr>
              <w:jc w:val="right"/>
              <w:ind w:right="1250"/>
              <w:spacing w:after="0"/>
              <w:rPr>
                <w:sz w:val="20"/>
                <w:szCs w:val="20"/>
                <w:color w:val="auto"/>
              </w:rPr>
            </w:pPr>
            <w:r>
              <w:rPr>
                <w:rFonts w:ascii="Arial" w:cs="Arial" w:eastAsia="Arial" w:hAnsi="Arial"/>
                <w:sz w:val="18"/>
                <w:szCs w:val="18"/>
                <w:b w:val="1"/>
                <w:bCs w:val="1"/>
                <w:color w:val="auto"/>
              </w:rPr>
              <w:t>02139</w:t>
            </w:r>
          </w:p>
        </w:tc>
      </w:tr>
      <w:tr>
        <w:trPr>
          <w:trHeight w:val="234"/>
        </w:trPr>
        <w:tc>
          <w:tcPr>
            <w:tcW w:w="556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4060" w:type="dxa"/>
            <w:vAlign w:val="bottom"/>
          </w:tcPr>
          <w:p>
            <w:pPr>
              <w:jc w:val="center"/>
              <w:ind w:left="850"/>
              <w:spacing w:after="0"/>
              <w:rPr>
                <w:sz w:val="20"/>
                <w:szCs w:val="20"/>
                <w:color w:val="auto"/>
              </w:rPr>
            </w:pPr>
            <w:r>
              <w:rPr>
                <w:rFonts w:ascii="Arial" w:cs="Arial" w:eastAsia="Arial" w:hAnsi="Arial"/>
                <w:sz w:val="18"/>
                <w:szCs w:val="18"/>
                <w:b w:val="1"/>
                <w:bCs w:val="1"/>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2018 Employee Stock Purchase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Geoff MacKay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President and 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100 Technology Square</w:t>
      </w:r>
    </w:p>
    <w:p>
      <w:pPr>
        <w:jc w:val="center"/>
        <w:spacing w:after="0" w:line="231" w:lineRule="auto"/>
        <w:rPr>
          <w:sz w:val="20"/>
          <w:szCs w:val="20"/>
          <w:color w:val="auto"/>
        </w:rPr>
      </w:pPr>
      <w:r>
        <w:rPr>
          <w:rFonts w:ascii="Arial" w:cs="Arial" w:eastAsia="Arial" w:hAnsi="Arial"/>
          <w:sz w:val="22"/>
          <w:szCs w:val="22"/>
          <w:b w:val="1"/>
          <w:bCs w:val="1"/>
          <w:color w:val="auto"/>
        </w:rPr>
        <w:t>Sixth Floor</w:t>
      </w:r>
    </w:p>
    <w:p>
      <w:pPr>
        <w:jc w:val="center"/>
        <w:spacing w:after="0" w:line="230" w:lineRule="auto"/>
        <w:rPr>
          <w:sz w:val="20"/>
          <w:szCs w:val="20"/>
          <w:color w:val="auto"/>
        </w:rPr>
      </w:pPr>
      <w:r>
        <w:rPr>
          <w:rFonts w:ascii="Arial" w:cs="Arial" w:eastAsia="Arial" w:hAnsi="Arial"/>
          <w:sz w:val="22"/>
          <w:szCs w:val="22"/>
          <w:b w:val="1"/>
          <w:bCs w:val="1"/>
          <w:color w:val="auto"/>
        </w:rPr>
        <w:t>Cambridge, MA 02139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and address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(617) 914-8420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Copies to:</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Mitchell Bloom,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James Xu, Esq.</w:t>
      </w:r>
    </w:p>
    <w:p>
      <w:pPr>
        <w:jc w:val="center"/>
        <w:spacing w:after="0" w:line="230" w:lineRule="auto"/>
        <w:rPr>
          <w:sz w:val="20"/>
          <w:szCs w:val="20"/>
          <w:color w:val="auto"/>
        </w:rPr>
      </w:pPr>
      <w:r>
        <w:rPr>
          <w:rFonts w:ascii="Arial" w:cs="Arial" w:eastAsia="Arial" w:hAnsi="Arial"/>
          <w:sz w:val="22"/>
          <w:szCs w:val="22"/>
          <w:b w:val="1"/>
          <w:bCs w:val="1"/>
          <w:color w:val="auto"/>
        </w:rPr>
        <w:t>Goodwin Procter LLP</w:t>
      </w:r>
    </w:p>
    <w:p>
      <w:pPr>
        <w:jc w:val="center"/>
        <w:spacing w:after="0" w:line="231" w:lineRule="auto"/>
        <w:rPr>
          <w:sz w:val="20"/>
          <w:szCs w:val="20"/>
          <w:color w:val="auto"/>
        </w:rPr>
      </w:pPr>
      <w:r>
        <w:rPr>
          <w:rFonts w:ascii="Arial" w:cs="Arial" w:eastAsia="Arial" w:hAnsi="Arial"/>
          <w:sz w:val="22"/>
          <w:szCs w:val="22"/>
          <w:b w:val="1"/>
          <w:bCs w:val="1"/>
          <w:color w:val="auto"/>
        </w:rPr>
        <w:t>100 Northern Avenue</w:t>
      </w:r>
    </w:p>
    <w:p>
      <w:pPr>
        <w:jc w:val="center"/>
        <w:spacing w:after="0" w:line="230" w:lineRule="auto"/>
        <w:rPr>
          <w:sz w:val="20"/>
          <w:szCs w:val="20"/>
          <w:color w:val="auto"/>
        </w:rPr>
      </w:pPr>
      <w:r>
        <w:rPr>
          <w:rFonts w:ascii="Arial" w:cs="Arial" w:eastAsia="Arial" w:hAnsi="Arial"/>
          <w:sz w:val="22"/>
          <w:szCs w:val="22"/>
          <w:b w:val="1"/>
          <w:bCs w:val="1"/>
          <w:color w:val="auto"/>
        </w:rPr>
        <w:t>Boston, Massachusetts 02210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(617) 570-1000</w:t>
      </w:r>
    </w:p>
    <w:p>
      <w:pPr>
        <w:spacing w:after="0" w:line="215" w:lineRule="exact"/>
        <w:rPr>
          <w:sz w:val="24"/>
          <w:szCs w:val="24"/>
          <w:color w:val="auto"/>
        </w:rPr>
      </w:pPr>
    </w:p>
    <w:p>
      <w:pPr>
        <w:ind w:right="18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6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jc w:val="both"/>
        <w:ind w:right="140"/>
        <w:spacing w:after="0" w:line="279"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This Registration Statement on Form S-8 is being filed for the purpose of registering additional shares of common stock under the registrant’s 2018 Employee Stock Purchase Plan (the “ESPP”).</w:t>
      </w:r>
    </w:p>
    <w:p>
      <w:pPr>
        <w:spacing w:after="0" w:line="202"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The number of shares of common stock reserved and available for issuance under the ESPP is subject to an automatic annual increase on each January 1, by an amount equal to the lesser of (i) 1.0% of the number of shares of common stock issued and outstanding on the immediately preceding December 31, (ii) 1,115,700 shares or (iii) such amount as determined by the Administrator (as defined in the ESPP), currently the Compensation Committee of the registrant’s Board of Directors. Accordingly, on January 1, 2023, the number of shares of common stock reserved and available for issuance under the ESPP increased by 439,161 shares.</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additional shares described above are of the same class as other securities relating to the ESPP for which the registrant’s registration statements filed on Form S-8 (Registration No. 333-225788) on June 21, 2018, on Form S-8 (Registration No. 333-230494) on March 25, 2019, on Form S-8 (Registration No. 333-237203) on March 16, 2020, on Form S-8 (Registration No. 333-254466) on March 18, 2021 and on Form S-8 (Registration No. 333-263655) on March 17, 2022 are effective. The information contained in the registrant’s registration statement on Form S-8 (Registration No. 333-225788) is hereby incorporated by reference pursuant to General Instruction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40" w:type="dxa"/>
            <w:vAlign w:val="bottom"/>
          </w:tcPr>
          <w:p>
            <w:pPr>
              <w:jc w:val="center"/>
              <w:ind w:right="699"/>
              <w:spacing w:after="0"/>
              <w:rPr>
                <w:sz w:val="20"/>
                <w:szCs w:val="20"/>
                <w:color w:val="auto"/>
              </w:rPr>
            </w:pPr>
            <w:r>
              <w:rPr>
                <w:rFonts w:ascii="Arial" w:cs="Arial" w:eastAsia="Arial" w:hAnsi="Arial"/>
                <w:sz w:val="22"/>
                <w:szCs w:val="22"/>
                <w:b w:val="1"/>
                <w:bCs w:val="1"/>
                <w:color w:val="auto"/>
              </w:rPr>
              <w:t>Part II</w:t>
            </w:r>
          </w:p>
        </w:tc>
      </w:tr>
      <w:tr>
        <w:trPr>
          <w:trHeight w:val="28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40" w:type="dxa"/>
            <w:vAlign w:val="bottom"/>
          </w:tcPr>
          <w:p>
            <w:pPr>
              <w:jc w:val="center"/>
              <w:ind w:right="699"/>
              <w:spacing w:after="0"/>
              <w:rPr>
                <w:sz w:val="20"/>
                <w:szCs w:val="20"/>
                <w:color w:val="auto"/>
              </w:rPr>
            </w:pPr>
            <w:r>
              <w:rPr>
                <w:rFonts w:ascii="Arial" w:cs="Arial" w:eastAsia="Arial" w:hAnsi="Arial"/>
                <w:sz w:val="22"/>
                <w:szCs w:val="22"/>
                <w:b w:val="1"/>
                <w:bCs w:val="1"/>
                <w:color w:val="auto"/>
              </w:rPr>
              <w:t>INFORMATION REQUIRED IN THE REGISTRATION STATEMENT</w:t>
            </w:r>
          </w:p>
        </w:tc>
      </w:tr>
      <w:tr>
        <w:trPr>
          <w:trHeight w:val="449"/>
        </w:trPr>
        <w:tc>
          <w:tcPr>
            <w:tcW w:w="5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4"/>
              </w:rPr>
              <w:t>Item 8.</w:t>
            </w:r>
          </w:p>
        </w:tc>
        <w:tc>
          <w:tcPr>
            <w:tcW w:w="22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96"/>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40" w:type="dxa"/>
            <w:vAlign w:val="bottom"/>
          </w:tcPr>
          <w:p>
            <w:pPr>
              <w:jc w:val="center"/>
              <w:ind w:right="699"/>
              <w:spacing w:after="0"/>
              <w:rPr>
                <w:sz w:val="20"/>
                <w:szCs w:val="20"/>
                <w:color w:val="auto"/>
              </w:rPr>
            </w:pPr>
            <w:r>
              <w:rPr>
                <w:rFonts w:ascii="Arial" w:cs="Arial" w:eastAsia="Arial" w:hAnsi="Arial"/>
                <w:sz w:val="22"/>
                <w:szCs w:val="22"/>
                <w:b w:val="1"/>
                <w:bCs w:val="1"/>
                <w:color w:val="auto"/>
              </w:rPr>
              <w:t>EXHIBIT INDEX</w:t>
            </w:r>
          </w:p>
        </w:tc>
      </w:tr>
      <w:tr>
        <w:trPr>
          <w:trHeight w:val="431"/>
        </w:trPr>
        <w:tc>
          <w:tcPr>
            <w:tcW w:w="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10440" w:type="dxa"/>
            <w:vAlign w:val="bottom"/>
          </w:tcPr>
          <w:p>
            <w:pPr>
              <w:spacing w:after="0"/>
              <w:rPr>
                <w:sz w:val="24"/>
                <w:szCs w:val="24"/>
                <w:color w:val="auto"/>
              </w:rPr>
            </w:pPr>
          </w:p>
        </w:tc>
      </w:tr>
      <w:tr>
        <w:trPr>
          <w:trHeight w:val="241"/>
        </w:trPr>
        <w:tc>
          <w:tcPr>
            <w:tcW w:w="5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6"/>
              </w:rPr>
              <w:t>No.</w:t>
            </w:r>
          </w:p>
        </w:tc>
        <w:tc>
          <w:tcPr>
            <w:tcW w:w="220" w:type="dxa"/>
            <w:vAlign w:val="bottom"/>
          </w:tcPr>
          <w:p>
            <w:pPr>
              <w:spacing w:after="0"/>
              <w:rPr>
                <w:sz w:val="20"/>
                <w:szCs w:val="20"/>
                <w:color w:val="auto"/>
              </w:rPr>
            </w:pPr>
          </w:p>
        </w:tc>
        <w:tc>
          <w:tcPr>
            <w:tcW w:w="10440" w:type="dxa"/>
            <w:vAlign w:val="bottom"/>
            <w:tcBorders>
              <w:bottom w:val="single" w:sz="8" w:color="auto"/>
            </w:tcBorders>
          </w:tcPr>
          <w:p>
            <w:pPr>
              <w:ind w:left="47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Fourth Amended and Restated Certificate of Incorporation of the Registrant (filed as Exhibit 3.1 to the Registrant’s Current Report on Form 8-K</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filed on June 25, 2018 (File No. 001-38537) and incorporated herein by reference)</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Certificate of Change of Registered Agent and/or Registered Office of the Registrant (filed as Exhibit 3.2 to the Registrant’s Quarterly Report 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Form 10-Q filed on November 5, 2020 (File No. 001-38537) and incorporated herein by reference)</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Amended and Restated By-laws (filed as Exhibit 3.2 to the Registrant’s Current Report on Form 8-K filed on June 25, 2018 (File No. 001-</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38537) and incorporated herein by reference)</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Second Amended and Restated Investors’ Rights Agreement among the Registrant and certain of its stockholders, dated January 9, 2018 (filed</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2"/>
              </w:rPr>
              <w:t>as Exhibit 4.2 to the Registrant’s Registration Statement on Form S-1 filed on May 25, 2018 (File No. 333-225213) and incorporated herein by</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reference)</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96"/>
        </w:trPr>
        <w:tc>
          <w:tcPr>
            <w:tcW w:w="3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Opinion of Goodwin Procter LLP</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r>
      <w:tr>
        <w:trPr>
          <w:trHeight w:val="196"/>
        </w:trPr>
        <w:tc>
          <w:tcPr>
            <w:tcW w:w="5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r>
      <w:tr>
        <w:trPr>
          <w:trHeight w:val="196"/>
        </w:trPr>
        <w:tc>
          <w:tcPr>
            <w:tcW w:w="5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Consent of Goodwin Procter LLP (included in Exhibit 5.1)</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r>
      <w:tr>
        <w:trPr>
          <w:trHeight w:val="196"/>
        </w:trPr>
        <w:tc>
          <w:tcPr>
            <w:tcW w:w="5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rPr>
              <w:t>24.</w:t>
            </w:r>
            <w:r>
              <w:rPr>
                <w:rFonts w:ascii="Arial" w:cs="Arial" w:eastAsia="Arial" w:hAnsi="Arial"/>
                <w:sz w:val="18"/>
                <w:szCs w:val="18"/>
                <w:u w:val="single" w:color="auto"/>
                <w:color w:val="0000EE"/>
              </w:rPr>
              <w:t>1*</w:t>
            </w: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Power of Attorney (included on signature page)</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r>
      <w:tr>
        <w:trPr>
          <w:trHeight w:val="175"/>
        </w:trPr>
        <w:tc>
          <w:tcPr>
            <w:tcW w:w="360" w:type="dxa"/>
            <w:vAlign w:val="bottom"/>
            <w:gridSpan w:val="3"/>
            <w:shd w:val="clear" w:color="auto" w:fill="CCEEFF"/>
          </w:tcPr>
          <w:p>
            <w:pPr>
              <w:spacing w:after="0" w:line="176" w:lineRule="exact"/>
              <w:rPr>
                <w:rFonts w:ascii="Arial" w:cs="Arial" w:eastAsia="Arial" w:hAnsi="Arial"/>
                <w:sz w:val="18"/>
                <w:szCs w:val="18"/>
                <w:color w:val="0000EE"/>
                <w:w w:val="96"/>
              </w:rPr>
            </w:pPr>
            <w:hyperlink r:id="rId18">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2018 Employee Stock Purchase Plan (Incorporated by reference to Exhibit 10.14 to the registrant’s Registration Statement on Form S-1, as</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amended (File No. 333-225213))</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175"/>
        </w:trPr>
        <w:tc>
          <w:tcPr>
            <w:tcW w:w="3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107*</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6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Filing Fee Table</w:t>
            </w:r>
          </w:p>
        </w:tc>
      </w:tr>
      <w:tr>
        <w:trPr>
          <w:trHeight w:val="20"/>
        </w:trPr>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40" w:type="dxa"/>
            <w:vAlign w:val="bottom"/>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720" w:hanging="658"/>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0"/>
        <w:spacing w:after="0" w:line="207" w:lineRule="auto"/>
        <w:rPr>
          <w:sz w:val="20"/>
          <w:szCs w:val="20"/>
          <w:color w:val="auto"/>
        </w:rPr>
      </w:pPr>
      <w:r>
        <w:rPr>
          <w:rFonts w:ascii="Arial" w:cs="Arial" w:eastAsia="Arial" w:hAnsi="Arial"/>
          <w:sz w:val="22"/>
          <w:szCs w:val="22"/>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23</w:t>
      </w:r>
      <w:r>
        <w:rPr>
          <w:rFonts w:ascii="Arial" w:cs="Arial" w:eastAsia="Arial" w:hAnsi="Arial"/>
          <w:sz w:val="35"/>
          <w:szCs w:val="35"/>
          <w:color w:val="auto"/>
          <w:vertAlign w:val="superscript"/>
        </w:rPr>
        <w:t>rd</w:t>
      </w:r>
      <w:r>
        <w:rPr>
          <w:rFonts w:ascii="Arial" w:cs="Arial" w:eastAsia="Arial" w:hAnsi="Arial"/>
          <w:sz w:val="22"/>
          <w:szCs w:val="22"/>
          <w:color w:val="auto"/>
        </w:rPr>
        <w:t xml:space="preserve"> day of March, 2023.</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AND SIGNATURES</w:t>
      </w:r>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4"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Pursuant to the requirements of the Securities Act, this Registration Statement has been signed by the following persons in the capacities and on the date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860" w:type="dxa"/>
            <w:vAlign w:val="bottom"/>
          </w:tcPr>
          <w:p>
            <w:pPr>
              <w:jc w:val="center"/>
              <w:ind w:left="72"/>
              <w:spacing w:after="0"/>
              <w:rPr>
                <w:sz w:val="20"/>
                <w:szCs w:val="20"/>
                <w:color w:val="auto"/>
              </w:rPr>
            </w:pPr>
            <w:r>
              <w:rPr>
                <w:rFonts w:ascii="Arial" w:cs="Arial" w:eastAsia="Arial" w:hAnsi="Arial"/>
                <w:sz w:val="14"/>
                <w:szCs w:val="14"/>
                <w:b w:val="1"/>
                <w:bCs w:val="1"/>
                <w:color w:val="auto"/>
              </w:rPr>
              <w:t>Title</w:t>
            </w:r>
          </w:p>
        </w:tc>
        <w:tc>
          <w:tcPr>
            <w:tcW w:w="2180" w:type="dxa"/>
            <w:vAlign w:val="bottom"/>
          </w:tcPr>
          <w:p>
            <w:pPr>
              <w:jc w:val="center"/>
              <w:ind w:left="72"/>
              <w:spacing w:after="0"/>
              <w:rPr>
                <w:sz w:val="20"/>
                <w:szCs w:val="20"/>
                <w:color w:val="auto"/>
              </w:rPr>
            </w:pPr>
            <w:r>
              <w:rPr>
                <w:rFonts w:ascii="Arial" w:cs="Arial" w:eastAsia="Arial" w:hAnsi="Arial"/>
                <w:sz w:val="14"/>
                <w:szCs w:val="14"/>
                <w:b w:val="1"/>
                <w:bCs w:val="1"/>
                <w:color w:val="auto"/>
                <w:w w:val="98"/>
              </w:rPr>
              <w:t>Date</w:t>
            </w:r>
          </w:p>
        </w:tc>
      </w:tr>
      <w:tr>
        <w:trPr>
          <w:trHeight w:val="424"/>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1"/>
              </w:rPr>
              <w:t>Director, President, Chief Executive Officer and</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4860" w:type="dxa"/>
            <w:vAlign w:val="bottom"/>
          </w:tcPr>
          <w:p>
            <w:pPr>
              <w:jc w:val="center"/>
              <w:ind w:left="72"/>
              <w:spacing w:after="0" w:line="203" w:lineRule="exact"/>
              <w:rPr>
                <w:sz w:val="20"/>
                <w:szCs w:val="20"/>
                <w:color w:val="auto"/>
              </w:rPr>
            </w:pPr>
            <w:r>
              <w:rPr>
                <w:rFonts w:ascii="Arial" w:cs="Arial" w:eastAsia="Arial" w:hAnsi="Arial"/>
                <w:sz w:val="18"/>
                <w:szCs w:val="18"/>
                <w:i w:val="1"/>
                <w:iCs w:val="1"/>
                <w:color w:val="auto"/>
                <w:w w:val="94"/>
              </w:rPr>
              <w:t>Principal Executive Officer</w:t>
            </w: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4860" w:type="dxa"/>
            <w:vAlign w:val="bottom"/>
          </w:tcPr>
          <w:p>
            <w:pPr>
              <w:jc w:val="center"/>
              <w:ind w:left="72"/>
              <w:spacing w:after="0" w:line="203" w:lineRule="exact"/>
              <w:rPr>
                <w:sz w:val="20"/>
                <w:szCs w:val="20"/>
                <w:color w:val="auto"/>
              </w:rPr>
            </w:pPr>
            <w:r>
              <w:rPr>
                <w:rFonts w:ascii="Arial" w:cs="Arial" w:eastAsia="Arial" w:hAnsi="Arial"/>
                <w:sz w:val="18"/>
                <w:szCs w:val="18"/>
                <w:i w:val="1"/>
                <w:iCs w:val="1"/>
                <w:color w:val="auto"/>
                <w:w w:val="93"/>
              </w:rPr>
              <w:t>and Accounting Officer</w:t>
            </w: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2"/>
              </w:rPr>
              <w:t>Chairman of the Board of Directors</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2"/>
              </w:rPr>
              <w:t>Bruce Booth, D.Phil.</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Phillip B. Donenberg</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3"/>
              </w:rPr>
              <w:t>Phillip B. Donenberg</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8"/>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Gail M. Farfel</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4"/>
              </w:rPr>
              <w:t>Gail M. Farfel, Ph.D.</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Paige</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89"/>
              </w:rPr>
              <w:t>Christopher Paige, Ph.D.</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4860" w:type="dxa"/>
            <w:vAlign w:val="bottom"/>
          </w:tcPr>
          <w:p>
            <w:pPr>
              <w:jc w:val="center"/>
              <w:ind w:left="72"/>
              <w:spacing w:after="0"/>
              <w:rPr>
                <w:sz w:val="20"/>
                <w:szCs w:val="20"/>
                <w:color w:val="auto"/>
              </w:rPr>
            </w:pPr>
            <w:r>
              <w:rPr>
                <w:rFonts w:ascii="Arial" w:cs="Arial" w:eastAsia="Arial" w:hAnsi="Arial"/>
                <w:sz w:val="18"/>
                <w:szCs w:val="18"/>
                <w:i w:val="1"/>
                <w:iCs w:val="1"/>
                <w:color w:val="auto"/>
                <w:w w:val="98"/>
              </w:rPr>
              <w:t>Director</w:t>
            </w:r>
          </w:p>
        </w:tc>
        <w:tc>
          <w:tcPr>
            <w:tcW w:w="2180" w:type="dxa"/>
            <w:vAlign w:val="bottom"/>
          </w:tcPr>
          <w:p>
            <w:pPr>
              <w:jc w:val="center"/>
              <w:ind w:left="72"/>
              <w:spacing w:after="0"/>
              <w:rPr>
                <w:sz w:val="20"/>
                <w:szCs w:val="20"/>
                <w:color w:val="auto"/>
              </w:rPr>
            </w:pPr>
            <w:r>
              <w:rPr>
                <w:rFonts w:ascii="Arial" w:cs="Arial" w:eastAsia="Arial" w:hAnsi="Arial"/>
                <w:sz w:val="18"/>
                <w:szCs w:val="18"/>
                <w:color w:val="auto"/>
                <w:w w:val="91"/>
              </w:rPr>
              <w:t>March 23, 2023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48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587"/>
        </w:trPr>
        <w:tc>
          <w:tcPr>
            <w:tcW w:w="4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23,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AVROBIO, Inc.</w:t>
      </w:r>
    </w:p>
    <w:p>
      <w:pPr>
        <w:spacing w:after="0" w:line="238" w:lineRule="auto"/>
        <w:rPr>
          <w:sz w:val="20"/>
          <w:szCs w:val="20"/>
          <w:color w:val="auto"/>
        </w:rPr>
      </w:pPr>
      <w:r>
        <w:rPr>
          <w:rFonts w:ascii="Arial" w:cs="Arial" w:eastAsia="Arial" w:hAnsi="Arial"/>
          <w:sz w:val="22"/>
          <w:szCs w:val="22"/>
          <w:color w:val="auto"/>
        </w:rPr>
        <w:t>100 Technology Square</w:t>
      </w:r>
    </w:p>
    <w:p>
      <w:pPr>
        <w:spacing w:after="0" w:line="230" w:lineRule="auto"/>
        <w:rPr>
          <w:sz w:val="20"/>
          <w:szCs w:val="20"/>
          <w:color w:val="auto"/>
        </w:rPr>
      </w:pPr>
      <w:r>
        <w:rPr>
          <w:rFonts w:ascii="Arial" w:cs="Arial" w:eastAsia="Arial" w:hAnsi="Arial"/>
          <w:sz w:val="22"/>
          <w:szCs w:val="22"/>
          <w:color w:val="auto"/>
        </w:rPr>
        <w:t>Sixth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Securities Being Registered under Registration Statement on Form S-8</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acted as counsel to you in connection with your filing of a Registration Statement on Form S-8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pursuant to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on or about the date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relating to an aggregate of 439,161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Common Stock, $0.0001 par value per share (“</w:t>
      </w:r>
      <w:r>
        <w:rPr>
          <w:rFonts w:ascii="Arial" w:cs="Arial" w:eastAsia="Arial" w:hAnsi="Arial"/>
          <w:sz w:val="19"/>
          <w:szCs w:val="19"/>
          <w:u w:val="single" w:color="auto"/>
          <w:color w:val="auto"/>
        </w:rPr>
        <w:t>Common Stock</w:t>
      </w:r>
      <w:r>
        <w:rPr>
          <w:rFonts w:ascii="Arial" w:cs="Arial" w:eastAsia="Arial" w:hAnsi="Arial"/>
          <w:sz w:val="19"/>
          <w:szCs w:val="19"/>
          <w:color w:val="auto"/>
        </w:rPr>
        <w: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AVROBIO,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that may be issued pursuant to the Company’s 2018 Employee Stock</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Purchase Plan (the “</w:t>
      </w:r>
      <w:r>
        <w:rPr>
          <w:rFonts w:ascii="Arial" w:cs="Arial" w:eastAsia="Arial" w:hAnsi="Arial"/>
          <w:sz w:val="22"/>
          <w:szCs w:val="22"/>
          <w:u w:val="single" w:color="auto"/>
          <w:color w:val="auto"/>
        </w:rPr>
        <w:t>ESPP</w:t>
      </w:r>
      <w:r>
        <w:rPr>
          <w:rFonts w:ascii="Arial" w:cs="Arial" w:eastAsia="Arial" w:hAnsi="Arial"/>
          <w:sz w:val="22"/>
          <w:szCs w:val="22"/>
          <w:color w:val="auto"/>
        </w:rPr>
        <w:t>”).</w:t>
      </w:r>
    </w:p>
    <w:p>
      <w:pPr>
        <w:spacing w:after="0" w:line="215"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 set forth below is limited to the Delaware General Corporation Law.</w:t>
      </w:r>
    </w:p>
    <w:p>
      <w:pPr>
        <w:spacing w:after="0" w:line="233"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32"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Based on the foregoing, we are of the opinion that the Shares have been duly authorized and, upon issuance and delivery against payment therefor in accordance with the terms of the ESPP, will be validly issued, fully paid and nonassessable.</w:t>
      </w:r>
    </w:p>
    <w:p>
      <w:pPr>
        <w:spacing w:after="0" w:line="132"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 xml:space="preserve">This opinion letter and the opinion it contains shall be interpreted in accordance with the Core Opinion Principles as published in 74 </w:t>
      </w:r>
      <w:r>
        <w:rPr>
          <w:rFonts w:ascii="Arial" w:cs="Arial" w:eastAsia="Arial" w:hAnsi="Arial"/>
          <w:sz w:val="22"/>
          <w:szCs w:val="22"/>
          <w:i w:val="1"/>
          <w:iCs w:val="1"/>
          <w:color w:val="auto"/>
        </w:rPr>
        <w:t>Business Lawyer</w:t>
      </w:r>
      <w:r>
        <w:rPr>
          <w:rFonts w:ascii="Arial" w:cs="Arial" w:eastAsia="Arial" w:hAnsi="Arial"/>
          <w:sz w:val="22"/>
          <w:szCs w:val="22"/>
          <w:color w:val="auto"/>
        </w:rPr>
        <w:t xml:space="preserve"> 815 (Summer 2019).</w:t>
      </w:r>
    </w:p>
    <w:p>
      <w:pPr>
        <w:spacing w:after="0" w:line="202"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 (Form S-8) pertaining to the 2018 Employee Stock Purchase Plan of AVROBIO, Inc. of our report dated March 23, 2023, with respect to the consolidated financial statements of AVROBIO, Inc. included in its Annual Report (Form 10-K) for the year ended December 31, 2022, filed with the Securities and Exchange Commission.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Tables</w:t>
      </w:r>
    </w:p>
    <w:p>
      <w:pPr>
        <w:jc w:val="center"/>
        <w:spacing w:after="0" w:line="230" w:lineRule="auto"/>
        <w:rPr>
          <w:sz w:val="20"/>
          <w:szCs w:val="20"/>
          <w:color w:val="auto"/>
        </w:rPr>
      </w:pPr>
      <w:r>
        <w:rPr>
          <w:rFonts w:ascii="Arial" w:cs="Arial" w:eastAsia="Arial" w:hAnsi="Arial"/>
          <w:sz w:val="22"/>
          <w:szCs w:val="22"/>
          <w:b w:val="1"/>
          <w:bCs w:val="1"/>
          <w:color w:val="auto"/>
        </w:rPr>
        <w:t>S-8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AVROBIO,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Table 1: Newly Registered Securities</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Security Class</w:t>
            </w: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Calculation</w:t>
            </w:r>
          </w:p>
        </w:tc>
        <w:tc>
          <w:tcPr>
            <w:tcW w:w="134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7"/>
                <w:szCs w:val="17"/>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Price Per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Offering</w:t>
            </w: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Fee</w:t>
            </w:r>
          </w:p>
        </w:tc>
        <w:tc>
          <w:tcPr>
            <w:tcW w:w="100" w:type="dxa"/>
            <w:vAlign w:val="bottom"/>
          </w:tcPr>
          <w:p>
            <w:pPr>
              <w:spacing w:after="0"/>
              <w:rPr>
                <w:sz w:val="17"/>
                <w:szCs w:val="17"/>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51"/>
        </w:trPr>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Security Type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Rule</w:t>
            </w:r>
          </w:p>
        </w:tc>
        <w:tc>
          <w:tcPr>
            <w:tcW w:w="1340" w:type="dxa"/>
            <w:vAlign w:val="bottom"/>
            <w:tcBorders>
              <w:bottom w:val="single" w:sz="8" w:color="auto"/>
            </w:tcBorders>
          </w:tcPr>
          <w:p>
            <w:pPr>
              <w:jc w:val="center"/>
              <w:ind w:right="151"/>
              <w:spacing w:after="0" w:line="243" w:lineRule="exact"/>
              <w:rPr>
                <w:sz w:val="20"/>
                <w:szCs w:val="20"/>
                <w:color w:val="auto"/>
              </w:rPr>
            </w:pPr>
            <w:r>
              <w:rPr>
                <w:rFonts w:ascii="Arial" w:cs="Arial" w:eastAsia="Arial" w:hAnsi="Arial"/>
                <w:sz w:val="17"/>
                <w:szCs w:val="17"/>
                <w:b w:val="1"/>
                <w:bCs w:val="1"/>
                <w:color w:val="auto"/>
                <w:w w:val="88"/>
              </w:rPr>
              <w:t>Registered</w:t>
            </w:r>
            <w:r>
              <w:rPr>
                <w:rFonts w:ascii="Arial" w:cs="Arial" w:eastAsia="Arial" w:hAnsi="Arial"/>
                <w:sz w:val="28"/>
                <w:szCs w:val="28"/>
                <w:b w:val="1"/>
                <w:bCs w:val="1"/>
                <w:color w:val="auto"/>
                <w:w w:val="88"/>
                <w:vertAlign w:val="superscript"/>
              </w:rPr>
              <w:t>(1)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7"/>
              </w:rPr>
              <w:t>Unit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w:t>
            </w:r>
          </w:p>
        </w:tc>
        <w:tc>
          <w:tcPr>
            <w:tcW w:w="13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w:t>
            </w:r>
          </w:p>
        </w:tc>
        <w:tc>
          <w:tcPr>
            <w:tcW w:w="1300" w:type="dxa"/>
            <w:vAlign w:val="bottom"/>
            <w:shd w:val="clear" w:color="auto" w:fill="CCEEFF"/>
          </w:tcPr>
          <w:p>
            <w:pPr>
              <w:jc w:val="center"/>
              <w:ind w:right="10"/>
              <w:spacing w:after="0" w:line="201" w:lineRule="exact"/>
              <w:rPr>
                <w:sz w:val="20"/>
                <w:szCs w:val="20"/>
                <w:color w:val="auto"/>
              </w:rPr>
            </w:pPr>
            <w:r>
              <w:rPr>
                <w:rFonts w:ascii="Arial" w:cs="Arial" w:eastAsia="Arial" w:hAnsi="Arial"/>
                <w:sz w:val="18"/>
                <w:szCs w:val="18"/>
                <w:color w:val="auto"/>
                <w:w w:val="90"/>
              </w:rPr>
              <w:t>Rule 457(c) and</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par value $0.0001</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Rule 457(h)</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439,161</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461,119.05</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0.00011020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Offering Amounts</w:t>
            </w: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461,119.05</w:t>
            </w:r>
          </w:p>
        </w:tc>
        <w:tc>
          <w:tcPr>
            <w:tcW w:w="1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Total Fee Offsets</w:t>
            </w:r>
          </w:p>
        </w:tc>
        <w:tc>
          <w:tcPr>
            <w:tcW w:w="1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b w:val="1"/>
                <w:bCs w:val="1"/>
                <w:color w:val="auto"/>
              </w:rPr>
              <w:t>Net Fee Due</w:t>
            </w: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00" w:right="20" w:hanging="492"/>
        <w:spacing w:after="0" w:line="287"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an automatic increase of 439,161 shares of common stock to the number of shares available for issuance under the registrant’s 2018 Employee Stock Purchase Plan (the “ESPP”), effective January 1, 2023. Shares available for issuance under the ESPP were previously registered on a registration statement on Forms S-8 filed with the Securities and Exchange Commission on June 21, 2018 (Registration No. 333-225788), March 25, 2019 (Registration No. 333-230494), March 16, 2020 (Registration No. 333-237203), March 18, 2021 (Registration No. 333-254466) and March 17, 2022 (Registration No. 333-263655).</w:t>
      </w:r>
    </w:p>
    <w:p>
      <w:pPr>
        <w:spacing w:after="0" w:line="1" w:lineRule="exact"/>
        <w:rPr>
          <w:rFonts w:ascii="Arial" w:cs="Arial" w:eastAsia="Arial" w:hAnsi="Arial"/>
          <w:sz w:val="18"/>
          <w:szCs w:val="18"/>
          <w:color w:val="auto"/>
        </w:rPr>
      </w:pPr>
    </w:p>
    <w:p>
      <w:pPr>
        <w:ind w:left="500" w:right="20" w:hanging="492"/>
        <w:spacing w:after="0" w:line="273"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 of the Securities Act, and based on 85% of $1.23 per share, which represents the average of the high and low prices of the registrant’s common stock reported on the Nasdaq Global Select Market on March 20, 2023. Pursuant to the ESPP, the purchase price of the shares of common stock reserved for issuance thereunder will be 85% of the fair market value of a share of common stock on the first trading day of the offering period or on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4" Type="http://schemas.openxmlformats.org/officeDocument/2006/relationships/hyperlink" Target="https://www.sec.gov/Archives/edgar/data/1681087/000119312518202460/d153924dex31.htm" TargetMode="External"/><Relationship Id="rId15" Type="http://schemas.openxmlformats.org/officeDocument/2006/relationships/hyperlink" Target="https://www.sec.gov/Archives/edgar/data/1681087/000156459020051456/avro-ex32_90.htm" TargetMode="External"/><Relationship Id="rId16" Type="http://schemas.openxmlformats.org/officeDocument/2006/relationships/hyperlink" Target="https://www.sec.gov/Archives/edgar/data/1681087/000119312518202460/d153924dex32.htm" TargetMode="External"/><Relationship Id="rId17" Type="http://schemas.openxmlformats.org/officeDocument/2006/relationships/hyperlink" Target="https://www.sec.gov/Archives/edgar/data/1681087/000119312518175024/d562006dex42.htm" TargetMode="External"/><Relationship Id="rId18" Type="http://schemas.openxmlformats.org/officeDocument/2006/relationships/hyperlink" Target="https://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2023-03-23T20:13:11Z</dcterms:created>
  <dcterms:modified xsi:type="dcterms:W3CDTF">2023-03-23T20:13:11Z</dcterms:modified>
</cp:coreProperties>
</file>