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1"/>
          <w:szCs w:val="21"/>
          <w:color w:val="auto"/>
        </w:rPr>
        <w:t>SEC Form 4</w:t>
      </w:r>
    </w:p>
    <w:p>
      <w:pPr>
        <w:spacing w:after="0" w:line="51" w:lineRule="exact"/>
        <w:rPr>
          <w:sz w:val="24"/>
          <w:szCs w:val="24"/>
          <w:color w:val="auto"/>
        </w:rPr>
      </w:pPr>
    </w:p>
    <w:p>
      <w:pPr>
        <w:jc w:val="center"/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44" w:lineRule="exact"/>
        <w:rPr>
          <w:sz w:val="24"/>
          <w:szCs w:val="24"/>
          <w:color w:val="auto"/>
        </w:rPr>
      </w:pPr>
    </w:p>
    <w:p>
      <w:pPr>
        <w:ind w:left="360"/>
        <w:spacing w:after="0" w:line="243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-235585</wp:posOffset>
            </wp:positionV>
            <wp:extent cx="127000" cy="12700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21" w:lineRule="exact"/>
        <w:rPr>
          <w:sz w:val="24"/>
          <w:szCs w:val="24"/>
          <w:color w:val="auto"/>
        </w:rPr>
      </w:pPr>
    </w:p>
    <w:p>
      <w:pPr>
        <w:ind w:left="360" w:right="60"/>
        <w:spacing w:after="0" w:line="237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38100</wp:posOffset>
            </wp:positionH>
            <wp:positionV relativeFrom="paragraph">
              <wp:posOffset>-682625</wp:posOffset>
            </wp:positionV>
            <wp:extent cx="127000" cy="12700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7000" cy="1270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62"/>
        </w:trPr>
        <w:tc>
          <w:tcPr>
            <w:tcW w:w="6380" w:type="dxa"/>
            <w:vAlign w:val="bottom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8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1"/>
                <w:szCs w:val="21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63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6380" w:type="dxa"/>
            <w:vAlign w:val="bottom"/>
            <w:vMerge w:val="restart"/>
          </w:tcPr>
          <w:p>
            <w:pPr>
              <w:jc w:val="center"/>
              <w:ind w:right="3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2"/>
        </w:trPr>
        <w:tc>
          <w:tcPr>
            <w:tcW w:w="6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3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5313045</wp:posOffset>
            </wp:positionH>
            <wp:positionV relativeFrom="paragraph">
              <wp:posOffset>-646430</wp:posOffset>
            </wp:positionV>
            <wp:extent cx="59055" cy="65976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4043680</wp:posOffset>
            </wp:positionH>
            <wp:positionV relativeFrom="paragraph">
              <wp:posOffset>-646430</wp:posOffset>
            </wp:positionV>
            <wp:extent cx="59055" cy="65976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055" cy="65976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-1582420</wp:posOffset>
            </wp:positionH>
            <wp:positionV relativeFrom="paragraph">
              <wp:posOffset>772160</wp:posOffset>
            </wp:positionV>
            <wp:extent cx="6989445" cy="474726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89445" cy="47472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85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160"/>
            <w:col w:w="8600"/>
          </w:cols>
          <w:pgMar w:left="460" w:top="219" w:right="359" w:bottom="1440" w:gutter="0" w:footer="0" w:header="0"/>
        </w:sect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2"/>
          <w:szCs w:val="22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1"/>
          <w:szCs w:val="21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Lochner Daniel</w:t>
        </w:r>
      </w:hyperlink>
    </w:p>
    <w:p>
      <w:pPr>
        <w:spacing w:after="0" w:line="309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(Middle)</w:t>
      </w:r>
    </w:p>
    <w:p>
      <w:pPr>
        <w:spacing w:after="0" w:line="75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C/O TECTONIC THERAPEUTIC, INC.</w:t>
      </w:r>
    </w:p>
    <w:p>
      <w:pPr>
        <w:spacing w:after="0" w:line="71" w:lineRule="exact"/>
        <w:rPr>
          <w:sz w:val="24"/>
          <w:szCs w:val="24"/>
          <w:color w:val="auto"/>
        </w:r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490 ARSENAL WAY, SUITE 210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 w:line="6" w:lineRule="exact"/>
        <w:rPr>
          <w:sz w:val="24"/>
          <w:szCs w:val="24"/>
          <w:color w:val="auto"/>
        </w:rPr>
      </w:pPr>
    </w:p>
    <w:p>
      <w:pPr>
        <w:jc w:val="center"/>
        <w:ind w:right="115"/>
        <w:spacing w:after="0"/>
        <w:rPr>
          <w:rFonts w:ascii="Times New Roman" w:cs="Times New Roman" w:eastAsia="Times New Roman" w:hAnsi="Times New Roman"/>
          <w:sz w:val="21"/>
          <w:szCs w:val="21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1"/>
            <w:szCs w:val="21"/>
            <w:u w:val="single" w:color="auto"/>
            <w:color w:val="0000EE"/>
          </w:rPr>
          <w:t>Tectonic Therapeutic, Inc.</w:t>
        </w:r>
        <w:r>
          <w:rPr>
            <w:rFonts w:ascii="Times New Roman" w:cs="Times New Roman" w:eastAsia="Times New Roman" w:hAnsi="Times New Roman"/>
            <w:sz w:val="21"/>
            <w:szCs w:val="21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[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TECX</w:t>
      </w:r>
      <w:r>
        <w:rPr>
          <w:rFonts w:ascii="Times New Roman" w:cs="Times New Roman" w:eastAsia="Times New Roman" w:hAnsi="Times New Roman"/>
          <w:sz w:val="21"/>
          <w:szCs w:val="21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1"/>
          <w:szCs w:val="21"/>
          <w:color w:val="000000"/>
        </w:rPr>
        <w:t>]</w:t>
      </w:r>
    </w:p>
    <w:p>
      <w:pPr>
        <w:spacing w:after="0" w:line="376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3. Date of Earliest Transaction (Month/Day/Year)</w:t>
      </w:r>
    </w:p>
    <w:p>
      <w:pPr>
        <w:spacing w:after="0" w:line="1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02/05/2025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ind w:left="5" w:right="540" w:hanging="5"/>
        <w:spacing w:after="0" w:line="267" w:lineRule="auto"/>
        <w:tabs>
          <w:tab w:leader="none" w:pos="153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right"/>
        <w:ind w:right="420"/>
        <w:spacing w:after="0"/>
        <w:tabs>
          <w:tab w:leader="none" w:pos="82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Other (specify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525"/>
        <w:spacing w:after="0"/>
        <w:tabs>
          <w:tab w:leader="none" w:pos="2064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37" w:lineRule="exact"/>
        <w:rPr>
          <w:sz w:val="24"/>
          <w:szCs w:val="24"/>
          <w:color w:val="auto"/>
        </w:rPr>
      </w:pPr>
    </w:p>
    <w:p>
      <w:pPr>
        <w:ind w:left="765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Chief Financial Officer</w:t>
      </w:r>
    </w:p>
    <w:p>
      <w:pPr>
        <w:spacing w:after="0" w:line="42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200" w:space="720"/>
            <w:col w:w="3095" w:space="720"/>
            <w:col w:w="3345"/>
          </w:cols>
          <w:pgMar w:left="460" w:top="219" w:right="359" w:bottom="1440" w:gutter="0" w:footer="0" w:header="0"/>
          <w:type w:val="continuous"/>
        </w:sectPr>
      </w:pPr>
    </w:p>
    <w:tbl>
      <w:tblPr>
        <w:tblLayout w:type="fixed"/>
        <w:tblInd w:w="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202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8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3"/>
        </w:trPr>
        <w:tc>
          <w:tcPr>
            <w:tcW w:w="20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WATERTOWN  MA</w:t>
            </w:r>
          </w:p>
        </w:tc>
        <w:tc>
          <w:tcPr>
            <w:tcW w:w="1660" w:type="dxa"/>
            <w:vAlign w:val="bottom"/>
            <w:vMerge w:val="restart"/>
          </w:tcPr>
          <w:p>
            <w:pPr>
              <w:jc w:val="right"/>
              <w:ind w:right="67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02472</w:t>
            </w: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7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98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60" w:type="dxa"/>
            <w:vAlign w:val="bottom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3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9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80" w:type="dxa"/>
            <w:vAlign w:val="bottom"/>
            <w:vMerge w:val="restart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2"/>
        </w:trPr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9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8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52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(Zip)</w:t>
      </w:r>
    </w:p>
    <w:p>
      <w:pPr>
        <w:spacing w:after="0" w:line="195" w:lineRule="exact"/>
        <w:rPr>
          <w:sz w:val="24"/>
          <w:szCs w:val="24"/>
          <w:color w:val="auto"/>
        </w:r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23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6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780" w:type="dxa"/>
            <w:vAlign w:val="bottom"/>
            <w:gridSpan w:val="5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3180" w:type="dxa"/>
            <w:vAlign w:val="bottom"/>
            <w:gridSpan w:val="8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   Securities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gridSpan w:val="2"/>
          </w:tcPr>
          <w:p>
            <w:pPr>
              <w:ind w:left="5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2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40" w:type="dxa"/>
            <w:vAlign w:val="bottom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4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2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1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400" w:type="dxa"/>
            <w:vAlign w:val="bottom"/>
            <w:gridSpan w:val="2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6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02/05/2025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26"/>
                <w:szCs w:val="26"/>
                <w:color w:val="0000FF"/>
                <w:vertAlign w:val="subscript"/>
              </w:rPr>
              <w:t>P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4,617</w:t>
            </w:r>
            <w:r>
              <w:rPr>
                <w:rFonts w:ascii="Times New Roman" w:cs="Times New Roman" w:eastAsia="Times New Roman" w:hAnsi="Times New Roman"/>
                <w:sz w:val="22"/>
                <w:szCs w:val="22"/>
                <w:color w:val="008000"/>
                <w:vertAlign w:val="superscript"/>
              </w:rPr>
              <w:t>(1)</w:t>
            </w: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7"/>
              </w:rPr>
              <w:t>A</w:t>
            </w: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54.14</w:t>
            </w: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4,617</w:t>
            </w: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80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9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80" w:type="dxa"/>
            <w:vAlign w:val="bottom"/>
            <w:gridSpan w:val="10"/>
          </w:tcPr>
          <w:p>
            <w:pPr>
              <w:ind w:left="5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5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8. Price of</w:t>
            </w: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    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6"/>
              </w:rPr>
              <w:t>Amount 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Ownership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2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80" w:type="dxa"/>
            <w:vAlign w:val="bottom"/>
            <w:gridSpan w:val="2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40" w:type="dxa"/>
            <w:vAlign w:val="bottom"/>
            <w:gridSpan w:val="4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20" w:type="dxa"/>
            <w:vAlign w:val="bottom"/>
          </w:tcPr>
          <w:p>
            <w:pPr>
              <w:ind w:left="2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gridSpan w:val="2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 and 4)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40" w:type="dxa"/>
            <w:vAlign w:val="bottom"/>
            <w:gridSpan w:val="2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1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0" w:type="dxa"/>
            <w:vAlign w:val="bottom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1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V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7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42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</w:t>
            </w:r>
          </w:p>
        </w:tc>
        <w:tc>
          <w:tcPr>
            <w:tcW w:w="62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Shares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9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7005955</wp:posOffset>
            </wp:positionH>
            <wp:positionV relativeFrom="paragraph">
              <wp:posOffset>-1797685</wp:posOffset>
            </wp:positionV>
            <wp:extent cx="29845" cy="180213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9845" cy="18021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7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 w:right="480" w:firstLine="7"/>
        <w:spacing w:after="0" w:line="272" w:lineRule="auto"/>
        <w:tabs>
          <w:tab w:leader="none" w:pos="173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These shares of common stock were purchased in a private placement transaction on February 5, 2025, which was previously announced on the Issuer's Current Report on Form 8-K, filed with the Securities and Exchange Commission on February 3, 2025. These shares were offered and sold in reliance on the exemption afforded by Regulation D of the Securities Act of 1933, as amended.</w:t>
      </w:r>
    </w:p>
    <w:p>
      <w:pPr>
        <w:spacing w:after="0" w:line="25" w:lineRule="exact"/>
        <w:rPr>
          <w:sz w:val="24"/>
          <w:szCs w:val="24"/>
          <w:color w:val="auto"/>
        </w:rPr>
      </w:pPr>
    </w:p>
    <w:tbl>
      <w:tblPr>
        <w:tblLayout w:type="fixed"/>
        <w:tblInd w:w="658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95"/>
        </w:trPr>
        <w:tc>
          <w:tcPr>
            <w:tcW w:w="13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/s/ Daniel Lochner</w:t>
            </w:r>
          </w:p>
        </w:tc>
        <w:tc>
          <w:tcPr>
            <w:tcW w:w="7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auto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02/07/2025</w:t>
            </w:r>
          </w:p>
        </w:tc>
      </w:tr>
      <w:tr>
        <w:trPr>
          <w:trHeight w:val="235"/>
        </w:trPr>
        <w:tc>
          <w:tcPr>
            <w:tcW w:w="208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92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</w:tr>
    </w:tbl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50" w:lineRule="exact"/>
        <w:rPr>
          <w:sz w:val="24"/>
          <w:szCs w:val="24"/>
          <w:color w:val="auto"/>
        </w:rPr>
      </w:pPr>
    </w:p>
    <w:p>
      <w:pPr>
        <w:jc w:val="both"/>
        <w:ind w:left="40" w:right="3340" w:firstLine="7"/>
        <w:spacing w:after="0" w:line="320" w:lineRule="auto"/>
        <w:tabs>
          <w:tab w:leader="none" w:pos="181" w:val="left"/>
        </w:tabs>
        <w:numPr>
          <w:ilvl w:val="0"/>
          <w:numId w:val="3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6 for procedure.</w:t>
      </w:r>
    </w:p>
    <w:p>
      <w:pPr>
        <w:spacing w:after="0" w:line="1" w:lineRule="exact"/>
        <w:rPr>
          <w:rFonts w:ascii="Arial" w:cs="Arial" w:eastAsia="Arial" w:hAnsi="Arial"/>
          <w:sz w:val="13"/>
          <w:szCs w:val="13"/>
          <w:color w:val="auto"/>
        </w:rPr>
      </w:pPr>
    </w:p>
    <w:p>
      <w:pPr>
        <w:ind w:left="40"/>
        <w:spacing w:after="0"/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9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791187" TargetMode="External"/><Relationship Id="rId14" Type="http://schemas.openxmlformats.org/officeDocument/2006/relationships/hyperlink" Target="http://www.sec.gov/cgi-bin/browse-edgar?action=getcompany&amp;CIK=0001681087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2025-02-07T15:35:23Z</dcterms:created>
  <dcterms:modified xsi:type="dcterms:W3CDTF">2025-02-07T15:35:23Z</dcterms:modified>
</cp:coreProperties>
</file>