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Lauren Crockett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One Marina Park Drive,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02210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(781) 290-0770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Terrance McGuire</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657,976.00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657,976.00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657,976.00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20,262 shares of Common Stock (as defined in Item 1 of the Original Schedule 13D (as defined below))</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held by PFC I (as defined in Item 2(a) of the Original Schedule 13D), (ii) 64,652 shares of Common Stock held by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PFC II (as defined in Item 2(a) of the Original Schedule 13D) and (iii) 573,062 shares of Common Stock held by PP</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IX (as defined in Item 2(a) of the Original Schedule 13D). The aggregate amount beneficially owned does not include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11,760 shares of Common Stock underlying stock options granted to Mr. McGuire in his capacity as a director of the</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Issuer because such options are not exercisable as of the date of filing this Amendment (as defined in Item 1 below) or within 60 days thereafter. PFCM I (as defined in Item 2(a) of the Original Schedule 13D) is the general partner of PFC I. Each of Mr. Flint and Mr. McGuire, a member of the Issuer's (as defined in Item 1 of the Original Schedule 13D) board of directors, are managing members of PFCM I. Each of PFCM I, Mr. Flint and Mr. McGuire may be deemed to have shared voting, investment and dispositive power with respect to the shares held by PFC I. PFCM II (as defined in Item 2(a) of the Original Schedule 13D) is the general partner of PFC II. Each of Mr. Flint and Mr. McGuire, a member of the Issuer's board of directors, are managing members of PFCM II. Each of PFCM II, Mr. Flint and Mr. McGuire may be deemed to have shared voting, investment and dispositive power with respect to the shares held by PFC II. PP GP IX (as defined in Item 2(a) of the Original Schedule 13D) is the general partner of PP IX. The PP GP IX Managing Members (as defined in Item 2(c) of the Original Schedule 13D) are the managing members of PP GP IX, and Mr. McGuire, a member of the Issuer's board of directors, is an interest holder in PP GP IX. Each of PP GP IX, the PP GP IX Managing Members and Mr. McGuire may be deemed to have shared voting, investment and dispositive power with respect to the shares held by PP IX. Percentage based on 18,662,672 shares of Common Stock outstanding as of March 1, 2025, as set forth in the Issuer's Annual Report on Form 10-K for the year ended December 31, 2024, filed with the United States Securities and Exchange Commission (the "Commission") on March 20, 2025 (the "Form 10-K").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26"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573,062.00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573,062.00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573,062.00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PP IX. PP GP IX is the general partner of PP IX. The PP GP IX Managing Members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are the managing members of PP GP IX, and Mr. McGuire, a member of the Issuer's board of directors, is an interest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 in PP GP IX. Each of PP GP IX, the PP GP IX Managing Members and Mr. McGuire may be deemed to have</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shared voting, investment and dispositive power with respect to the shares held by PP IX. Percentage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18,662,672 shares of Common Stock outstanding as of March 1, 2025, as set forth in the Form 10-K.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Partners GP IX, L.L.C.</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639" w:right="339" w:bottom="262" w:gutter="0" w:footer="0" w:header="0"/>
        </w:sectPr>
      </w:pPr>
    </w:p>
    <w:bookmarkStart w:id="3" w:name="page4"/>
    <w:bookmarkEnd w:id="3"/>
    <w:p>
      <w:pPr>
        <w:ind w:left="1160"/>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573,062.00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573,062.00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573,062.00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PP IX. PP GP IX is the general partner of PP IX. The PP GP IX Managing Members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are the managing members of PP GP IX, and Mr. McGuire, a member of the Issuer's board of directors, is an interest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holder in PP GP IX. Each of PP GP IX, the PP GP IX Managing Members and Mr. McGuire may be deemed to have</w:t>
            </w:r>
          </w:p>
        </w:tc>
      </w:tr>
    </w:tbl>
    <w:p>
      <w:pPr>
        <w:jc w:val="both"/>
        <w:ind w:right="20"/>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shared voting, investment and dispositive power with respect to the shares held by PP IX. Percentage based on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18,662,672 shares of Common Stock outstanding as of March 1, 2025, as set forth in the Form 10-K.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 PFCM I is the general partner of PFC I. Each of Mr. Flint and Mr. McGuire,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member of the Issuer's board of directors, are managing members of PFCM I. Each of PFCM I, Mr. Flint and Mr.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PFC I. Percentage based on 18,662,672 shares of Common Stock outstanding as of March 1, 2025, as set forth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Form 10-K.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Management Co. 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9" w:right="339" w:bottom="0" w:gutter="0" w:footer="0" w:header="0"/>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20,262.00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 PFCM I is the general partner of PFC I. Each of Mr. Flint and Mr. McGuire, a</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member of the Issuer's board of directors, are managing members of PFCM I. Each of PFCM I, Mr. Flint and Mr.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PFC I. Percentage based on 18,662,672 shares of Common Stock outstanding as of March 1, 2025, as set forth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Form 10-K.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64,652.00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64,652.00</w:t>
      </w:r>
    </w:p>
    <w:p>
      <w:pPr>
        <w:sectPr>
          <w:pgSz w:w="11900" w:h="16838" w:orient="portrait"/>
          <w:cols w:equalWidth="0" w:num="2">
            <w:col w:w="1100" w:space="60"/>
            <w:col w:w="10080"/>
          </w:cols>
          <w:pgMar w:left="320" w:top="102" w:right="339" w:bottom="0" w:gutter="0" w:footer="0" w:header="0"/>
          <w:type w:val="continuous"/>
        </w:sectPr>
      </w:pPr>
    </w:p>
    <w:bookmarkStart w:id="6" w:name="page7"/>
    <w:bookmarkEnd w:id="6"/>
    <w:p>
      <w:pPr>
        <w:ind w:left="1160" w:right="4580" w:hanging="1112"/>
        <w:spacing w:after="0" w:line="371" w:lineRule="auto"/>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64,652.00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II. PFCM II is the general partner of PFC II. Each of Mr. Flint and Mr. McGuire,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 member of the Issuer's board of directors, are managing members of PFCM II. Each of PFCM II, Mr. Flint and Mr.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PFC II. Percentage based on 18,662,672 shares of Common Stock outstanding as of March 1, 2025, as set forth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Form 10-K.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Polaris Founders Capital Fund Management Co.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1" w:right="339" w:bottom="4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64,652.00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64,652.00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64,652.00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1" w:right="339" w:bottom="46" w:gutter="0" w:footer="0" w:header="0"/>
          <w:type w:val="continuous"/>
        </w:sectPr>
      </w:pPr>
    </w:p>
    <w:bookmarkStart w:id="7" w:name="page8"/>
    <w:bookmarkEnd w:id="7"/>
    <w:p>
      <w:pPr>
        <w:ind w:left="1160"/>
        <w:spacing w:after="0"/>
        <w:rPr>
          <w:sz w:val="20"/>
          <w:szCs w:val="20"/>
          <w:color w:val="auto"/>
        </w:rPr>
      </w:pPr>
      <w:r>
        <w:rPr>
          <w:rFonts w:ascii="Times New Roman" w:cs="Times New Roman" w:eastAsia="Times New Roman" w:hAnsi="Times New Roman"/>
          <w:sz w:val="22"/>
          <w:szCs w:val="22"/>
          <w:color w:val="auto"/>
        </w:rPr>
        <w:t>0.3 %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All shares are held of record by PFC II. PFCM II is the general partner of PFC II. Each of Mr. Flint and Mr. McGuire,</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a member of the Issuer's board of directors, are managing members of PFCM II. Each of PFCM II, Mr. Flint and Mr.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McGuire may be deemed to have shared voting, investment and dispositive power with respect to the shares held by</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PFC II. Percentage based on 18,662,672 shares of Common Stock outstanding as of March 1, 2025, as set forth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Form 10-K.</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Jonathan Flint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1"/>
                <w:szCs w:val="21"/>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84,914.00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84,914.00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84,914.00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Consists of (i) 20,262 shares of Common Stock held by PFC I and (ii) 64,652 shares of Common Stock held by PFC II.</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PFCM I is the general partner of PFC I. Each of Mr. Flint and Mr. McGuire, a member of the Issuer's board of</w:t>
            </w: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directors, are managing members of PFCM I. Each of PFCM I, Mr. Flint and Mr. McGuire may be deemed to have</w:t>
            </w:r>
          </w:p>
        </w:tc>
      </w:tr>
    </w:tbl>
    <w:p>
      <w:pPr>
        <w:sectPr>
          <w:pgSz w:w="11900" w:h="16838" w:orient="portrait"/>
          <w:cols w:equalWidth="0" w:num="1">
            <w:col w:w="11240"/>
          </w:cols>
          <w:pgMar w:left="320" w:top="111" w:right="339" w:bottom="0" w:gutter="0" w:footer="0" w:header="0"/>
        </w:sectPr>
      </w:pPr>
    </w:p>
    <w:bookmarkStart w:id="8" w:name="page9"/>
    <w:bookmarkEnd w:id="8"/>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Reporting </w:t>
      </w:r>
      <w:r>
        <w:rPr>
          <w:rFonts w:ascii="Times New Roman" w:cs="Times New Roman" w:eastAsia="Times New Roman" w:hAnsi="Times New Roman"/>
          <w:sz w:val="21"/>
          <w:szCs w:val="21"/>
          <w:color w:val="auto"/>
        </w:rPr>
        <w:t>shared voting, investment and dispositive power with respect to the shares held by PFC I. PFCM II is the general</w:t>
      </w:r>
      <w:r>
        <w:rPr>
          <w:rFonts w:ascii="Times New Roman" w:cs="Times New Roman" w:eastAsia="Times New Roman" w:hAnsi="Times New Roman"/>
          <w:sz w:val="19"/>
          <w:szCs w:val="19"/>
          <w:b w:val="1"/>
          <w:bCs w:val="1"/>
          <w:color w:val="auto"/>
        </w:rPr>
        <w:t xml:space="preserve"> Person:   </w:t>
      </w:r>
      <w:r>
        <w:rPr>
          <w:rFonts w:ascii="Times New Roman" w:cs="Times New Roman" w:eastAsia="Times New Roman" w:hAnsi="Times New Roman"/>
          <w:sz w:val="21"/>
          <w:szCs w:val="21"/>
          <w:color w:val="auto"/>
        </w:rPr>
        <w:t>partner of PFC II. Each of Mr. Flint and Mr. McGuire, a member of the Issuer's board of directors, are managing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members of PFCM II. Each of PFCM II, Mr. Flint and Mr. McGuire may be deemed to have shared voting, investment and dispositive power with respect to the shares held by PFC II. Percentage based on 18,662,672 shares of Common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Stock outstanding as of March 1, 2025, as set forth in the Form 10-K.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490 Arsenal Way, Suite 210, Watertown, MASSACHUSETTS , 02472.</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2 (this "Amendment") amends and supplements the Schedule 13D originally</w:t>
      </w:r>
    </w:p>
    <w:p>
      <w:pPr>
        <w:spacing w:after="0" w:line="18" w:lineRule="exact"/>
        <w:rPr>
          <w:sz w:val="20"/>
          <w:szCs w:val="20"/>
          <w:color w:val="auto"/>
        </w:rPr>
      </w:pPr>
    </w:p>
    <w:p>
      <w:pPr>
        <w:jc w:val="both"/>
        <w:ind w:left="1000" w:right="40" w:hanging="951"/>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filed by the Reporting Persons with the Commission on June 25, 2024, as amended by Amendment No. 1 filed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Commission on February 7, 2025 (collectively, the "Original Schedule 13D"). Only those items that are hereby reported are amended; all other items reports in the Original Schedule 13D remain unchanged. Information given in response to each item shall be deemed incorporated by reference in all other items, as applicable. Capitalized terms not defined in this Amendment have the meanings ascribed to them in the Original Schedule 13D.</w:t>
      </w:r>
    </w:p>
    <w:p>
      <w:pPr>
        <w:spacing w:after="0" w:line="1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700" w:hanging="912"/>
        <w:spacing w:after="0" w:line="185" w:lineRule="auto"/>
        <w:tabs>
          <w:tab w:leader="none" w:pos="960" w:val="left"/>
        </w:tabs>
        <w:numPr>
          <w:ilvl w:val="0"/>
          <w:numId w:val="1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ind w:left="960" w:right="700" w:hanging="912"/>
        <w:spacing w:after="0" w:line="185" w:lineRule="auto"/>
        <w:tabs>
          <w:tab w:leader="none" w:pos="960" w:val="left"/>
        </w:tabs>
        <w:numPr>
          <w:ilvl w:val="0"/>
          <w:numId w:val="1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and 13 of the cover pages of this Amendment for each Reporting Person and the corresponding comments.</w:t>
      </w:r>
    </w:p>
    <w:p>
      <w:pPr>
        <w:spacing w:after="0" w:line="17" w:lineRule="exact"/>
        <w:rPr>
          <w:rFonts w:ascii="Times New Roman" w:cs="Times New Roman" w:eastAsia="Times New Roman" w:hAnsi="Times New Roman"/>
          <w:sz w:val="39"/>
          <w:szCs w:val="39"/>
          <w:color w:val="auto"/>
          <w:vertAlign w:val="subscript"/>
        </w:rPr>
      </w:pPr>
    </w:p>
    <w:p>
      <w:pPr>
        <w:jc w:val="both"/>
        <w:ind w:left="960" w:right="18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On April 3, 2025, PP IX entered into Stock Purchase Agreements with each of Timothy A. Springer ("Dr. Springer") and TAS Partners LLC ("TAS"), pursuant to which Dr. Springer purchased 87,500 shares of Common Stock from PP</w:t>
      </w:r>
    </w:p>
    <w:p>
      <w:pPr>
        <w:ind w:left="960" w:right="80" w:hanging="912"/>
        <w:spacing w:after="0" w:line="235" w:lineRule="auto"/>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IX at a purchase price of $17.10 per share, or $1,496,250 in the aggregate, and TAS purchased 412,500 shares of Common Stock at a purchase price of $17.10 per share, or $7,053,750 in the aggregate. The closing occurred on April 7, 2025.</w:t>
      </w:r>
    </w:p>
    <w:p>
      <w:pPr>
        <w:spacing w:after="0" w:line="16" w:lineRule="exact"/>
        <w:rPr>
          <w:sz w:val="20"/>
          <w:szCs w:val="20"/>
          <w:color w:val="auto"/>
        </w:rPr>
      </w:pPr>
    </w:p>
    <w:p>
      <w:pPr>
        <w:ind w:left="960" w:hanging="912"/>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April 7, 2025</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Terrance McGuire</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Lauren Crockett/Attorney-in-Fact</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Lauren Crockett/General Counsel of Polaris</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Partners GP IX, L.L.C. the General Partner of</w:t>
      </w:r>
    </w:p>
    <w:p>
      <w:pPr>
        <w:ind w:left="6780"/>
        <w:spacing w:after="0"/>
        <w:rPr>
          <w:sz w:val="20"/>
          <w:szCs w:val="20"/>
          <w:color w:val="auto"/>
        </w:rPr>
      </w:pPr>
      <w:r>
        <w:rPr>
          <w:rFonts w:ascii="Times New Roman" w:cs="Times New Roman" w:eastAsia="Times New Roman" w:hAnsi="Times New Roman"/>
          <w:sz w:val="22"/>
          <w:szCs w:val="22"/>
          <w:color w:val="auto"/>
        </w:rPr>
        <w:t>Polaris Partners IX,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Polaris Partners GP IX,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Lauren Crockett</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Lauren Crockett/General Counsel</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Polaris Founders Capital Fund I,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Gregg Rubin</w:t>
      </w:r>
    </w:p>
    <w:p>
      <w:pPr>
        <w:sectPr>
          <w:pgSz w:w="11900" w:h="16838" w:orient="portrait"/>
          <w:cols w:equalWidth="0" w:num="1">
            <w:col w:w="11240"/>
          </w:cols>
          <w:pgMar w:left="320" w:top="111" w:right="339" w:bottom="0" w:gutter="0" w:footer="0" w:header="0"/>
        </w:sectPr>
      </w:pPr>
    </w:p>
    <w:bookmarkStart w:id="9" w:name="page10"/>
    <w:bookmarkEnd w:id="9"/>
    <w:p>
      <w:pPr>
        <w:ind w:left="5660"/>
        <w:spacing w:after="0"/>
        <w:rPr>
          <w:sz w:val="20"/>
          <w:szCs w:val="20"/>
          <w:color w:val="auto"/>
        </w:rPr>
      </w:pPr>
      <w:r>
        <w:rPr>
          <w:rFonts w:ascii="Times New Roman" w:cs="Times New Roman" w:eastAsia="Times New Roman" w:hAnsi="Times New Roman"/>
          <w:sz w:val="21"/>
          <w:szCs w:val="21"/>
          <w:color w:val="auto"/>
        </w:rPr>
        <w:t>Name/Title: Gregg Rubin/General Partner of Polaris Founders</w:t>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Capital Management Co. I, L.L.C. the General</w:t>
      </w:r>
    </w:p>
    <w:p>
      <w:pPr>
        <w:ind w:left="6740"/>
        <w:spacing w:after="0"/>
        <w:rPr>
          <w:sz w:val="20"/>
          <w:szCs w:val="20"/>
          <w:color w:val="auto"/>
        </w:rPr>
      </w:pPr>
      <w:r>
        <w:rPr>
          <w:rFonts w:ascii="Times New Roman" w:cs="Times New Roman" w:eastAsia="Times New Roman" w:hAnsi="Times New Roman"/>
          <w:sz w:val="22"/>
          <w:szCs w:val="22"/>
          <w:color w:val="auto"/>
        </w:rPr>
        <w:t>Partner of Polaris Founders Capital Fund 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Polaris Founders Capital Fund Management Co. I, L.L.C.</w:t>
      </w:r>
    </w:p>
    <w:p>
      <w:pPr>
        <w:spacing w:after="0" w:line="152"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Gregg Rubin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Gregg Rubin/General Partner</w:t>
      </w:r>
    </w:p>
    <w:p>
      <w:pPr>
        <w:spacing w:after="0" w:line="44"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Polaris Founders Capital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Harold Friedman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Harold Friedman/Vice President of Polaris</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Founders Capital Management Co. II, L.L.C. the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General Partner of Polaris Founders Capital Fund</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Polaris Founders Capital Fund Management Co. II, L.L.C.</w:t>
      </w:r>
    </w:p>
    <w:p>
      <w:pPr>
        <w:sectPr>
          <w:pgSz w:w="11900" w:h="16838" w:orient="portrait"/>
          <w:cols w:equalWidth="0" w:num="1">
            <w:col w:w="11160"/>
          </w:cols>
          <w:pgMar w:left="360" w:top="111" w:right="379" w:bottom="1440" w:gutter="0" w:footer="0" w:header="0"/>
        </w:sectPr>
      </w:pP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Harold Friedman</w:t>
      </w:r>
    </w:p>
    <w:p>
      <w:pPr>
        <w:spacing w:after="0" w:line="56" w:lineRule="exact"/>
        <w:rPr>
          <w:sz w:val="20"/>
          <w:szCs w:val="20"/>
          <w:color w:val="auto"/>
        </w:rPr>
      </w:pPr>
    </w:p>
    <w:p>
      <w:pPr>
        <w:sectPr>
          <w:pgSz w:w="11900" w:h="16838" w:orient="portrait"/>
          <w:cols w:equalWidth="0" w:num="2">
            <w:col w:w="4960" w:space="200"/>
            <w:col w:w="6000"/>
          </w:cols>
          <w:pgMar w:left="360" w:top="111" w:right="379" w:bottom="1440" w:gutter="0" w:footer="0" w:header="0"/>
          <w:type w:val="continuous"/>
        </w:sectPr>
      </w:pPr>
    </w:p>
    <w:p>
      <w:pPr>
        <w:ind w:left="4080"/>
        <w:spacing w:after="0"/>
        <w:rPr>
          <w:sz w:val="20"/>
          <w:szCs w:val="20"/>
          <w:color w:val="auto"/>
        </w:rPr>
      </w:pPr>
      <w:r>
        <w:rPr>
          <w:rFonts w:ascii="Times New Roman" w:cs="Times New Roman" w:eastAsia="Times New Roman" w:hAnsi="Times New Roman"/>
          <w:sz w:val="21"/>
          <w:szCs w:val="21"/>
          <w:color w:val="auto"/>
        </w:rPr>
        <w:t>Name/Title: Harold Friedman/Vice President</w:t>
      </w:r>
    </w:p>
    <w:p>
      <w:pPr>
        <w:sectPr>
          <w:pgSz w:w="11900" w:h="16838" w:orient="portrait"/>
          <w:cols w:equalWidth="0" w:num="1">
            <w:col w:w="11160"/>
          </w:cols>
          <w:pgMar w:left="360" w:top="111" w:right="379" w:bottom="1440" w:gutter="0" w:footer="0" w:header="0"/>
          <w:type w:val="continuous"/>
        </w:sectPr>
      </w:pPr>
    </w:p>
    <w:p>
      <w:pPr>
        <w:spacing w:after="0" w:line="5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04/07/2025</w:t>
      </w:r>
    </w:p>
    <w:p>
      <w:pPr>
        <w:spacing w:after="0" w:line="164" w:lineRule="exact"/>
        <w:rPr>
          <w:sz w:val="20"/>
          <w:szCs w:val="20"/>
          <w:color w:val="auto"/>
        </w:rPr>
      </w:pPr>
    </w:p>
    <w:p>
      <w:pPr>
        <w:sectPr>
          <w:pgSz w:w="11900" w:h="16838" w:orient="portrait"/>
          <w:cols w:equalWidth="0" w:num="2">
            <w:col w:w="4540" w:space="620"/>
            <w:col w:w="6000"/>
          </w:cols>
          <w:pgMar w:left="360" w:top="111" w:right="37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1"/>
          <w:szCs w:val="21"/>
          <w:color w:val="auto"/>
        </w:rPr>
        <w:t>Jonathan Flint</w:t>
      </w:r>
    </w:p>
    <w:p>
      <w:pPr>
        <w:sectPr>
          <w:pgSz w:w="11900" w:h="16838" w:orient="portrait"/>
          <w:cols w:equalWidth="0" w:num="1">
            <w:col w:w="11160"/>
          </w:cols>
          <w:pgMar w:left="360" w:top="111" w:right="379" w:bottom="1440" w:gutter="0" w:footer="0" w:header="0"/>
          <w:type w:val="continuous"/>
        </w:sectPr>
      </w:pPr>
    </w:p>
    <w:p>
      <w:pPr>
        <w:spacing w:after="0" w:line="16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Lauren Crockett*</w:t>
      </w:r>
    </w:p>
    <w:p>
      <w:pPr>
        <w:spacing w:after="0" w:line="56" w:lineRule="exact"/>
        <w:rPr>
          <w:sz w:val="20"/>
          <w:szCs w:val="20"/>
          <w:color w:val="auto"/>
        </w:rPr>
      </w:pPr>
    </w:p>
    <w:p>
      <w:pPr>
        <w:sectPr>
          <w:pgSz w:w="11900" w:h="16838" w:orient="portrait"/>
          <w:cols w:equalWidth="0" w:num="2">
            <w:col w:w="5100" w:space="200"/>
            <w:col w:w="5860"/>
          </w:cols>
          <w:pgMar w:left="360" w:top="111" w:right="379" w:bottom="1440" w:gutter="0" w:footer="0" w:header="0"/>
          <w:type w:val="continuous"/>
        </w:sectPr>
      </w:pPr>
    </w:p>
    <w:p>
      <w:pPr>
        <w:ind w:left="4200"/>
        <w:spacing w:after="0"/>
        <w:rPr>
          <w:sz w:val="20"/>
          <w:szCs w:val="20"/>
          <w:color w:val="auto"/>
        </w:rPr>
      </w:pPr>
      <w:r>
        <w:rPr>
          <w:rFonts w:ascii="Times New Roman" w:cs="Times New Roman" w:eastAsia="Times New Roman" w:hAnsi="Times New Roman"/>
          <w:sz w:val="21"/>
          <w:szCs w:val="21"/>
          <w:color w:val="auto"/>
        </w:rPr>
        <w:t>Name/Title: Lauren Crockett/Attorney-in-Fact</w:t>
      </w:r>
    </w:p>
    <w:p>
      <w:pPr>
        <w:sectPr>
          <w:pgSz w:w="11900" w:h="16838" w:orient="portrait"/>
          <w:cols w:equalWidth="0" w:num="1">
            <w:col w:w="11160"/>
          </w:cols>
          <w:pgMar w:left="360" w:top="111" w:right="379" w:bottom="1440" w:gutter="0" w:footer="0" w:header="0"/>
          <w:type w:val="continuous"/>
        </w:sectPr>
      </w:pPr>
    </w:p>
    <w:p>
      <w:pPr>
        <w:spacing w:after="0" w:line="5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04/07/2025</w:t>
      </w:r>
    </w:p>
    <w:p>
      <w:pPr>
        <w:spacing w:after="0" w:line="123" w:lineRule="exact"/>
        <w:rPr>
          <w:sz w:val="20"/>
          <w:szCs w:val="20"/>
          <w:color w:val="auto"/>
        </w:rPr>
      </w:pPr>
    </w:p>
    <w:p>
      <w:pPr>
        <w:sectPr>
          <w:pgSz w:w="11900" w:h="16838" w:orient="portrait"/>
          <w:cols w:equalWidth="0" w:num="2">
            <w:col w:w="4680" w:space="620"/>
            <w:col w:w="5860"/>
          </w:cols>
          <w:pgMar w:left="360" w:top="111" w:right="379" w:bottom="1440" w:gutter="0" w:footer="0" w:header="0"/>
          <w:type w:val="continuous"/>
        </w:sectPr>
      </w:pPr>
    </w:p>
    <w:p>
      <w:pPr>
        <w:spacing w:after="0" w:line="3"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Comments accompanying signature: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 This Amendment was executed pursuant to a Power of Attorney. Note that copies of the applicable Powers of Attorney are already on file with the appropriate agencies.]</w:t>
      </w:r>
    </w:p>
    <w:sectPr>
      <w:pgSz w:w="11900" w:h="16838" w:orient="portrait"/>
      <w:cols w:equalWidth="0" w:num="2">
        <w:col w:w="1240" w:space="720"/>
        <w:col w:w="920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2"/>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2"/>
      <w:numFmt w:val="bullet"/>
      <w:start w:val="1"/>
    </w:lvl>
  </w:abstractNum>
  <w:abstractNum w:abstractNumId="7">
    <w:nsid w:val="3352255A"/>
    <w:multiLevelType w:val="hybridMultilevel"/>
    <w:lvl w:ilvl="0">
      <w:lvlJc w:val="left"/>
      <w:lvlText w:val="3"/>
      <w:numFmt w:val="bullet"/>
      <w:start w:val="1"/>
    </w:lvl>
  </w:abstractNum>
  <w:abstractNum w:abstractNumId="8">
    <w:nsid w:val="109CF92E"/>
    <w:multiLevelType w:val="hybridMultilevel"/>
    <w:lvl w:ilvl="0">
      <w:lvlJc w:val="left"/>
      <w:lvlText w:val="5"/>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2"/>
      <w:numFmt w:val="bullet"/>
      <w:start w:val="1"/>
    </w:lvl>
  </w:abstractNum>
  <w:abstractNum w:abstractNumId="12">
    <w:nsid w:val="41A7C4C9"/>
    <w:multiLevelType w:val="hybridMultilevel"/>
    <w:lvl w:ilvl="0">
      <w:lvlJc w:val="left"/>
      <w:lvlText w:val="%1"/>
      <w:numFmt w:val="decimal"/>
      <w:start w:val="11"/>
    </w:lvl>
  </w:abstractNum>
  <w:abstractNum w:abstractNumId="13">
    <w:nsid w:val="6B68079A"/>
    <w:multiLevelType w:val="hybridMultilevel"/>
    <w:lvl w:ilvl="0">
      <w:lvlJc w:val="left"/>
      <w:lvlText w:val="2"/>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3"/>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2025-04-07T16:24:19Z</dcterms:created>
  <dcterms:modified xsi:type="dcterms:W3CDTF">2025-04-07T16:24:19Z</dcterms:modified>
</cp:coreProperties>
</file>