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June 4, 2020</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206" w:right="499" w:bottom="1440" w:gutter="0" w:footer="0" w:header="0"/>
        </w:sectPr>
      </w:pPr>
    </w:p>
    <w:p>
      <w:pPr>
        <w:spacing w:after="0" w:line="205"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640" w:space="720"/>
            <w:col w:w="2900" w:space="720"/>
            <w:col w:w="2100"/>
          </w:cols>
          <w:pgMar w:left="320" w:top="206" w:right="499" w:bottom="1440" w:gutter="0" w:footer="0" w:header="0"/>
          <w:type w:val="continuous"/>
        </w:sectPr>
      </w:pPr>
    </w:p>
    <w:p>
      <w:pPr>
        <w:spacing w:after="0" w:line="12" w:lineRule="exact"/>
        <w:rPr>
          <w:sz w:val="24"/>
          <w:szCs w:val="24"/>
          <w:color w:val="auto"/>
        </w:rPr>
      </w:pPr>
    </w:p>
    <w:p>
      <w:pPr>
        <w:jc w:val="center"/>
        <w:ind w:right="700"/>
        <w:spacing w:after="0"/>
        <w:rPr>
          <w:sz w:val="20"/>
          <w:szCs w:val="20"/>
          <w:color w:val="auto"/>
        </w:rPr>
      </w:pPr>
      <w:r>
        <w:rPr>
          <w:rFonts w:ascii="Arial" w:cs="Arial" w:eastAsia="Arial" w:hAnsi="Arial"/>
          <w:sz w:val="13"/>
          <w:szCs w:val="13"/>
          <w:b w:val="1"/>
          <w:bCs w:val="1"/>
          <w:color w:val="auto"/>
        </w:rPr>
        <w:t>(State or other jurisdiction</w:t>
      </w:r>
    </w:p>
    <w:p>
      <w:pPr>
        <w:jc w:val="center"/>
        <w:ind w:right="7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780" w:space="720"/>
            <w:col w:w="2240"/>
          </w:cols>
          <w:pgMar w:left="320" w:top="206" w:right="499" w:bottom="1440" w:gutter="0" w:footer="0" w:header="0"/>
          <w:type w:val="continuous"/>
        </w:sectPr>
      </w:pP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080"/>
          </w:cols>
          <w:pgMar w:left="320" w:top="206" w:right="499" w:bottom="1440" w:gutter="0" w:footer="0" w:header="0"/>
          <w:type w:val="continuous"/>
        </w:sectPr>
      </w:pPr>
    </w:p>
    <w:p>
      <w:pPr>
        <w:spacing w:after="0" w:line="20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Trading</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880" w:type="dxa"/>
            <w:vAlign w:val="bottom"/>
          </w:tcPr>
          <w:p>
            <w:pPr>
              <w:spacing w:after="0"/>
              <w:rPr>
                <w:sz w:val="20"/>
                <w:szCs w:val="20"/>
                <w:color w:val="auto"/>
              </w:rPr>
            </w:pPr>
          </w:p>
        </w:tc>
        <w:tc>
          <w:tcPr>
            <w:tcW w:w="4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34"/>
        </w:trPr>
        <w:tc>
          <w:tcPr>
            <w:tcW w:w="88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4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19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206"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80" w:firstLine="546"/>
        <w:spacing w:after="0" w:line="308" w:lineRule="auto"/>
        <w:rPr>
          <w:sz w:val="20"/>
          <w:szCs w:val="20"/>
          <w:color w:val="auto"/>
        </w:rPr>
      </w:pPr>
      <w:r>
        <w:rPr>
          <w:rFonts w:ascii="Arial" w:cs="Arial" w:eastAsia="Arial" w:hAnsi="Arial"/>
          <w:sz w:val="17"/>
          <w:szCs w:val="17"/>
          <w:color w:val="auto"/>
        </w:rPr>
        <w:t>On June 4, 2020, AVROBIO, Inc. (the “Company”) held its previously announced 2020 Annual Meeting of Stockholders (the “Meeting”), at which a quorum was present. The proposals voted on at the Meeting and the final voting results for each proposal are as follows:</w:t>
      </w:r>
    </w:p>
    <w:p>
      <w:pPr>
        <w:spacing w:after="0" w:line="38" w:lineRule="exact"/>
        <w:rPr>
          <w:sz w:val="20"/>
          <w:szCs w:val="20"/>
          <w:color w:val="auto"/>
        </w:rPr>
      </w:pPr>
    </w:p>
    <w:p>
      <w:pPr>
        <w:ind w:right="500" w:firstLine="554"/>
        <w:spacing w:after="0" w:line="277" w:lineRule="auto"/>
        <w:tabs>
          <w:tab w:leader="none" w:pos="72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the two director nominees listed below to serve as Class II directors until the Company’s 2023 annual meeting of stockholders, with the votes cast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Nominee</w:t>
            </w: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Votes For</w:t>
            </w: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Votes Withheld</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Broker Non-</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Ian Clark</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19,402,202</w:t>
            </w:r>
          </w:p>
        </w:tc>
        <w:tc>
          <w:tcPr>
            <w:tcW w:w="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11,160,529</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4,076,826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Annalisa Jenkins, M.B.B.S., F.R.C.P.</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25,186,686</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5,376,045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4,076,826</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firstLine="554"/>
        <w:spacing w:after="0" w:line="277" w:lineRule="auto"/>
        <w:tabs>
          <w:tab w:leader="none" w:pos="7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2020, with the votes cast as follows: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For</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174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34,618,405</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rPr>
              <w:t>19,412</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ind w:right="499"/>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7" w:lineRule="exact"/>
        <w:rPr>
          <w:sz w:val="20"/>
          <w:szCs w:val="20"/>
          <w:color w:val="auto"/>
        </w:rPr>
      </w:pPr>
    </w:p>
    <w:p>
      <w:pPr>
        <w:ind w:left="740" w:hanging="186"/>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stockholders approved an amendment to the AVROBIO, Inc. 2018 Stock Option and Incentive Plan, with the votes cast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For</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174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24,179,440</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6,377,237</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ind w:right="499"/>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4,076,826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90"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First Amendment to the AVROBIO, Inc. 2018 Stock Option and Incentive Plan</w:t>
        </w:r>
      </w:hyperlink>
      <w:r>
        <w:rPr>
          <w:rFonts w:ascii="Arial" w:cs="Arial" w:eastAsia="Arial" w:hAnsi="Arial"/>
          <w:sz w:val="16"/>
          <w:szCs w:val="16"/>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440" w:type="dxa"/>
            <w:vAlign w:val="bottom"/>
            <w:gridSpan w:val="2"/>
          </w:tcPr>
          <w:p>
            <w:pPr>
              <w:ind w:left="2120"/>
              <w:spacing w:after="0"/>
              <w:rPr>
                <w:sz w:val="20"/>
                <w:szCs w:val="20"/>
                <w:color w:val="auto"/>
              </w:rPr>
            </w:pPr>
            <w:r>
              <w:rPr>
                <w:rFonts w:ascii="Arial" w:cs="Arial" w:eastAsia="Arial" w:hAnsi="Arial"/>
                <w:sz w:val="18"/>
                <w:szCs w:val="18"/>
                <w:color w:val="auto"/>
              </w:rPr>
              <w:t>AVROBIO, INC.</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June 9, 2020</w:t>
            </w:r>
          </w:p>
        </w:tc>
        <w:tc>
          <w:tcPr>
            <w:tcW w:w="2740" w:type="dxa"/>
            <w:vAlign w:val="bottom"/>
          </w:tcPr>
          <w:p>
            <w:pPr>
              <w:ind w:left="212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215"/>
        </w:trPr>
        <w:tc>
          <w:tcPr>
            <w:tcW w:w="3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230"/>
        </w:trPr>
        <w:tc>
          <w:tcPr>
            <w:tcW w:w="3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First Amendment (this “Amendment”) to the AVROBIO, Inc. 2018 Stock Option and Incentive Plan (the “Plan”), of AVROBIO, Inc. (the “Company”) is effective as of the date of approval by the Company’s stockholders (the “Effective Date”). Capitalized terms used herein and not otherwise defined shall have the meanings ascribed to such terms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the Effective Date, the Plan shall be amended as follows:</w:t>
      </w:r>
    </w:p>
    <w:p>
      <w:pPr>
        <w:spacing w:after="0" w:line="117"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3(a) of the Plan is hereby deleted in its entirety and replaced with the following:</w:t>
      </w:r>
    </w:p>
    <w:p>
      <w:pPr>
        <w:spacing w:after="0" w:line="117" w:lineRule="exact"/>
        <w:rPr>
          <w:rFonts w:ascii="Arial" w:cs="Arial" w:eastAsia="Arial" w:hAnsi="Arial"/>
          <w:sz w:val="18"/>
          <w:szCs w:val="18"/>
          <w:color w:val="auto"/>
        </w:rPr>
      </w:pPr>
    </w:p>
    <w:p>
      <w:pPr>
        <w:jc w:val="both"/>
        <w:ind w:left="560" w:firstLine="513"/>
        <w:spacing w:after="0" w:line="286" w:lineRule="auto"/>
        <w:tabs>
          <w:tab w:leader="none" w:pos="192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6,349,279 shares (the “Initial Limit”), subject to adjustment as provided in Section 3(c), plus on each of January 1, 2021 and January 1, 2022, the number of shares of Stock reserved and available for issuance under the Plan shall be cumulatively increased by 4 percent of the number of shares of Stock issued and outstanding on the immediately preceding December 31 or such lesser number of shares as determined by the Administrator (the “Annual Increase”).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(including, for the avoidance of doubt, any such shares of Stock that are subject to such treatment between April 16, 2020 and the Effective Date)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the maximum aggregate number of shares of Stock that may be issued in the form of Incentive Stock Options shall not exceed the Initial Limit cumulatively increased on each of January 1, 2021 and January 1, 2022 by the lesser of the Annual Increase for such year or 19,047,837 shares of Stock, subject in all cases to adjustment as provided in Section 3(c).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7" w:lineRule="exact"/>
        <w:rPr>
          <w:rFonts w:ascii="Arial" w:cs="Arial" w:eastAsia="Arial" w:hAnsi="Arial"/>
          <w:sz w:val="16"/>
          <w:szCs w:val="16"/>
          <w:color w:val="auto"/>
        </w:rPr>
      </w:pPr>
    </w:p>
    <w:p>
      <w:pPr>
        <w:ind w:left="400" w:hanging="392"/>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Except as expressly amended by this Amendment, the Plan shall continue in full force and effect in accordance with the provisions thereof.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Amendment to be duly executed as of the date first written above.</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14605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540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and President</w:t>
      </w:r>
    </w:p>
    <w:sectPr>
      <w:pgSz w:w="11900" w:h="16838" w:orient="portrait"/>
      <w:cols w:equalWidth="0" w:num="1">
        <w:col w:w="9339"/>
      </w:cols>
      <w:pgMar w:left="11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2020-06-09T15:31:40Z</dcterms:created>
  <dcterms:modified xsi:type="dcterms:W3CDTF">2020-06-09T15:31:40Z</dcterms:modified>
</cp:coreProperties>
</file>