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SCHEDULE 13G</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of Issuer)</w:t>
      </w:r>
    </w:p>
    <w:p>
      <w:pPr>
        <w:spacing w:after="0" w:line="221" w:lineRule="exact"/>
        <w:rPr>
          <w:sz w:val="24"/>
          <w:szCs w:val="24"/>
          <w:color w:val="auto"/>
        </w:rPr>
      </w:pPr>
    </w:p>
    <w:p>
      <w:pPr>
        <w:ind w:left="4680"/>
        <w:spacing w:after="0"/>
        <w:rPr>
          <w:sz w:val="20"/>
          <w:szCs w:val="20"/>
          <w:color w:val="auto"/>
        </w:rPr>
      </w:pPr>
      <w:r>
        <w:rPr>
          <w:rFonts w:ascii="Arial" w:cs="Arial" w:eastAsia="Arial" w:hAnsi="Arial"/>
          <w:sz w:val="16"/>
          <w:szCs w:val="16"/>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700"/>
        <w:spacing w:after="0"/>
        <w:rPr>
          <w:sz w:val="20"/>
          <w:szCs w:val="20"/>
          <w:color w:val="auto"/>
        </w:rPr>
      </w:pPr>
      <w:r>
        <w:rPr>
          <w:rFonts w:ascii="Arial" w:cs="Arial" w:eastAsia="Arial" w:hAnsi="Arial"/>
          <w:sz w:val="16"/>
          <w:szCs w:val="16"/>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Event which Requires Filing of this Statement)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2" w:lineRule="exact"/>
        <w:rPr>
          <w:sz w:val="24"/>
          <w:szCs w:val="24"/>
          <w:color w:val="auto"/>
        </w:rPr>
      </w:pPr>
    </w:p>
    <w:p>
      <w:pPr>
        <w:jc w:val="both"/>
        <w:ind w:right="10080" w:firstLine="8"/>
        <w:spacing w:after="0" w:line="209" w:lineRule="exact"/>
        <w:tabs>
          <w:tab w:leader="none" w:pos="162"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Rule 13d-1(b) </w:t>
      </w:r>
      <w:r>
        <w:rPr>
          <w:rFonts w:ascii="MS PGothic" w:cs="MS PGothic" w:eastAsia="MS PGothic" w:hAnsi="MS PGothic"/>
          <w:sz w:val="15"/>
          <w:szCs w:val="15"/>
          <w:color w:val="auto"/>
        </w:rPr>
        <w:t>☐</w:t>
      </w:r>
      <w:r>
        <w:rPr>
          <w:rFonts w:ascii="Arial" w:cs="Arial" w:eastAsia="Arial" w:hAnsi="Arial"/>
          <w:sz w:val="15"/>
          <w:szCs w:val="15"/>
          <w:color w:val="auto"/>
        </w:rPr>
        <w:t xml:space="preserve"> Rule 13d-1(c) </w:t>
      </w:r>
      <w:r>
        <w:rPr>
          <w:rFonts w:ascii="MS PGothic" w:cs="MS PGothic" w:eastAsia="MS PGothic" w:hAnsi="MS PGothic"/>
          <w:sz w:val="15"/>
          <w:szCs w:val="15"/>
          <w:color w:val="auto"/>
        </w:rPr>
        <w:t>☐</w:t>
      </w:r>
      <w:r>
        <w:rPr>
          <w:rFonts w:ascii="Arial" w:cs="Arial" w:eastAsia="Arial" w:hAnsi="Arial"/>
          <w:sz w:val="15"/>
          <w:szCs w:val="15"/>
          <w:color w:val="auto"/>
        </w:rPr>
        <w:t xml:space="preserve"> Rule 13d-1(d)</w:t>
      </w:r>
    </w:p>
    <w:p>
      <w:pPr>
        <w:spacing w:after="0" w:line="181" w:lineRule="exact"/>
        <w:rPr>
          <w:sz w:val="24"/>
          <w:szCs w:val="24"/>
          <w:color w:val="auto"/>
        </w:rPr>
      </w:pPr>
    </w:p>
    <w:p>
      <w:pPr>
        <w:ind w:firstLine="8"/>
        <w:spacing w:after="0" w:line="198" w:lineRule="auto"/>
        <w:tabs>
          <w:tab w:leader="none" w:pos="112"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9"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tabs>
          <w:tab w:leader="none" w:pos="5420" w:val="left"/>
          <w:tab w:leader="none" w:pos="102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240665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800" w:right="7840" w:hanging="795"/>
        <w:spacing w:after="0" w:line="432" w:lineRule="auto"/>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NAMES OF REPORTING PERSONS Bay Resource Partners, L.P.</w:t>
      </w:r>
    </w:p>
    <w:p>
      <w:pPr>
        <w:ind w:left="800" w:right="5860" w:hanging="795"/>
        <w:spacing w:after="0" w:line="266"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140" w:hanging="338"/>
        <w:spacing w:after="0"/>
        <w:tabs>
          <w:tab w:leader="none" w:pos="1140" w:val="left"/>
        </w:tabs>
        <w:numPr>
          <w:ilvl w:val="1"/>
          <w:numId w:val="3"/>
        </w:numPr>
        <w:rPr>
          <w:rFonts w:ascii="Arial" w:cs="Arial" w:eastAsia="Arial" w:hAnsi="Arial"/>
          <w:sz w:val="16"/>
          <w:szCs w:val="16"/>
          <w:color w:val="auto"/>
        </w:rPr>
      </w:pPr>
      <w:r>
        <w:rPr>
          <w:rFonts w:ascii="Arial" w:cs="Arial" w:eastAsia="Arial" w:hAnsi="Arial"/>
          <w:sz w:val="16"/>
          <w:szCs w:val="16"/>
          <w:color w:val="auto"/>
        </w:rPr>
        <w:t>þ</w:t>
      </w:r>
    </w:p>
    <w:p>
      <w:pPr>
        <w:spacing w:after="0" w:line="18" w:lineRule="exact"/>
        <w:rPr>
          <w:rFonts w:ascii="Arial" w:cs="Arial" w:eastAsia="Arial" w:hAnsi="Arial"/>
          <w:sz w:val="16"/>
          <w:szCs w:val="16"/>
          <w:color w:val="auto"/>
        </w:rPr>
      </w:pPr>
    </w:p>
    <w:p>
      <w:pPr>
        <w:ind w:left="1160" w:hanging="358"/>
        <w:spacing w:after="0"/>
        <w:tabs>
          <w:tab w:leader="none" w:pos="1160" w:val="left"/>
        </w:tabs>
        <w:numPr>
          <w:ilvl w:val="1"/>
          <w:numId w:val="3"/>
        </w:numPr>
        <w:rPr>
          <w:rFonts w:ascii="Arial" w:cs="Arial" w:eastAsia="Arial" w:hAnsi="Arial"/>
          <w:sz w:val="16"/>
          <w:szCs w:val="16"/>
          <w:color w:val="auto"/>
        </w:rPr>
      </w:pPr>
      <w:r>
        <w:rPr>
          <w:rFonts w:ascii="Arial" w:cs="Arial" w:eastAsia="Arial" w:hAnsi="Arial"/>
          <w:sz w:val="16"/>
          <w:szCs w:val="16"/>
          <w:color w:val="auto"/>
        </w:rPr>
        <w:t>o</w:t>
      </w:r>
    </w:p>
    <w:p>
      <w:pPr>
        <w:spacing w:after="0" w:line="28" w:lineRule="exact"/>
        <w:rPr>
          <w:rFonts w:ascii="Arial" w:cs="Arial" w:eastAsia="Arial" w:hAnsi="Arial"/>
          <w:sz w:val="16"/>
          <w:szCs w:val="16"/>
          <w:color w:val="auto"/>
        </w:rPr>
      </w:pPr>
    </w:p>
    <w:p>
      <w:pPr>
        <w:ind w:left="800" w:hanging="795"/>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2" w:lineRule="exact"/>
        <w:rPr>
          <w:rFonts w:ascii="Arial" w:cs="Arial" w:eastAsia="Arial" w:hAnsi="Arial"/>
          <w:sz w:val="16"/>
          <w:szCs w:val="16"/>
          <w:color w:val="auto"/>
        </w:rPr>
      </w:pPr>
    </w:p>
    <w:p>
      <w:pPr>
        <w:ind w:left="800" w:right="7040" w:hanging="795"/>
        <w:spacing w:after="0" w:line="405"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ind w:left="2260" w:hanging="324"/>
        <w:spacing w:after="0"/>
        <w:tabs>
          <w:tab w:leader="none" w:pos="2260" w:val="left"/>
        </w:tabs>
        <w:numPr>
          <w:ilvl w:val="2"/>
          <w:numId w:val="3"/>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-118745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-513080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-650240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-1172845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6"/>
              </w:rPr>
              <w:t>NUMBER OF SHARES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9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1,021,114</w:t>
            </w:r>
          </w:p>
        </w:tc>
        <w:tc>
          <w:tcPr>
            <w:tcW w:w="0" w:type="dxa"/>
            <w:vAlign w:val="bottom"/>
          </w:tcPr>
          <w:p>
            <w:pPr>
              <w:spacing w:after="0"/>
              <w:rPr>
                <w:sz w:val="1"/>
                <w:szCs w:val="1"/>
                <w:color w:val="auto"/>
              </w:rPr>
            </w:pPr>
          </w:p>
        </w:tc>
      </w:tr>
      <w:tr>
        <w:trPr>
          <w:trHeight w:val="101"/>
        </w:trPr>
        <w:tc>
          <w:tcPr>
            <w:tcW w:w="1760" w:type="dxa"/>
            <w:vAlign w:val="bottom"/>
            <w:vMerge w:val="restart"/>
          </w:tcPr>
          <w:p>
            <w:pPr>
              <w:jc w:val="center"/>
              <w:ind w:right="99"/>
              <w:spacing w:after="0"/>
              <w:rPr>
                <w:sz w:val="20"/>
                <w:szCs w:val="20"/>
                <w:color w:val="auto"/>
              </w:rPr>
            </w:pPr>
            <w:r>
              <w:rPr>
                <w:rFonts w:ascii="Arial" w:cs="Arial" w:eastAsia="Arial" w:hAnsi="Arial"/>
                <w:sz w:val="16"/>
                <w:szCs w:val="16"/>
                <w:color w:val="auto"/>
                <w:w w:val="98"/>
              </w:rPr>
              <w:t>OWNED BY EACH</w:t>
            </w:r>
          </w:p>
        </w:tc>
        <w:tc>
          <w:tcPr>
            <w:tcW w:w="32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REPORTING PERSON</w:t>
            </w:r>
          </w:p>
        </w:tc>
        <w:tc>
          <w:tcPr>
            <w:tcW w:w="32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WITH</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3810</wp:posOffset>
            </wp:positionV>
            <wp:extent cx="5906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ind w:left="2260" w:right="6600" w:hanging="324"/>
        <w:spacing w:after="0" w:line="405" w:lineRule="auto"/>
        <w:tabs>
          <w:tab w:leader="none" w:pos="226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1,021,114</w:t>
      </w:r>
    </w:p>
    <w:p>
      <w:pPr>
        <w:ind w:left="800" w:right="4440" w:hanging="795"/>
        <w:spacing w:after="0" w:line="40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1,021,114</w:t>
      </w:r>
    </w:p>
    <w:p>
      <w:pPr>
        <w:ind w:left="800" w:right="4360" w:hanging="795"/>
        <w:spacing w:after="0" w:line="272"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1" w:lineRule="exact"/>
        <w:rPr>
          <w:rFonts w:ascii="Arial" w:cs="Arial" w:eastAsia="Arial" w:hAnsi="Arial"/>
          <w:sz w:val="16"/>
          <w:szCs w:val="16"/>
          <w:color w:val="auto"/>
        </w:rPr>
      </w:pPr>
    </w:p>
    <w:p>
      <w:pPr>
        <w:ind w:left="800" w:right="5780" w:hanging="795"/>
        <w:spacing w:after="0" w:line="40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 2.3%</w:t>
      </w:r>
    </w:p>
    <w:p>
      <w:pPr>
        <w:ind w:left="800" w:hanging="795"/>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-375920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-770255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-1035685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-1430020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455295</wp:posOffset>
            </wp:positionV>
            <wp:extent cx="71323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420" w:top="724" w:right="339" w:bottom="1440" w:gutter="0" w:footer="0" w:header="0"/>
        </w:sectPr>
      </w:pPr>
    </w:p>
    <w:bookmarkStart w:id="2" w:name="page3"/>
    <w:bookmarkEnd w:id="2"/>
    <w:p>
      <w:pPr>
        <w:spacing w:after="0"/>
        <w:tabs>
          <w:tab w:leader="none" w:pos="5420" w:val="left"/>
          <w:tab w:leader="none" w:pos="102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3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240665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ind w:left="680" w:right="7960" w:hanging="675"/>
        <w:spacing w:after="0" w:line="432"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NAMES OF REPORTING PERSONS Bay II Resource Partners, L.P.</w:t>
      </w:r>
    </w:p>
    <w:p>
      <w:pPr>
        <w:ind w:left="680" w:right="5980" w:hanging="675"/>
        <w:spacing w:after="0" w:line="266"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020" w:hanging="340"/>
        <w:spacing w:after="0"/>
        <w:tabs>
          <w:tab w:leader="none" w:pos="1020" w:val="left"/>
        </w:tabs>
        <w:numPr>
          <w:ilvl w:val="1"/>
          <w:numId w:val="6"/>
        </w:numPr>
        <w:rPr>
          <w:rFonts w:ascii="Arial" w:cs="Arial" w:eastAsia="Arial" w:hAnsi="Arial"/>
          <w:sz w:val="16"/>
          <w:szCs w:val="16"/>
          <w:color w:val="auto"/>
        </w:rPr>
      </w:pPr>
      <w:r>
        <w:rPr>
          <w:rFonts w:ascii="Arial" w:cs="Arial" w:eastAsia="Arial" w:hAnsi="Arial"/>
          <w:sz w:val="16"/>
          <w:szCs w:val="16"/>
          <w:color w:val="auto"/>
        </w:rPr>
        <w:t>þ</w:t>
      </w:r>
    </w:p>
    <w:p>
      <w:pPr>
        <w:spacing w:after="0" w:line="18" w:lineRule="exact"/>
        <w:rPr>
          <w:rFonts w:ascii="Arial" w:cs="Arial" w:eastAsia="Arial" w:hAnsi="Arial"/>
          <w:sz w:val="16"/>
          <w:szCs w:val="16"/>
          <w:color w:val="auto"/>
        </w:rPr>
      </w:pPr>
    </w:p>
    <w:p>
      <w:pPr>
        <w:ind w:left="1040" w:hanging="360"/>
        <w:spacing w:after="0"/>
        <w:tabs>
          <w:tab w:leader="none" w:pos="1040" w:val="left"/>
        </w:tabs>
        <w:numPr>
          <w:ilvl w:val="1"/>
          <w:numId w:val="6"/>
        </w:numPr>
        <w:rPr>
          <w:rFonts w:ascii="Arial" w:cs="Arial" w:eastAsia="Arial" w:hAnsi="Arial"/>
          <w:sz w:val="16"/>
          <w:szCs w:val="16"/>
          <w:color w:val="auto"/>
        </w:rPr>
      </w:pPr>
      <w:r>
        <w:rPr>
          <w:rFonts w:ascii="Arial" w:cs="Arial" w:eastAsia="Arial" w:hAnsi="Arial"/>
          <w:sz w:val="16"/>
          <w:szCs w:val="16"/>
          <w:color w:val="auto"/>
        </w:rPr>
        <w:t>o</w:t>
      </w:r>
    </w:p>
    <w:p>
      <w:pPr>
        <w:spacing w:after="0" w:line="28" w:lineRule="exact"/>
        <w:rPr>
          <w:rFonts w:ascii="Arial" w:cs="Arial" w:eastAsia="Arial" w:hAnsi="Arial"/>
          <w:sz w:val="16"/>
          <w:szCs w:val="16"/>
          <w:color w:val="auto"/>
        </w:rPr>
      </w:pPr>
    </w:p>
    <w:p>
      <w:pPr>
        <w:ind w:left="680" w:hanging="675"/>
        <w:spacing w:after="0"/>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2" w:lineRule="exact"/>
        <w:rPr>
          <w:rFonts w:ascii="Arial" w:cs="Arial" w:eastAsia="Arial" w:hAnsi="Arial"/>
          <w:sz w:val="16"/>
          <w:szCs w:val="16"/>
          <w:color w:val="auto"/>
        </w:rPr>
      </w:pPr>
    </w:p>
    <w:p>
      <w:pPr>
        <w:ind w:left="680" w:right="7160" w:hanging="675"/>
        <w:spacing w:after="0" w:line="405" w:lineRule="auto"/>
        <w:tabs>
          <w:tab w:leader="none" w:pos="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Delaware</w:t>
      </w:r>
    </w:p>
    <w:p>
      <w:pPr>
        <w:ind w:left="2160" w:hanging="346"/>
        <w:spacing w:after="0"/>
        <w:tabs>
          <w:tab w:leader="none" w:pos="2160" w:val="left"/>
        </w:tabs>
        <w:numPr>
          <w:ilvl w:val="2"/>
          <w:numId w:val="6"/>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-118745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-513080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-650240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-1172845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1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700" w:type="dxa"/>
            <w:vAlign w:val="bottom"/>
            <w:vMerge w:val="restart"/>
          </w:tcPr>
          <w:p>
            <w:pPr>
              <w:jc w:val="center"/>
              <w:ind w:right="19"/>
              <w:spacing w:after="0"/>
              <w:rPr>
                <w:sz w:val="20"/>
                <w:szCs w:val="20"/>
                <w:color w:val="auto"/>
              </w:rPr>
            </w:pPr>
            <w:r>
              <w:rPr>
                <w:rFonts w:ascii="Arial" w:cs="Arial" w:eastAsia="Arial" w:hAnsi="Arial"/>
                <w:sz w:val="16"/>
                <w:szCs w:val="16"/>
                <w:color w:val="auto"/>
                <w:w w:val="96"/>
              </w:rPr>
              <w:t>NUMBER OF SHARES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910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00" w:type="dxa"/>
            <w:vAlign w:val="bottom"/>
          </w:tcPr>
          <w:p>
            <w:pPr>
              <w:jc w:val="center"/>
              <w:ind w:right="3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9100" w:type="dxa"/>
            <w:vAlign w:val="bottom"/>
            <w:vMerge w:val="restart"/>
          </w:tcPr>
          <w:p>
            <w:pPr>
              <w:ind w:left="120"/>
              <w:spacing w:after="0"/>
              <w:rPr>
                <w:sz w:val="20"/>
                <w:szCs w:val="20"/>
                <w:color w:val="auto"/>
              </w:rPr>
            </w:pPr>
            <w:r>
              <w:rPr>
                <w:rFonts w:ascii="Arial" w:cs="Arial" w:eastAsia="Arial" w:hAnsi="Arial"/>
                <w:sz w:val="16"/>
                <w:szCs w:val="16"/>
                <w:color w:val="auto"/>
              </w:rPr>
              <w:t>540,400</w:t>
            </w:r>
          </w:p>
        </w:tc>
        <w:tc>
          <w:tcPr>
            <w:tcW w:w="0" w:type="dxa"/>
            <w:vAlign w:val="bottom"/>
          </w:tcPr>
          <w:p>
            <w:pPr>
              <w:spacing w:after="0"/>
              <w:rPr>
                <w:sz w:val="1"/>
                <w:szCs w:val="1"/>
                <w:color w:val="auto"/>
              </w:rPr>
            </w:pPr>
          </w:p>
        </w:tc>
      </w:tr>
      <w:tr>
        <w:trPr>
          <w:trHeight w:val="101"/>
        </w:trPr>
        <w:tc>
          <w:tcPr>
            <w:tcW w:w="1700" w:type="dxa"/>
            <w:vAlign w:val="bottom"/>
            <w:vMerge w:val="restart"/>
          </w:tcPr>
          <w:p>
            <w:pPr>
              <w:jc w:val="center"/>
              <w:ind w:right="39"/>
              <w:spacing w:after="0"/>
              <w:rPr>
                <w:sz w:val="20"/>
                <w:szCs w:val="20"/>
                <w:color w:val="auto"/>
              </w:rPr>
            </w:pPr>
            <w:r>
              <w:rPr>
                <w:rFonts w:ascii="Arial" w:cs="Arial" w:eastAsia="Arial" w:hAnsi="Arial"/>
                <w:sz w:val="16"/>
                <w:szCs w:val="16"/>
                <w:color w:val="auto"/>
                <w:w w:val="98"/>
              </w:rPr>
              <w:t>OWNED BY EACH</w:t>
            </w:r>
          </w:p>
        </w:tc>
        <w:tc>
          <w:tcPr>
            <w:tcW w:w="320" w:type="dxa"/>
            <w:vAlign w:val="bottom"/>
            <w:tcBorders>
              <w:bottom w:val="single" w:sz="8" w:color="auto"/>
            </w:tcBorders>
          </w:tcPr>
          <w:p>
            <w:pPr>
              <w:spacing w:after="0"/>
              <w:rPr>
                <w:sz w:val="8"/>
                <w:szCs w:val="8"/>
                <w:color w:val="auto"/>
              </w:rPr>
            </w:pPr>
          </w:p>
        </w:tc>
        <w:tc>
          <w:tcPr>
            <w:tcW w:w="9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00" w:type="dxa"/>
            <w:vAlign w:val="bottom"/>
            <w:vMerge w:val="continue"/>
          </w:tcPr>
          <w:p>
            <w:pPr>
              <w:spacing w:after="0"/>
              <w:rPr>
                <w:sz w:val="7"/>
                <w:szCs w:val="7"/>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7.</w:t>
            </w:r>
          </w:p>
        </w:tc>
        <w:tc>
          <w:tcPr>
            <w:tcW w:w="910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700" w:type="dxa"/>
            <w:vAlign w:val="bottom"/>
            <w:vMerge w:val="restart"/>
          </w:tcPr>
          <w:p>
            <w:pPr>
              <w:jc w:val="center"/>
              <w:ind w:right="19"/>
              <w:spacing w:after="0"/>
              <w:rPr>
                <w:sz w:val="20"/>
                <w:szCs w:val="20"/>
                <w:color w:val="auto"/>
              </w:rPr>
            </w:pPr>
            <w:r>
              <w:rPr>
                <w:rFonts w:ascii="Arial" w:cs="Arial" w:eastAsia="Arial" w:hAnsi="Arial"/>
                <w:sz w:val="16"/>
                <w:szCs w:val="16"/>
                <w:color w:val="auto"/>
                <w:w w:val="93"/>
              </w:rPr>
              <w:t>REPORTING PERSON</w:t>
            </w:r>
          </w:p>
        </w:tc>
        <w:tc>
          <w:tcPr>
            <w:tcW w:w="320" w:type="dxa"/>
            <w:vAlign w:val="bottom"/>
            <w:vMerge w:val="continue"/>
          </w:tcPr>
          <w:p>
            <w:pPr>
              <w:spacing w:after="0"/>
              <w:rPr>
                <w:sz w:val="10"/>
                <w:szCs w:val="10"/>
                <w:color w:val="auto"/>
              </w:rPr>
            </w:pPr>
          </w:p>
        </w:tc>
        <w:tc>
          <w:tcPr>
            <w:tcW w:w="9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980" w:type="dxa"/>
            <w:vAlign w:val="bottom"/>
          </w:tcPr>
          <w:p>
            <w:pPr>
              <w:spacing w:after="0"/>
              <w:rPr>
                <w:sz w:val="20"/>
                <w:szCs w:val="20"/>
                <w:color w:val="auto"/>
              </w:rPr>
            </w:pPr>
            <w:r>
              <w:rPr>
                <w:rFonts w:ascii="Arial" w:cs="Arial" w:eastAsia="Arial" w:hAnsi="Arial"/>
                <w:sz w:val="16"/>
                <w:szCs w:val="16"/>
                <w:color w:val="auto"/>
              </w:rPr>
              <w:t>WITH</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9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3810</wp:posOffset>
            </wp:positionV>
            <wp:extent cx="59836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83605" cy="8890"/>
                    </a:xfrm>
                    <a:prstGeom prst="rect">
                      <a:avLst/>
                    </a:prstGeom>
                    <a:noFill/>
                  </pic:spPr>
                </pic:pic>
              </a:graphicData>
            </a:graphic>
          </wp:anchor>
        </w:drawing>
      </w:r>
    </w:p>
    <w:p>
      <w:pPr>
        <w:ind w:left="2160" w:right="6720" w:hanging="346"/>
        <w:spacing w:after="0" w:line="405" w:lineRule="auto"/>
        <w:tabs>
          <w:tab w:leader="none" w:pos="2160" w:val="left"/>
        </w:tabs>
        <w:numPr>
          <w:ilvl w:val="1"/>
          <w:numId w:val="7"/>
        </w:numPr>
        <w:rPr>
          <w:rFonts w:ascii="Arial" w:cs="Arial" w:eastAsia="Arial" w:hAnsi="Arial"/>
          <w:sz w:val="16"/>
          <w:szCs w:val="16"/>
          <w:color w:val="auto"/>
        </w:rPr>
      </w:pPr>
      <w:r>
        <w:rPr>
          <w:rFonts w:ascii="Arial" w:cs="Arial" w:eastAsia="Arial" w:hAnsi="Arial"/>
          <w:sz w:val="16"/>
          <w:szCs w:val="16"/>
          <w:color w:val="auto"/>
        </w:rPr>
        <w:t>SHARED DISPOSITIVE POWER 540,400</w:t>
      </w:r>
    </w:p>
    <w:p>
      <w:pPr>
        <w:ind w:left="680" w:right="4560" w:hanging="675"/>
        <w:spacing w:after="0" w:line="405"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540,400</w:t>
      </w:r>
    </w:p>
    <w:p>
      <w:pPr>
        <w:ind w:left="680" w:right="4480" w:hanging="675"/>
        <w:spacing w:after="0" w:line="272"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1" w:lineRule="exact"/>
        <w:rPr>
          <w:rFonts w:ascii="Arial" w:cs="Arial" w:eastAsia="Arial" w:hAnsi="Arial"/>
          <w:sz w:val="16"/>
          <w:szCs w:val="16"/>
          <w:color w:val="auto"/>
        </w:rPr>
      </w:pPr>
    </w:p>
    <w:p>
      <w:pPr>
        <w:ind w:left="680" w:right="5900" w:hanging="675"/>
        <w:spacing w:after="0" w:line="272"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 OF CLASS REPRESENTED BY AMOUNT IN ROW (9) 1.2%</w:t>
      </w:r>
    </w:p>
    <w:p>
      <w:pPr>
        <w:spacing w:after="0" w:line="1" w:lineRule="exact"/>
        <w:rPr>
          <w:rFonts w:ascii="Arial" w:cs="Arial" w:eastAsia="Arial" w:hAnsi="Arial"/>
          <w:sz w:val="16"/>
          <w:szCs w:val="16"/>
          <w:color w:val="auto"/>
        </w:rPr>
      </w:pPr>
    </w:p>
    <w:p>
      <w:pPr>
        <w:ind w:left="680" w:hanging="675"/>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-375920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-641350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-907415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-1301750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455295</wp:posOffset>
            </wp:positionV>
            <wp:extent cx="71323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420" w:top="724" w:right="339" w:bottom="1440" w:gutter="0" w:footer="0" w:header="0"/>
        </w:sectPr>
      </w:pPr>
    </w:p>
    <w:bookmarkStart w:id="3" w:name="page4"/>
    <w:bookmarkEnd w:id="3"/>
    <w:p>
      <w:pPr>
        <w:spacing w:after="0"/>
        <w:tabs>
          <w:tab w:leader="none" w:pos="5420" w:val="left"/>
          <w:tab w:leader="none" w:pos="102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4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240665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800" w:hanging="795"/>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w:t>
      </w:r>
    </w:p>
    <w:p>
      <w:pPr>
        <w:spacing w:after="0" w:line="221"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Bay Resource Partners Offshore Master Fund, L.P.</w:t>
      </w:r>
    </w:p>
    <w:p>
      <w:pPr>
        <w:spacing w:after="0" w:line="32" w:lineRule="exact"/>
        <w:rPr>
          <w:rFonts w:ascii="Arial" w:cs="Arial" w:eastAsia="Arial" w:hAnsi="Arial"/>
          <w:sz w:val="16"/>
          <w:szCs w:val="16"/>
          <w:color w:val="auto"/>
        </w:rPr>
      </w:pPr>
    </w:p>
    <w:p>
      <w:pPr>
        <w:ind w:left="800" w:right="5860" w:hanging="795"/>
        <w:spacing w:after="0" w:line="266"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140" w:hanging="338"/>
        <w:spacing w:after="0"/>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þ</w:t>
      </w:r>
    </w:p>
    <w:p>
      <w:pPr>
        <w:spacing w:after="0" w:line="18" w:lineRule="exact"/>
        <w:rPr>
          <w:rFonts w:ascii="Arial" w:cs="Arial" w:eastAsia="Arial" w:hAnsi="Arial"/>
          <w:sz w:val="16"/>
          <w:szCs w:val="16"/>
          <w:color w:val="auto"/>
        </w:rPr>
      </w:pPr>
    </w:p>
    <w:p>
      <w:pPr>
        <w:ind w:left="1160" w:hanging="358"/>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o</w:t>
      </w:r>
    </w:p>
    <w:p>
      <w:pPr>
        <w:spacing w:after="0" w:line="28" w:lineRule="exact"/>
        <w:rPr>
          <w:rFonts w:ascii="Arial" w:cs="Arial" w:eastAsia="Arial" w:hAnsi="Arial"/>
          <w:sz w:val="16"/>
          <w:szCs w:val="16"/>
          <w:color w:val="auto"/>
        </w:rPr>
      </w:pPr>
    </w:p>
    <w:p>
      <w:pPr>
        <w:ind w:left="800" w:hanging="795"/>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2" w:lineRule="exact"/>
        <w:rPr>
          <w:rFonts w:ascii="Arial" w:cs="Arial" w:eastAsia="Arial" w:hAnsi="Arial"/>
          <w:sz w:val="16"/>
          <w:szCs w:val="16"/>
          <w:color w:val="auto"/>
        </w:rPr>
      </w:pPr>
    </w:p>
    <w:p>
      <w:pPr>
        <w:ind w:left="800" w:right="7040" w:hanging="795"/>
        <w:spacing w:after="0" w:line="405"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w:t>
      </w:r>
    </w:p>
    <w:p>
      <w:pPr>
        <w:ind w:left="2260" w:hanging="324"/>
        <w:spacing w:after="0"/>
        <w:tabs>
          <w:tab w:leader="none" w:pos="2260" w:val="left"/>
        </w:tabs>
        <w:numPr>
          <w:ilvl w:val="2"/>
          <w:numId w:val="9"/>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-118745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-513080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-650240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-1172845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6"/>
              </w:rPr>
              <w:t>NUMBER OF SHARES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9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936,500</w:t>
            </w:r>
          </w:p>
        </w:tc>
        <w:tc>
          <w:tcPr>
            <w:tcW w:w="0" w:type="dxa"/>
            <w:vAlign w:val="bottom"/>
          </w:tcPr>
          <w:p>
            <w:pPr>
              <w:spacing w:after="0"/>
              <w:rPr>
                <w:sz w:val="1"/>
                <w:szCs w:val="1"/>
                <w:color w:val="auto"/>
              </w:rPr>
            </w:pPr>
          </w:p>
        </w:tc>
      </w:tr>
      <w:tr>
        <w:trPr>
          <w:trHeight w:val="101"/>
        </w:trPr>
        <w:tc>
          <w:tcPr>
            <w:tcW w:w="1760" w:type="dxa"/>
            <w:vAlign w:val="bottom"/>
            <w:vMerge w:val="restart"/>
          </w:tcPr>
          <w:p>
            <w:pPr>
              <w:jc w:val="center"/>
              <w:ind w:right="99"/>
              <w:spacing w:after="0"/>
              <w:rPr>
                <w:sz w:val="20"/>
                <w:szCs w:val="20"/>
                <w:color w:val="auto"/>
              </w:rPr>
            </w:pPr>
            <w:r>
              <w:rPr>
                <w:rFonts w:ascii="Arial" w:cs="Arial" w:eastAsia="Arial" w:hAnsi="Arial"/>
                <w:sz w:val="16"/>
                <w:szCs w:val="16"/>
                <w:color w:val="auto"/>
                <w:w w:val="98"/>
              </w:rPr>
              <w:t>OWNED BY EACH</w:t>
            </w:r>
          </w:p>
        </w:tc>
        <w:tc>
          <w:tcPr>
            <w:tcW w:w="32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REPORTING PERSON</w:t>
            </w:r>
          </w:p>
        </w:tc>
        <w:tc>
          <w:tcPr>
            <w:tcW w:w="32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WITH</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3810</wp:posOffset>
            </wp:positionV>
            <wp:extent cx="59061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ind w:left="2260" w:right="6600" w:hanging="324"/>
        <w:spacing w:after="0" w:line="405" w:lineRule="auto"/>
        <w:tabs>
          <w:tab w:leader="none" w:pos="2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SHARED DISPOSITIVE POWER 936,500</w:t>
      </w:r>
    </w:p>
    <w:p>
      <w:pPr>
        <w:ind w:left="800" w:right="4440" w:hanging="795"/>
        <w:spacing w:after="0" w:line="405"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936,500</w:t>
      </w:r>
    </w:p>
    <w:p>
      <w:pPr>
        <w:ind w:left="800" w:right="4360" w:hanging="795"/>
        <w:spacing w:after="0" w:line="272"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1" w:lineRule="exact"/>
        <w:rPr>
          <w:rFonts w:ascii="Arial" w:cs="Arial" w:eastAsia="Arial" w:hAnsi="Arial"/>
          <w:sz w:val="16"/>
          <w:szCs w:val="16"/>
          <w:color w:val="auto"/>
        </w:rPr>
      </w:pPr>
    </w:p>
    <w:p>
      <w:pPr>
        <w:ind w:left="800" w:right="5780" w:hanging="795"/>
        <w:spacing w:after="0" w:line="405"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PERCENT OF CLASS REPRESENTED BY AMOUNT IN ROW (9) 2.1%</w:t>
      </w:r>
    </w:p>
    <w:p>
      <w:pPr>
        <w:ind w:left="800" w:hanging="795"/>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-375920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-770255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-1035685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-1430020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455295</wp:posOffset>
            </wp:positionV>
            <wp:extent cx="71323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420" w:top="724" w:right="339" w:bottom="1440" w:gutter="0" w:footer="0" w:header="0"/>
        </w:sectPr>
      </w:pPr>
    </w:p>
    <w:bookmarkStart w:id="4" w:name="page5"/>
    <w:bookmarkEnd w:id="4"/>
    <w:p>
      <w:pPr>
        <w:spacing w:after="0"/>
        <w:tabs>
          <w:tab w:leader="none" w:pos="5420" w:val="left"/>
          <w:tab w:leader="none" w:pos="102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5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240665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ind w:left="800" w:right="7840" w:hanging="795"/>
        <w:spacing w:after="0" w:line="405"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NAMES OF REPORTING PERSONS GMT Capital Corp.</w:t>
      </w:r>
    </w:p>
    <w:p>
      <w:pPr>
        <w:ind w:left="800" w:right="5860" w:hanging="795"/>
        <w:spacing w:after="0" w:line="266"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140" w:hanging="338"/>
        <w:spacing w:after="0"/>
        <w:tabs>
          <w:tab w:leader="none" w:pos="11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þ</w:t>
      </w:r>
    </w:p>
    <w:p>
      <w:pPr>
        <w:spacing w:after="0" w:line="18" w:lineRule="exact"/>
        <w:rPr>
          <w:rFonts w:ascii="Arial" w:cs="Arial" w:eastAsia="Arial" w:hAnsi="Arial"/>
          <w:sz w:val="16"/>
          <w:szCs w:val="16"/>
          <w:color w:val="auto"/>
        </w:rPr>
      </w:pPr>
    </w:p>
    <w:p>
      <w:pPr>
        <w:ind w:left="1160" w:hanging="358"/>
        <w:spacing w:after="0"/>
        <w:tabs>
          <w:tab w:leader="none" w:pos="11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o</w:t>
      </w:r>
    </w:p>
    <w:p>
      <w:pPr>
        <w:spacing w:after="0" w:line="28" w:lineRule="exact"/>
        <w:rPr>
          <w:rFonts w:ascii="Arial" w:cs="Arial" w:eastAsia="Arial" w:hAnsi="Arial"/>
          <w:sz w:val="16"/>
          <w:szCs w:val="16"/>
          <w:color w:val="auto"/>
        </w:rPr>
      </w:pPr>
    </w:p>
    <w:p>
      <w:pPr>
        <w:ind w:left="800" w:hanging="795"/>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2" w:lineRule="exact"/>
        <w:rPr>
          <w:rFonts w:ascii="Arial" w:cs="Arial" w:eastAsia="Arial" w:hAnsi="Arial"/>
          <w:sz w:val="16"/>
          <w:szCs w:val="16"/>
          <w:color w:val="auto"/>
        </w:rPr>
      </w:pPr>
    </w:p>
    <w:p>
      <w:pPr>
        <w:ind w:left="800" w:right="7040" w:hanging="795"/>
        <w:spacing w:after="0" w:line="405"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State of Georgia</w:t>
      </w:r>
    </w:p>
    <w:p>
      <w:pPr>
        <w:ind w:left="2260" w:hanging="324"/>
        <w:spacing w:after="0"/>
        <w:tabs>
          <w:tab w:leader="none" w:pos="2260" w:val="left"/>
        </w:tabs>
        <w:numPr>
          <w:ilvl w:val="2"/>
          <w:numId w:val="12"/>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-118745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-513080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-650240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-1172845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6"/>
              </w:rPr>
              <w:t>NUMBER OF SHARES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9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2,594,914</w:t>
            </w:r>
          </w:p>
        </w:tc>
        <w:tc>
          <w:tcPr>
            <w:tcW w:w="0" w:type="dxa"/>
            <w:vAlign w:val="bottom"/>
          </w:tcPr>
          <w:p>
            <w:pPr>
              <w:spacing w:after="0"/>
              <w:rPr>
                <w:sz w:val="1"/>
                <w:szCs w:val="1"/>
                <w:color w:val="auto"/>
              </w:rPr>
            </w:pPr>
          </w:p>
        </w:tc>
      </w:tr>
      <w:tr>
        <w:trPr>
          <w:trHeight w:val="101"/>
        </w:trPr>
        <w:tc>
          <w:tcPr>
            <w:tcW w:w="1760" w:type="dxa"/>
            <w:vAlign w:val="bottom"/>
            <w:vMerge w:val="restart"/>
          </w:tcPr>
          <w:p>
            <w:pPr>
              <w:jc w:val="center"/>
              <w:ind w:right="99"/>
              <w:spacing w:after="0"/>
              <w:rPr>
                <w:sz w:val="20"/>
                <w:szCs w:val="20"/>
                <w:color w:val="auto"/>
              </w:rPr>
            </w:pPr>
            <w:r>
              <w:rPr>
                <w:rFonts w:ascii="Arial" w:cs="Arial" w:eastAsia="Arial" w:hAnsi="Arial"/>
                <w:sz w:val="16"/>
                <w:szCs w:val="16"/>
                <w:color w:val="auto"/>
                <w:w w:val="98"/>
              </w:rPr>
              <w:t>OWNED BY EACH</w:t>
            </w:r>
          </w:p>
        </w:tc>
        <w:tc>
          <w:tcPr>
            <w:tcW w:w="32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REPORTING PERSON</w:t>
            </w:r>
          </w:p>
        </w:tc>
        <w:tc>
          <w:tcPr>
            <w:tcW w:w="32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WITH</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3810</wp:posOffset>
            </wp:positionV>
            <wp:extent cx="59061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06135" cy="8890"/>
                    </a:xfrm>
                    <a:prstGeom prst="rect">
                      <a:avLst/>
                    </a:prstGeom>
                    <a:noFill/>
                  </pic:spPr>
                </pic:pic>
              </a:graphicData>
            </a:graphic>
          </wp:anchor>
        </w:drawing>
      </w:r>
    </w:p>
    <w:p>
      <w:pPr>
        <w:ind w:left="2260" w:right="6600" w:hanging="324"/>
        <w:spacing w:after="0" w:line="405" w:lineRule="auto"/>
        <w:tabs>
          <w:tab w:leader="none" w:pos="22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SHARED DISPOSITIVE POWER 2,594,914</w:t>
      </w:r>
    </w:p>
    <w:p>
      <w:pPr>
        <w:ind w:left="800" w:right="4440" w:hanging="795"/>
        <w:spacing w:after="0" w:line="40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2,594,914</w:t>
      </w:r>
    </w:p>
    <w:p>
      <w:pPr>
        <w:ind w:left="800" w:right="4360" w:hanging="795"/>
        <w:spacing w:after="0" w:line="272"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1" w:lineRule="exact"/>
        <w:rPr>
          <w:rFonts w:ascii="Arial" w:cs="Arial" w:eastAsia="Arial" w:hAnsi="Arial"/>
          <w:sz w:val="16"/>
          <w:szCs w:val="16"/>
          <w:color w:val="auto"/>
        </w:rPr>
      </w:pPr>
    </w:p>
    <w:p>
      <w:pPr>
        <w:ind w:left="800" w:right="5780" w:hanging="795"/>
        <w:spacing w:after="0" w:line="40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PERCENT OF CLASS REPRESENTED BY AMOUNT IN ROW (9) 5.9%</w:t>
      </w:r>
    </w:p>
    <w:p>
      <w:pPr>
        <w:ind w:left="800" w:hanging="795"/>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-375920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-770255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-1035685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-1430020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455295</wp:posOffset>
            </wp:positionV>
            <wp:extent cx="71323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420" w:top="724" w:right="339" w:bottom="1440" w:gutter="0" w:footer="0" w:header="0"/>
        </w:sectPr>
      </w:pPr>
    </w:p>
    <w:bookmarkStart w:id="5" w:name="page6"/>
    <w:bookmarkEnd w:id="5"/>
    <w:p>
      <w:pPr>
        <w:spacing w:after="0"/>
        <w:tabs>
          <w:tab w:leader="none" w:pos="5420" w:val="left"/>
          <w:tab w:leader="none" w:pos="102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6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240665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ind w:left="800" w:right="7840" w:hanging="795"/>
        <w:spacing w:after="0" w:line="405"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NAMES OF REPORTING PERSONS Thomas E. Claugus</w:t>
      </w:r>
    </w:p>
    <w:p>
      <w:pPr>
        <w:ind w:left="800" w:right="5860" w:hanging="795"/>
        <w:spacing w:after="0" w:line="266"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16"/>
          <w:szCs w:val="16"/>
          <w:color w:val="auto"/>
        </w:rPr>
      </w:pPr>
    </w:p>
    <w:p>
      <w:pPr>
        <w:ind w:left="1140" w:hanging="338"/>
        <w:spacing w:after="0"/>
        <w:tabs>
          <w:tab w:leader="none" w:pos="11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þ</w:t>
      </w:r>
    </w:p>
    <w:p>
      <w:pPr>
        <w:spacing w:after="0" w:line="18" w:lineRule="exact"/>
        <w:rPr>
          <w:rFonts w:ascii="Arial" w:cs="Arial" w:eastAsia="Arial" w:hAnsi="Arial"/>
          <w:sz w:val="16"/>
          <w:szCs w:val="16"/>
          <w:color w:val="auto"/>
        </w:rPr>
      </w:pPr>
    </w:p>
    <w:p>
      <w:pPr>
        <w:ind w:left="1160" w:hanging="358"/>
        <w:spacing w:after="0"/>
        <w:tabs>
          <w:tab w:leader="none" w:pos="11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o</w:t>
      </w:r>
    </w:p>
    <w:p>
      <w:pPr>
        <w:spacing w:after="0" w:line="28" w:lineRule="exact"/>
        <w:rPr>
          <w:rFonts w:ascii="Arial" w:cs="Arial" w:eastAsia="Arial" w:hAnsi="Arial"/>
          <w:sz w:val="16"/>
          <w:szCs w:val="16"/>
          <w:color w:val="auto"/>
        </w:rPr>
      </w:pPr>
    </w:p>
    <w:p>
      <w:pPr>
        <w:ind w:left="800" w:hanging="795"/>
        <w:spacing w:after="0"/>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32" w:lineRule="exact"/>
        <w:rPr>
          <w:rFonts w:ascii="Arial" w:cs="Arial" w:eastAsia="Arial" w:hAnsi="Arial"/>
          <w:sz w:val="16"/>
          <w:szCs w:val="16"/>
          <w:color w:val="auto"/>
        </w:rPr>
      </w:pPr>
    </w:p>
    <w:p>
      <w:pPr>
        <w:ind w:left="800" w:right="7040" w:hanging="795"/>
        <w:spacing w:after="0" w:line="405"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w:t>
      </w:r>
    </w:p>
    <w:p>
      <w:pPr>
        <w:ind w:left="2260" w:hanging="324"/>
        <w:spacing w:after="0"/>
        <w:tabs>
          <w:tab w:leader="none" w:pos="2260" w:val="left"/>
        </w:tabs>
        <w:numPr>
          <w:ilvl w:val="2"/>
          <w:numId w:val="15"/>
        </w:numPr>
        <w:rPr>
          <w:rFonts w:ascii="Arial" w:cs="Arial" w:eastAsia="Arial" w:hAnsi="Arial"/>
          <w:sz w:val="16"/>
          <w:szCs w:val="16"/>
          <w:color w:val="auto"/>
        </w:rPr>
      </w:pPr>
      <w:r>
        <w:rPr>
          <w:rFonts w:ascii="Arial" w:cs="Arial" w:eastAsia="Arial" w:hAnsi="Arial"/>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-118745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-513080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-650240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-1172845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1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9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3"/>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6"/>
              </w:rPr>
              <w:t>NUMBER OF SHARES</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898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60" w:type="dxa"/>
            <w:vAlign w:val="bottom"/>
          </w:tcPr>
          <w:p>
            <w:pPr>
              <w:jc w:val="center"/>
              <w:ind w:right="99"/>
              <w:spacing w:after="0"/>
              <w:rPr>
                <w:sz w:val="20"/>
                <w:szCs w:val="20"/>
                <w:color w:val="auto"/>
              </w:rPr>
            </w:pPr>
            <w:r>
              <w:rPr>
                <w:rFonts w:ascii="Arial" w:cs="Arial" w:eastAsia="Arial" w:hAnsi="Arial"/>
                <w:sz w:val="16"/>
                <w:szCs w:val="16"/>
                <w:color w:val="auto"/>
              </w:rPr>
              <w:t>BENEFICIALLY</w:t>
            </w:r>
          </w:p>
        </w:tc>
        <w:tc>
          <w:tcPr>
            <w:tcW w:w="320" w:type="dxa"/>
            <w:vAlign w:val="bottom"/>
          </w:tcPr>
          <w:p>
            <w:pPr>
              <w:spacing w:after="0"/>
              <w:rPr>
                <w:sz w:val="17"/>
                <w:szCs w:val="17"/>
                <w:color w:val="auto"/>
              </w:rPr>
            </w:pP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2,594,914</w:t>
            </w:r>
          </w:p>
        </w:tc>
        <w:tc>
          <w:tcPr>
            <w:tcW w:w="0" w:type="dxa"/>
            <w:vAlign w:val="bottom"/>
          </w:tcPr>
          <w:p>
            <w:pPr>
              <w:spacing w:after="0"/>
              <w:rPr>
                <w:sz w:val="1"/>
                <w:szCs w:val="1"/>
                <w:color w:val="auto"/>
              </w:rPr>
            </w:pPr>
          </w:p>
        </w:tc>
      </w:tr>
      <w:tr>
        <w:trPr>
          <w:trHeight w:val="101"/>
        </w:trPr>
        <w:tc>
          <w:tcPr>
            <w:tcW w:w="1760" w:type="dxa"/>
            <w:vAlign w:val="bottom"/>
            <w:vMerge w:val="restart"/>
          </w:tcPr>
          <w:p>
            <w:pPr>
              <w:jc w:val="center"/>
              <w:ind w:right="99"/>
              <w:spacing w:after="0"/>
              <w:rPr>
                <w:sz w:val="20"/>
                <w:szCs w:val="20"/>
                <w:color w:val="auto"/>
              </w:rPr>
            </w:pPr>
            <w:r>
              <w:rPr>
                <w:rFonts w:ascii="Arial" w:cs="Arial" w:eastAsia="Arial" w:hAnsi="Arial"/>
                <w:sz w:val="16"/>
                <w:szCs w:val="16"/>
                <w:color w:val="auto"/>
                <w:w w:val="98"/>
              </w:rPr>
              <w:t>OWNED BY EACH</w:t>
            </w:r>
          </w:p>
        </w:tc>
        <w:tc>
          <w:tcPr>
            <w:tcW w:w="32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60" w:type="dxa"/>
            <w:vAlign w:val="bottom"/>
            <w:vMerge w:val="continue"/>
          </w:tcPr>
          <w:p>
            <w:pPr>
              <w:spacing w:after="0"/>
              <w:rPr>
                <w:sz w:val="7"/>
                <w:szCs w:val="7"/>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7.</w:t>
            </w:r>
          </w:p>
        </w:tc>
        <w:tc>
          <w:tcPr>
            <w:tcW w:w="898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2"/>
        </w:trPr>
        <w:tc>
          <w:tcPr>
            <w:tcW w:w="176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REPORTING PERSON</w:t>
            </w:r>
          </w:p>
        </w:tc>
        <w:tc>
          <w:tcPr>
            <w:tcW w:w="320" w:type="dxa"/>
            <w:vAlign w:val="bottom"/>
            <w:vMerge w:val="continue"/>
          </w:tcPr>
          <w:p>
            <w:pPr>
              <w:spacing w:after="0"/>
              <w:rPr>
                <w:sz w:val="10"/>
                <w:szCs w:val="10"/>
                <w:color w:val="auto"/>
              </w:rPr>
            </w:pPr>
          </w:p>
        </w:tc>
        <w:tc>
          <w:tcPr>
            <w:tcW w:w="8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7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WITH</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04"/>
        </w:trPr>
        <w:tc>
          <w:tcPr>
            <w:tcW w:w="10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1167130</wp:posOffset>
            </wp:positionH>
            <wp:positionV relativeFrom="paragraph">
              <wp:posOffset>3810</wp:posOffset>
            </wp:positionV>
            <wp:extent cx="59061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06135" cy="8890"/>
                    </a:xfrm>
                    <a:prstGeom prst="rect">
                      <a:avLst/>
                    </a:prstGeom>
                    <a:noFill/>
                  </pic:spPr>
                </pic:pic>
              </a:graphicData>
            </a:graphic>
          </wp:anchor>
        </w:drawing>
      </w:r>
    </w:p>
    <w:p>
      <w:pPr>
        <w:ind w:left="2260" w:right="6600" w:hanging="324"/>
        <w:spacing w:after="0" w:line="405" w:lineRule="auto"/>
        <w:tabs>
          <w:tab w:leader="none" w:pos="2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SHARED DISPOSITIVE POWER 2,594,914</w:t>
      </w:r>
    </w:p>
    <w:p>
      <w:pPr>
        <w:ind w:left="800" w:right="4440" w:hanging="795"/>
        <w:spacing w:after="0" w:line="40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 2,594,914</w:t>
      </w:r>
    </w:p>
    <w:p>
      <w:pPr>
        <w:ind w:left="800" w:right="4360" w:hanging="795"/>
        <w:spacing w:after="0" w:line="272"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1" w:lineRule="exact"/>
        <w:rPr>
          <w:rFonts w:ascii="Arial" w:cs="Arial" w:eastAsia="Arial" w:hAnsi="Arial"/>
          <w:sz w:val="16"/>
          <w:szCs w:val="16"/>
          <w:color w:val="auto"/>
        </w:rPr>
      </w:pPr>
    </w:p>
    <w:p>
      <w:pPr>
        <w:ind w:left="800" w:right="5780" w:hanging="795"/>
        <w:spacing w:after="0" w:line="40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PERCENT OF CLASS REPRESENTED BY AMOUNT IN ROW (9) 5.9%</w:t>
      </w:r>
    </w:p>
    <w:p>
      <w:pPr>
        <w:ind w:left="800" w:hanging="795"/>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1"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6"/>
          <w:szCs w:val="16"/>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17780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-375920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-770255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-1035685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-1430020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455295</wp:posOffset>
            </wp:positionV>
            <wp:extent cx="71323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420" w:top="724" w:right="339" w:bottom="1440" w:gutter="0" w:footer="0" w:header="0"/>
        </w:sectPr>
      </w:pPr>
    </w:p>
    <w:bookmarkStart w:id="6" w:name="page7"/>
    <w:bookmarkEnd w:id="6"/>
    <w:p>
      <w:pPr>
        <w:ind w:left="100"/>
        <w:spacing w:after="0"/>
        <w:tabs>
          <w:tab w:leader="none" w:pos="5520" w:val="left"/>
          <w:tab w:leader="none" w:pos="103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7 of 13</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Issuer</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name of the issuer is Avrobio, Inc. (herein referred to as “Issuer”).</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principal executive offices of the Issuer are located at One Kendall Square, Building 300, Suite 201, Cambridge, MA 02139</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Name of Person Filing</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This Statement is filed on behalf of each of the following persons (collectively, the “Reporting Persons”)</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Bay Resource Partners, L.P., (Bay), with respect to shares of Common Stock directly owned by it.</w:t>
      </w:r>
    </w:p>
    <w:p>
      <w:pPr>
        <w:spacing w:after="0" w:line="22" w:lineRule="exact"/>
        <w:rPr>
          <w:rFonts w:ascii="Arial" w:cs="Arial" w:eastAsia="Arial" w:hAnsi="Arial"/>
          <w:sz w:val="16"/>
          <w:szCs w:val="16"/>
          <w:color w:val="auto"/>
        </w:rPr>
      </w:pPr>
    </w:p>
    <w:p>
      <w:pPr>
        <w:ind w:left="1300" w:hanging="644"/>
        <w:spacing w:after="0"/>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Bay II Resource Partners, L.P., (Bay II), with respect to shares of Common Stock directly owned by it.</w:t>
      </w:r>
    </w:p>
    <w:p>
      <w:pPr>
        <w:spacing w:after="0" w:line="18" w:lineRule="exact"/>
        <w:rPr>
          <w:rFonts w:ascii="Arial" w:cs="Arial" w:eastAsia="Arial" w:hAnsi="Arial"/>
          <w:sz w:val="16"/>
          <w:szCs w:val="16"/>
          <w:color w:val="auto"/>
        </w:rPr>
      </w:pPr>
    </w:p>
    <w:p>
      <w:pPr>
        <w:ind w:left="1300" w:hanging="644"/>
        <w:spacing w:after="0"/>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Bay Resource Partners Offshore Master Fund, L.P. (Offshore Fund) with respect to shares of Common Stock directly owned by it.</w:t>
      </w:r>
    </w:p>
    <w:p>
      <w:pPr>
        <w:spacing w:after="0" w:line="18"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GMT Capital Corp. (GMT Capital) with respect to shares of Common Stock directly owned by each of Bay, Bay II, the Offshore Fund and certain sub-advisory and separate account clients advised by GMT.</w:t>
      </w:r>
    </w:p>
    <w:p>
      <w:pPr>
        <w:ind w:left="1300" w:hanging="644"/>
        <w:spacing w:after="0" w:line="288"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Thomas E. Claugus, (Mr. Claugus), with respect to the shares of Common Stock directly owned by him and directly owned by each of Bay, Bay II, the Offshore Fund and certain sub-advisory and separate account clients advised by GMT.</w:t>
      </w:r>
    </w:p>
    <w:p>
      <w:pPr>
        <w:spacing w:after="0" w:line="95"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The foregoing persons are hereinafter sometimes collectively referred to as the Reporting Persons. Any disclosures herein with respect to persons other than the Reporting Persons are made on information and believe after making inquiry to the appropriate party.</w:t>
      </w:r>
    </w:p>
    <w:p>
      <w:pPr>
        <w:spacing w:after="0" w:line="30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Address of the Principal Office or, if none, residence</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address of the business office of each of the Reporting Persons is 2300 Windy Ridge Parkway, Ste. 550 South, Atlanta, GA 30339.</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Citizenship</w:t>
      </w:r>
    </w:p>
    <w:p>
      <w:pPr>
        <w:spacing w:after="0" w:line="221" w:lineRule="exact"/>
        <w:rPr>
          <w:rFonts w:ascii="Arial" w:cs="Arial" w:eastAsia="Arial" w:hAnsi="Arial"/>
          <w:sz w:val="16"/>
          <w:szCs w:val="16"/>
          <w:color w:val="auto"/>
        </w:rPr>
      </w:pPr>
    </w:p>
    <w:p>
      <w:pPr>
        <w:ind w:left="660" w:right="20"/>
        <w:spacing w:after="0" w:line="293" w:lineRule="auto"/>
        <w:rPr>
          <w:rFonts w:ascii="Arial" w:cs="Arial" w:eastAsia="Arial" w:hAnsi="Arial"/>
          <w:sz w:val="16"/>
          <w:szCs w:val="16"/>
          <w:color w:val="auto"/>
        </w:rPr>
      </w:pPr>
      <w:r>
        <w:rPr>
          <w:rFonts w:ascii="Arial" w:cs="Arial" w:eastAsia="Arial" w:hAnsi="Arial"/>
          <w:sz w:val="16"/>
          <w:szCs w:val="16"/>
          <w:color w:val="auto"/>
        </w:rPr>
        <w:t>Bay and Bay II are limited partnerships organized under the laws of the State of Delaware. The Offshore Fund is an exempted limited partnership organized under the laws of the Cayman Islands. GMT Capital is a Georgia corporation. Mr. Claugus is a United States citizen.</w:t>
      </w:r>
    </w:p>
    <w:p>
      <w:pPr>
        <w:spacing w:after="0" w:line="15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Title of Class of Securities</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schedule 13G statement relates to Common Stock, no par value, of the Issuer.</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CUSIP Number</w:t>
      </w:r>
    </w:p>
    <w:p>
      <w:pPr>
        <w:spacing w:after="0" w:line="22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The CUSIP number for the Common Stock is 05455M100.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7" w:name="page8"/>
    <w:bookmarkEnd w:id="7"/>
    <w:p>
      <w:pPr>
        <w:ind w:left="100"/>
        <w:spacing w:after="0"/>
        <w:tabs>
          <w:tab w:leader="none" w:pos="5520" w:val="left"/>
          <w:tab w:leader="none" w:pos="103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8 of 13</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Filing pursuant to §240.13d-1(c)</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filed pursuant to Sec. 240.13d-1(b) or 240.13d-2(b) or (c), check whether the person filing is a :</w:t>
      </w:r>
    </w:p>
    <w:p>
      <w:pPr>
        <w:spacing w:after="0" w:line="126" w:lineRule="exact"/>
        <w:rPr>
          <w:sz w:val="20"/>
          <w:szCs w:val="20"/>
          <w:color w:val="auto"/>
        </w:rPr>
      </w:pPr>
    </w:p>
    <w:p>
      <w:pPr>
        <w:ind w:left="660" w:hanging="328"/>
        <w:spacing w:after="0" w:line="368" w:lineRule="exact"/>
        <w:tabs>
          <w:tab w:leader="none" w:pos="660" w:val="left"/>
        </w:tabs>
        <w:numPr>
          <w:ilvl w:val="0"/>
          <w:numId w:val="21"/>
        </w:numPr>
        <w:rPr>
          <w:rFonts w:ascii="Arial" w:cs="Arial" w:eastAsia="Arial" w:hAnsi="Arial"/>
          <w:sz w:val="32"/>
          <w:szCs w:val="32"/>
          <w:color w:val="auto"/>
          <w:vertAlign w:val="superscript"/>
        </w:rPr>
      </w:pPr>
      <w:r>
        <w:rPr>
          <w:rFonts w:ascii="MS PGothic" w:cs="MS PGothic" w:eastAsia="MS PGothic" w:hAnsi="MS PGothic"/>
          <w:sz w:val="25"/>
          <w:szCs w:val="25"/>
          <w:color w:val="auto"/>
        </w:rPr>
        <w:t>☐</w:t>
      </w:r>
      <w:r>
        <w:rPr>
          <w:rFonts w:ascii="Arial" w:cs="Arial" w:eastAsia="Arial" w:hAnsi="Arial"/>
          <w:sz w:val="16"/>
          <w:szCs w:val="16"/>
          <w:color w:val="auto"/>
        </w:rPr>
        <w:t xml:space="preserve"> Broker or dealer registered under section 15 of the Act (15 U.S.D. 78o):</w:t>
      </w:r>
    </w:p>
    <w:p>
      <w:pPr>
        <w:spacing w:after="0" w:line="78" w:lineRule="exact"/>
        <w:rPr>
          <w:rFonts w:ascii="Arial" w:cs="Arial" w:eastAsia="Arial" w:hAnsi="Arial"/>
          <w:sz w:val="32"/>
          <w:szCs w:val="32"/>
          <w:color w:val="auto"/>
          <w:vertAlign w:val="superscript"/>
        </w:rPr>
      </w:pPr>
    </w:p>
    <w:p>
      <w:pPr>
        <w:ind w:left="660" w:hanging="328"/>
        <w:spacing w:after="0" w:line="249" w:lineRule="exact"/>
        <w:tabs>
          <w:tab w:leader="none" w:pos="660" w:val="left"/>
        </w:tabs>
        <w:numPr>
          <w:ilvl w:val="0"/>
          <w:numId w:val="21"/>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Bank as defined in section 3(a)(6) of the Act (15 U.S.C. 78c);</w:t>
      </w:r>
    </w:p>
    <w:p>
      <w:pPr>
        <w:spacing w:after="0" w:line="48" w:lineRule="exact"/>
        <w:rPr>
          <w:rFonts w:ascii="Arial" w:cs="Arial" w:eastAsia="Arial" w:hAnsi="Arial"/>
          <w:sz w:val="28"/>
          <w:szCs w:val="28"/>
          <w:color w:val="auto"/>
          <w:vertAlign w:val="superscript"/>
        </w:rPr>
      </w:pPr>
    </w:p>
    <w:p>
      <w:pPr>
        <w:ind w:left="660" w:hanging="328"/>
        <w:spacing w:after="0" w:line="249" w:lineRule="exact"/>
        <w:tabs>
          <w:tab w:leader="none" w:pos="660" w:val="left"/>
        </w:tabs>
        <w:numPr>
          <w:ilvl w:val="0"/>
          <w:numId w:val="21"/>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Insurance company as defined in section 3(a)(19) of the Act (15 U.S.C. 78c);</w:t>
      </w:r>
    </w:p>
    <w:p>
      <w:pPr>
        <w:spacing w:after="0" w:line="48" w:lineRule="exact"/>
        <w:rPr>
          <w:rFonts w:ascii="Arial" w:cs="Arial" w:eastAsia="Arial" w:hAnsi="Arial"/>
          <w:sz w:val="28"/>
          <w:szCs w:val="28"/>
          <w:color w:val="auto"/>
          <w:vertAlign w:val="superscript"/>
        </w:rPr>
      </w:pPr>
    </w:p>
    <w:p>
      <w:pPr>
        <w:ind w:left="660" w:hanging="328"/>
        <w:spacing w:after="0" w:line="249" w:lineRule="exact"/>
        <w:tabs>
          <w:tab w:leader="none" w:pos="660" w:val="left"/>
        </w:tabs>
        <w:numPr>
          <w:ilvl w:val="0"/>
          <w:numId w:val="21"/>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Investment company registered under section 8 of the Investment Company Act of 1940 (15 U.S.C 80a-8);</w:t>
      </w:r>
    </w:p>
    <w:p>
      <w:pPr>
        <w:spacing w:after="0" w:line="8" w:lineRule="exact"/>
        <w:rPr>
          <w:rFonts w:ascii="Arial" w:cs="Arial" w:eastAsia="Arial" w:hAnsi="Arial"/>
          <w:sz w:val="28"/>
          <w:szCs w:val="28"/>
          <w:color w:val="auto"/>
          <w:vertAlign w:val="superscript"/>
        </w:rPr>
      </w:pPr>
    </w:p>
    <w:p>
      <w:pPr>
        <w:ind w:left="660" w:hanging="328"/>
        <w:spacing w:after="0" w:line="225" w:lineRule="exact"/>
        <w:tabs>
          <w:tab w:leader="none" w:pos="660" w:val="left"/>
        </w:tabs>
        <w:numPr>
          <w:ilvl w:val="0"/>
          <w:numId w:val="21"/>
        </w:numPr>
        <w:rPr>
          <w:rFonts w:ascii="Arial" w:cs="Arial" w:eastAsia="Arial" w:hAnsi="Arial"/>
          <w:sz w:val="26"/>
          <w:szCs w:val="26"/>
          <w:color w:val="auto"/>
          <w:vertAlign w:val="superscript"/>
        </w:rPr>
      </w:pPr>
      <w:r>
        <w:rPr>
          <w:rFonts w:ascii="MS PGothic" w:cs="MS PGothic" w:eastAsia="MS PGothic" w:hAnsi="MS PGothic"/>
          <w:sz w:val="16"/>
          <w:szCs w:val="16"/>
          <w:color w:val="auto"/>
        </w:rPr>
        <w:t>☑</w:t>
      </w:r>
      <w:r>
        <w:rPr>
          <w:rFonts w:ascii="Arial" w:cs="Arial" w:eastAsia="Arial" w:hAnsi="Arial"/>
          <w:sz w:val="14"/>
          <w:szCs w:val="14"/>
          <w:color w:val="auto"/>
        </w:rPr>
        <w:t xml:space="preserve"> An investment adviser in accordance with Sec. 240.13d-1(b)(1)(ii)(E);</w:t>
      </w:r>
    </w:p>
    <w:p>
      <w:pPr>
        <w:spacing w:after="0" w:line="59" w:lineRule="exact"/>
        <w:rPr>
          <w:rFonts w:ascii="Arial" w:cs="Arial" w:eastAsia="Arial" w:hAnsi="Arial"/>
          <w:sz w:val="26"/>
          <w:szCs w:val="26"/>
          <w:color w:val="auto"/>
          <w:vertAlign w:val="superscript"/>
        </w:rPr>
      </w:pPr>
    </w:p>
    <w:p>
      <w:pPr>
        <w:ind w:left="660" w:hanging="328"/>
        <w:spacing w:after="0" w:line="249" w:lineRule="exact"/>
        <w:tabs>
          <w:tab w:leader="none" w:pos="660" w:val="left"/>
        </w:tabs>
        <w:numPr>
          <w:ilvl w:val="0"/>
          <w:numId w:val="21"/>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An employee benefit plan or endowment fund in accordance with Sec. 240.13d-1(b)(1)(ii)(F);</w:t>
      </w:r>
    </w:p>
    <w:p>
      <w:pPr>
        <w:spacing w:after="0" w:line="48" w:lineRule="exact"/>
        <w:rPr>
          <w:rFonts w:ascii="Arial" w:cs="Arial" w:eastAsia="Arial" w:hAnsi="Arial"/>
          <w:sz w:val="28"/>
          <w:szCs w:val="28"/>
          <w:color w:val="auto"/>
          <w:vertAlign w:val="superscript"/>
        </w:rPr>
      </w:pPr>
    </w:p>
    <w:p>
      <w:pPr>
        <w:ind w:left="660" w:hanging="328"/>
        <w:spacing w:after="0" w:line="249" w:lineRule="exact"/>
        <w:tabs>
          <w:tab w:leader="none" w:pos="660" w:val="left"/>
        </w:tabs>
        <w:numPr>
          <w:ilvl w:val="0"/>
          <w:numId w:val="21"/>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A parent holding company or control person in accordance with Sec. 240.13d-1(b)(1)(ii)(G);</w:t>
      </w:r>
    </w:p>
    <w:p>
      <w:pPr>
        <w:spacing w:after="0" w:line="48" w:lineRule="exact"/>
        <w:rPr>
          <w:rFonts w:ascii="Arial" w:cs="Arial" w:eastAsia="Arial" w:hAnsi="Arial"/>
          <w:sz w:val="28"/>
          <w:szCs w:val="28"/>
          <w:color w:val="auto"/>
          <w:vertAlign w:val="superscript"/>
        </w:rPr>
      </w:pPr>
    </w:p>
    <w:p>
      <w:pPr>
        <w:ind w:left="660" w:hanging="328"/>
        <w:spacing w:after="0" w:line="249" w:lineRule="exact"/>
        <w:tabs>
          <w:tab w:leader="none" w:pos="660" w:val="left"/>
        </w:tabs>
        <w:numPr>
          <w:ilvl w:val="0"/>
          <w:numId w:val="21"/>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A savings association as defined in Section 3(b) of the Federal Deposit Insurance Act (12 U.S.C. 1813);</w:t>
      </w:r>
    </w:p>
    <w:p>
      <w:pPr>
        <w:spacing w:after="0" w:line="48" w:lineRule="exact"/>
        <w:rPr>
          <w:rFonts w:ascii="Arial" w:cs="Arial" w:eastAsia="Arial" w:hAnsi="Arial"/>
          <w:sz w:val="28"/>
          <w:szCs w:val="28"/>
          <w:color w:val="auto"/>
          <w:vertAlign w:val="superscript"/>
        </w:rPr>
      </w:pPr>
    </w:p>
    <w:p>
      <w:pPr>
        <w:ind w:left="660" w:hanging="328"/>
        <w:spacing w:after="0" w:line="204" w:lineRule="exact"/>
        <w:tabs>
          <w:tab w:leader="none" w:pos="660" w:val="left"/>
        </w:tabs>
        <w:numPr>
          <w:ilvl w:val="0"/>
          <w:numId w:val="21"/>
        </w:numPr>
        <w:rPr>
          <w:rFonts w:ascii="Arial" w:cs="Arial" w:eastAsia="Arial" w:hAnsi="Arial"/>
          <w:sz w:val="31"/>
          <w:szCs w:val="31"/>
          <w:color w:val="auto"/>
          <w:vertAlign w:val="superscript"/>
        </w:rPr>
      </w:pPr>
      <w:r>
        <w:rPr>
          <w:rFonts w:ascii="MS PGothic" w:cs="MS PGothic" w:eastAsia="MS PGothic" w:hAnsi="MS PGothic"/>
          <w:sz w:val="24"/>
          <w:szCs w:val="24"/>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 80a-3);</w:t>
      </w:r>
    </w:p>
    <w:p>
      <w:pPr>
        <w:ind w:left="660" w:hanging="328"/>
        <w:spacing w:after="0" w:line="339" w:lineRule="exact"/>
        <w:tabs>
          <w:tab w:leader="none" w:pos="660" w:val="left"/>
        </w:tabs>
        <w:numPr>
          <w:ilvl w:val="0"/>
          <w:numId w:val="21"/>
        </w:numPr>
        <w:rPr>
          <w:rFonts w:ascii="Arial" w:cs="Arial" w:eastAsia="Arial" w:hAnsi="Arial"/>
          <w:sz w:val="32"/>
          <w:szCs w:val="32"/>
          <w:color w:val="auto"/>
          <w:vertAlign w:val="superscript"/>
        </w:rPr>
      </w:pPr>
      <w:r>
        <w:rPr>
          <w:rFonts w:ascii="MS PGothic" w:cs="MS PGothic" w:eastAsia="MS PGothic" w:hAnsi="MS PGothic"/>
          <w:sz w:val="25"/>
          <w:szCs w:val="25"/>
          <w:color w:val="auto"/>
        </w:rPr>
        <w:t>☐</w:t>
      </w:r>
      <w:r>
        <w:rPr>
          <w:rFonts w:ascii="Arial" w:cs="Arial" w:eastAsia="Arial" w:hAnsi="Arial"/>
          <w:sz w:val="16"/>
          <w:szCs w:val="16"/>
          <w:color w:val="auto"/>
        </w:rPr>
        <w:t xml:space="preserve"> A non-U.S. institution in accordance with Sec. 240.13d-1(b)(1)(ii)(J);</w:t>
      </w:r>
    </w:p>
    <w:p>
      <w:pPr>
        <w:spacing w:after="0" w:line="49" w:lineRule="exact"/>
        <w:rPr>
          <w:rFonts w:ascii="Arial" w:cs="Arial" w:eastAsia="Arial" w:hAnsi="Arial"/>
          <w:sz w:val="32"/>
          <w:szCs w:val="32"/>
          <w:color w:val="auto"/>
          <w:vertAlign w:val="superscript"/>
        </w:rPr>
      </w:pPr>
    </w:p>
    <w:p>
      <w:pPr>
        <w:ind w:left="660" w:hanging="328"/>
        <w:spacing w:after="0" w:line="249" w:lineRule="exact"/>
        <w:tabs>
          <w:tab w:leader="none" w:pos="660" w:val="left"/>
        </w:tabs>
        <w:numPr>
          <w:ilvl w:val="0"/>
          <w:numId w:val="21"/>
        </w:numPr>
        <w:rPr>
          <w:rFonts w:ascii="Arial" w:cs="Arial" w:eastAsia="Arial" w:hAnsi="Arial"/>
          <w:sz w:val="28"/>
          <w:szCs w:val="28"/>
          <w:color w:val="auto"/>
          <w:vertAlign w:val="superscript"/>
        </w:rPr>
      </w:pPr>
      <w:r>
        <w:rPr>
          <w:rFonts w:ascii="MS PGothic" w:cs="MS PGothic" w:eastAsia="MS PGothic" w:hAnsi="MS PGothic"/>
          <w:sz w:val="22"/>
          <w:szCs w:val="22"/>
          <w:color w:val="auto"/>
        </w:rPr>
        <w:t>☐</w:t>
      </w:r>
      <w:r>
        <w:rPr>
          <w:rFonts w:ascii="Arial" w:cs="Arial" w:eastAsia="Arial" w:hAnsi="Arial"/>
          <w:sz w:val="15"/>
          <w:szCs w:val="15"/>
          <w:color w:val="auto"/>
        </w:rPr>
        <w:t xml:space="preserve"> Group, in accordance with Sec. 240.13d-1(b)(1)(ii)(J).</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This statement is being filed with respect to an aggregate of 2,594,914 shares of Common Stock, resulting in beneficial ownership of Common Stock as follows:</w:t>
      </w:r>
    </w:p>
    <w:p>
      <w:pPr>
        <w:spacing w:after="0" w:line="17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Bay Resource Partners, L.P.</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Amount Beneficially owned: 1,021,114</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Percent of Class: 2.3%</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Number of shares to which the person has:</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Shared power to vote or to direct the vote: 1,021,114</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1,021,114</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Bay II Resource Partners, L.P.</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Amount Beneficially owned: 540,400</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Percent of Class: 1.2%</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Number of shares to which the person has:</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221" w:lineRule="exact"/>
        <w:rPr>
          <w:rFonts w:ascii="Arial" w:cs="Arial" w:eastAsia="Arial" w:hAnsi="Arial"/>
          <w:sz w:val="16"/>
          <w:szCs w:val="16"/>
          <w:color w:val="auto"/>
        </w:rPr>
      </w:pPr>
    </w:p>
    <w:p>
      <w:pPr>
        <w:ind w:left="1300" w:hanging="320"/>
        <w:spacing w:after="0"/>
        <w:tabs>
          <w:tab w:leader="none" w:pos="13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Shared power to vote or to direct the vote: 540,400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20" w:top="724" w:right="359" w:bottom="1440" w:gutter="0" w:footer="0" w:header="0"/>
        </w:sectPr>
      </w:pPr>
    </w:p>
    <w:bookmarkStart w:id="8" w:name="page9"/>
    <w:bookmarkEnd w:id="8"/>
    <w:p>
      <w:pPr>
        <w:ind w:left="92"/>
        <w:spacing w:after="0"/>
        <w:tabs>
          <w:tab w:leader="none" w:pos="5512" w:val="left"/>
          <w:tab w:leader="none" w:pos="10292"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9 of 13</w:t>
      </w:r>
    </w:p>
    <w:p>
      <w:pPr>
        <w:spacing w:after="0" w:line="221" w:lineRule="exact"/>
        <w:rPr>
          <w:sz w:val="20"/>
          <w:szCs w:val="20"/>
          <w:color w:val="auto"/>
        </w:rPr>
      </w:pPr>
    </w:p>
    <w:p>
      <w:pPr>
        <w:ind w:left="1292" w:hanging="320"/>
        <w:spacing w:after="0"/>
        <w:tabs>
          <w:tab w:leader="none" w:pos="1292" w:val="left"/>
        </w:tabs>
        <w:numPr>
          <w:ilvl w:val="2"/>
          <w:numId w:val="23"/>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3"/>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 540,400</w:t>
      </w:r>
    </w:p>
    <w:p>
      <w:pPr>
        <w:spacing w:after="0" w:line="167" w:lineRule="exact"/>
        <w:rPr>
          <w:rFonts w:ascii="Arial" w:cs="Arial" w:eastAsia="Arial" w:hAnsi="Arial"/>
          <w:sz w:val="16"/>
          <w:szCs w:val="16"/>
          <w:color w:val="auto"/>
        </w:rPr>
      </w:pPr>
    </w:p>
    <w:p>
      <w:pPr>
        <w:ind w:left="332" w:hanging="332"/>
        <w:spacing w:after="0"/>
        <w:tabs>
          <w:tab w:leader="none" w:pos="3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Bay Resource Partners Offshore Master Fund, L.P.</w:t>
      </w:r>
    </w:p>
    <w:p>
      <w:pPr>
        <w:spacing w:after="0" w:line="153"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Amount Beneficially owned: 936,500</w:t>
      </w:r>
    </w:p>
    <w:p>
      <w:pPr>
        <w:spacing w:after="0" w:line="221"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Percent of Class: 2.1%</w:t>
      </w:r>
    </w:p>
    <w:p>
      <w:pPr>
        <w:spacing w:after="0" w:line="221"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Number of shares to which the person has:</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Shared power to vote or to direct the vote: 936,500</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936,500</w:t>
      </w:r>
    </w:p>
    <w:p>
      <w:pPr>
        <w:spacing w:after="0" w:line="221" w:lineRule="exact"/>
        <w:rPr>
          <w:rFonts w:ascii="Arial" w:cs="Arial" w:eastAsia="Arial" w:hAnsi="Arial"/>
          <w:sz w:val="16"/>
          <w:szCs w:val="16"/>
          <w:color w:val="auto"/>
        </w:rPr>
      </w:pPr>
    </w:p>
    <w:p>
      <w:pPr>
        <w:ind w:left="332" w:hanging="332"/>
        <w:spacing w:after="0"/>
        <w:tabs>
          <w:tab w:leader="none" w:pos="3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GMT Capital Corp.</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Amount Beneficially owned: 2,594,914</w:t>
      </w:r>
    </w:p>
    <w:p>
      <w:pPr>
        <w:spacing w:after="0" w:line="221"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Percent of Class: 5.9%</w:t>
      </w:r>
    </w:p>
    <w:p>
      <w:pPr>
        <w:spacing w:after="0" w:line="221"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Number of shares to which the person has:</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Shared power to vote or to direct the vote: 2,594,914</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2,594,914</w:t>
      </w:r>
    </w:p>
    <w:p>
      <w:pPr>
        <w:spacing w:after="0" w:line="221" w:lineRule="exact"/>
        <w:rPr>
          <w:rFonts w:ascii="Arial" w:cs="Arial" w:eastAsia="Arial" w:hAnsi="Arial"/>
          <w:sz w:val="16"/>
          <w:szCs w:val="16"/>
          <w:color w:val="auto"/>
        </w:rPr>
      </w:pPr>
    </w:p>
    <w:p>
      <w:pPr>
        <w:ind w:left="332" w:hanging="332"/>
        <w:spacing w:after="0"/>
        <w:tabs>
          <w:tab w:leader="none" w:pos="3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Thomas E. Claugus</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Amount Beneficially owned: 2,594,914</w:t>
      </w:r>
    </w:p>
    <w:p>
      <w:pPr>
        <w:spacing w:after="0" w:line="221"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Percent of Class: 5.9%</w:t>
      </w:r>
    </w:p>
    <w:p>
      <w:pPr>
        <w:spacing w:after="0" w:line="221" w:lineRule="exact"/>
        <w:rPr>
          <w:rFonts w:ascii="Arial" w:cs="Arial" w:eastAsia="Arial" w:hAnsi="Arial"/>
          <w:sz w:val="16"/>
          <w:szCs w:val="16"/>
          <w:color w:val="auto"/>
        </w:rPr>
      </w:pPr>
    </w:p>
    <w:p>
      <w:pPr>
        <w:ind w:left="652" w:hanging="328"/>
        <w:spacing w:after="0"/>
        <w:tabs>
          <w:tab w:leader="none" w:pos="652" w:val="left"/>
        </w:tabs>
        <w:numPr>
          <w:ilvl w:val="1"/>
          <w:numId w:val="24"/>
        </w:numPr>
        <w:rPr>
          <w:rFonts w:ascii="Arial" w:cs="Arial" w:eastAsia="Arial" w:hAnsi="Arial"/>
          <w:sz w:val="16"/>
          <w:szCs w:val="16"/>
          <w:color w:val="auto"/>
        </w:rPr>
      </w:pPr>
      <w:r>
        <w:rPr>
          <w:rFonts w:ascii="Arial" w:cs="Arial" w:eastAsia="Arial" w:hAnsi="Arial"/>
          <w:sz w:val="16"/>
          <w:szCs w:val="16"/>
          <w:color w:val="auto"/>
        </w:rPr>
        <w:t>Number of shares to which the person has:</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Sole power to vote or to direct the vote: 0</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Shared power to vote or to direct the vote: 2,594,914</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0</w:t>
      </w:r>
    </w:p>
    <w:p>
      <w:pPr>
        <w:spacing w:after="0" w:line="221" w:lineRule="exact"/>
        <w:rPr>
          <w:rFonts w:ascii="Arial" w:cs="Arial" w:eastAsia="Arial" w:hAnsi="Arial"/>
          <w:sz w:val="16"/>
          <w:szCs w:val="16"/>
          <w:color w:val="auto"/>
        </w:rPr>
      </w:pPr>
    </w:p>
    <w:p>
      <w:pPr>
        <w:ind w:left="1292" w:hanging="320"/>
        <w:spacing w:after="0"/>
        <w:tabs>
          <w:tab w:leader="none" w:pos="1292" w:val="left"/>
        </w:tabs>
        <w:numPr>
          <w:ilvl w:val="2"/>
          <w:numId w:val="2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2,594,914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300990</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32"/>
          </w:cols>
          <w:pgMar w:left="328" w:top="724" w:right="439" w:bottom="1440" w:gutter="0" w:footer="0" w:header="0"/>
        </w:sectPr>
      </w:pPr>
    </w:p>
    <w:bookmarkStart w:id="9" w:name="page10"/>
    <w:bookmarkEnd w:id="9"/>
    <w:p>
      <w:pPr>
        <w:ind w:left="100"/>
        <w:spacing w:after="0"/>
        <w:tabs>
          <w:tab w:leader="none" w:pos="5520" w:val="left"/>
          <w:tab w:leader="none" w:pos="102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10 of 13</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Ownership of Five Percent or Less of a Class.</w:t>
      </w:r>
    </w:p>
    <w:p>
      <w:pPr>
        <w:spacing w:after="0" w:line="31" w:lineRule="exact"/>
        <w:rPr>
          <w:sz w:val="20"/>
          <w:szCs w:val="20"/>
          <w:color w:val="auto"/>
        </w:rPr>
      </w:pPr>
    </w:p>
    <w:p>
      <w:pPr>
        <w:ind w:left="420" w:hanging="331"/>
        <w:spacing w:after="0"/>
        <w:tabs>
          <w:tab w:leader="none" w:pos="420" w:val="left"/>
        </w:tabs>
        <w:numPr>
          <w:ilvl w:val="0"/>
          <w:numId w:val="25"/>
        </w:numPr>
        <w:rPr>
          <w:rFonts w:ascii="MS PGothic" w:cs="MS PGothic" w:eastAsia="MS PGothic" w:hAnsi="MS PGothic"/>
          <w:sz w:val="40"/>
          <w:szCs w:val="40"/>
          <w:color w:val="auto"/>
          <w:vertAlign w:val="subscript"/>
        </w:rPr>
      </w:pPr>
      <w:r>
        <w:rPr>
          <w:rFonts w:ascii="Arial" w:cs="Arial" w:eastAsia="Arial" w:hAnsi="Arial"/>
          <w:sz w:val="16"/>
          <w:szCs w:val="16"/>
          <w:color w:val="auto"/>
        </w:rPr>
        <w:t>As of the date of this Report, the aggregate beneficial ownership of the Reporting Persons had been reduced to below five percent (5%).</w:t>
      </w:r>
    </w:p>
    <w:p>
      <w:pPr>
        <w:spacing w:after="0" w:line="249"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Ownership of More than Five Percent on Behalf of another Person.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GMT Capital, the general partner of Bay and Bay II, has the power to direct the affairs of Bay and Bay II, including the voting and disposition of shares. As the discretionary investment manager of the Offshore Fund and certain other sub-advisory and separate accounts, GMT Capital has power to direct the voting and disposition of shares held by the Offshore Fund and such other accounts. Mr. Claugus is the President of GMT Capital and in that capacity directs the operations of each of Bay and Bay II and the voting and disposition of shares held by the Offshore Fund and certain sub-advisory and separate account clients advised by GMT.</w:t>
      </w:r>
    </w:p>
    <w:p>
      <w:pPr>
        <w:spacing w:after="0" w:line="155"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Identification and Classification of the Subsidiary Which Acquired the Security Being Reported on By the Parent Holding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Please see response to Item 2.</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3"/>
        </w:trPr>
        <w:tc>
          <w:tcPr>
            <w:tcW w:w="38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CUSIP No. 05455M100</w:t>
            </w:r>
          </w:p>
        </w:tc>
        <w:tc>
          <w:tcPr>
            <w:tcW w:w="4180" w:type="dxa"/>
            <w:vAlign w:val="bottom"/>
            <w:tcBorders>
              <w:top w:val="single" w:sz="8" w:color="auto"/>
            </w:tcBorders>
          </w:tcPr>
          <w:p>
            <w:pPr>
              <w:ind w:left="1680"/>
              <w:spacing w:after="0"/>
              <w:rPr>
                <w:sz w:val="20"/>
                <w:szCs w:val="20"/>
                <w:color w:val="auto"/>
              </w:rPr>
            </w:pPr>
            <w:r>
              <w:rPr>
                <w:rFonts w:ascii="Arial" w:cs="Arial" w:eastAsia="Arial" w:hAnsi="Arial"/>
                <w:sz w:val="16"/>
                <w:szCs w:val="16"/>
                <w:color w:val="auto"/>
              </w:rPr>
              <w:t>13G</w:t>
            </w:r>
          </w:p>
        </w:tc>
        <w:tc>
          <w:tcPr>
            <w:tcW w:w="3200" w:type="dxa"/>
            <w:vAlign w:val="bottom"/>
            <w:tcBorders>
              <w:top w:val="single" w:sz="8" w:color="auto"/>
            </w:tcBorders>
          </w:tcPr>
          <w:p>
            <w:pPr>
              <w:ind w:left="2220"/>
              <w:spacing w:after="0"/>
              <w:rPr>
                <w:sz w:val="20"/>
                <w:szCs w:val="20"/>
                <w:color w:val="auto"/>
              </w:rPr>
            </w:pPr>
            <w:r>
              <w:rPr>
                <w:rFonts w:ascii="Arial" w:cs="Arial" w:eastAsia="Arial" w:hAnsi="Arial"/>
                <w:sz w:val="16"/>
                <w:szCs w:val="16"/>
                <w:color w:val="auto"/>
                <w:w w:val="96"/>
              </w:rPr>
              <w:t>Page 11 of 13</w:t>
            </w:r>
          </w:p>
        </w:tc>
      </w:tr>
      <w:tr>
        <w:trPr>
          <w:trHeight w:val="395"/>
        </w:trPr>
        <w:tc>
          <w:tcPr>
            <w:tcW w:w="940" w:type="dxa"/>
            <w:vAlign w:val="bottom"/>
          </w:tcPr>
          <w:p>
            <w:pPr>
              <w:spacing w:after="0"/>
              <w:rPr>
                <w:sz w:val="20"/>
                <w:szCs w:val="20"/>
                <w:color w:val="auto"/>
              </w:rPr>
            </w:pPr>
            <w:r>
              <w:rPr>
                <w:rFonts w:ascii="Arial" w:cs="Arial" w:eastAsia="Arial" w:hAnsi="Arial"/>
                <w:sz w:val="16"/>
                <w:szCs w:val="16"/>
                <w:b w:val="1"/>
                <w:bCs w:val="1"/>
                <w:color w:val="auto"/>
              </w:rPr>
              <w:t>Item 10.</w:t>
            </w:r>
          </w:p>
        </w:tc>
        <w:tc>
          <w:tcPr>
            <w:tcW w:w="2920" w:type="dxa"/>
            <w:vAlign w:val="bottom"/>
          </w:tcPr>
          <w:p>
            <w:pPr>
              <w:ind w:left="360"/>
              <w:spacing w:after="0"/>
              <w:rPr>
                <w:sz w:val="20"/>
                <w:szCs w:val="20"/>
                <w:color w:val="auto"/>
              </w:rPr>
            </w:pPr>
            <w:r>
              <w:rPr>
                <w:rFonts w:ascii="Arial" w:cs="Arial" w:eastAsia="Arial" w:hAnsi="Arial"/>
                <w:sz w:val="16"/>
                <w:szCs w:val="16"/>
                <w:b w:val="1"/>
                <w:bCs w:val="1"/>
                <w:color w:val="auto"/>
              </w:rPr>
              <w:t>Certification</w:t>
            </w:r>
          </w:p>
        </w:tc>
        <w:tc>
          <w:tcPr>
            <w:tcW w:w="418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00" w:lineRule="exact"/>
        <w:rPr>
          <w:sz w:val="20"/>
          <w:szCs w:val="20"/>
          <w:color w:val="auto"/>
        </w:rPr>
      </w:pPr>
    </w:p>
    <w:p>
      <w:pPr>
        <w:spacing w:after="0" w:line="20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9" w:lineRule="exact"/>
        <w:rPr>
          <w:sz w:val="20"/>
          <w:szCs w:val="20"/>
          <w:color w:val="auto"/>
        </w:rPr>
      </w:pPr>
    </w:p>
    <w:p>
      <w:pPr>
        <w:jc w:val="center"/>
        <w:ind w:left="7420"/>
        <w:spacing w:after="0"/>
        <w:rPr>
          <w:sz w:val="20"/>
          <w:szCs w:val="20"/>
          <w:color w:val="auto"/>
        </w:rPr>
      </w:pPr>
      <w:r>
        <w:rPr>
          <w:rFonts w:ascii="Arial" w:cs="Arial" w:eastAsia="Arial" w:hAnsi="Arial"/>
          <w:sz w:val="18"/>
          <w:szCs w:val="18"/>
          <w:color w:val="auto"/>
        </w:rPr>
        <w:t>February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100330</wp:posOffset>
            </wp:positionV>
            <wp:extent cx="24174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42" w:lineRule="exact"/>
        <w:rPr>
          <w:sz w:val="20"/>
          <w:szCs w:val="20"/>
          <w:color w:val="auto"/>
        </w:rPr>
      </w:pPr>
    </w:p>
    <w:p>
      <w:pPr>
        <w:ind w:left="918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Omar Z. Idilby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711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2" w:lineRule="exact"/>
        <w:rPr>
          <w:sz w:val="20"/>
          <w:szCs w:val="20"/>
          <w:color w:val="auto"/>
        </w:rPr>
      </w:pPr>
    </w:p>
    <w:p>
      <w:pPr>
        <w:ind w:left="100" w:right="5480"/>
        <w:spacing w:after="0" w:line="324" w:lineRule="auto"/>
        <w:rPr>
          <w:sz w:val="20"/>
          <w:szCs w:val="20"/>
          <w:color w:val="auto"/>
        </w:rPr>
      </w:pPr>
      <w:r>
        <w:rPr>
          <w:rFonts w:ascii="Arial" w:cs="Arial" w:eastAsia="Arial" w:hAnsi="Arial"/>
          <w:sz w:val="14"/>
          <w:szCs w:val="14"/>
          <w:color w:val="auto"/>
        </w:rPr>
        <w:t>Omar Z. Idilby, as General Counsel &amp; CCO of GMT Capital Corp., for itself and as the general partner of (i) Bay Resource Partners, L.P. and (ii) Bay II Resource Partners, L.P., and as the investment manager of (iii) Bay Resource Partners Offshore Master Fund, L.P. and (iv) certain other accounts and for Thomas E. Claugus.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3"/>
        </w:trPr>
        <w:tc>
          <w:tcPr>
            <w:tcW w:w="100" w:type="dxa"/>
            <w:vAlign w:val="bottom"/>
            <w:tcBorders>
              <w:top w:val="single" w:sz="8" w:color="auto"/>
            </w:tcBorders>
          </w:tcPr>
          <w:p>
            <w:pPr>
              <w:spacing w:after="0"/>
              <w:rPr>
                <w:sz w:val="20"/>
                <w:szCs w:val="20"/>
                <w:color w:val="auto"/>
              </w:rPr>
            </w:pPr>
          </w:p>
        </w:tc>
        <w:tc>
          <w:tcPr>
            <w:tcW w:w="33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CUSIP No. 05455M100</w:t>
            </w:r>
          </w:p>
        </w:tc>
        <w:tc>
          <w:tcPr>
            <w:tcW w:w="4760" w:type="dxa"/>
            <w:vAlign w:val="bottom"/>
            <w:tcBorders>
              <w:top w:val="single" w:sz="8" w:color="auto"/>
            </w:tcBorders>
          </w:tcPr>
          <w:p>
            <w:pPr>
              <w:ind w:left="2060"/>
              <w:spacing w:after="0"/>
              <w:rPr>
                <w:sz w:val="20"/>
                <w:szCs w:val="20"/>
                <w:color w:val="auto"/>
              </w:rPr>
            </w:pPr>
            <w:r>
              <w:rPr>
                <w:rFonts w:ascii="Arial" w:cs="Arial" w:eastAsia="Arial" w:hAnsi="Arial"/>
                <w:sz w:val="16"/>
                <w:szCs w:val="16"/>
                <w:color w:val="auto"/>
              </w:rPr>
              <w:t>13G</w:t>
            </w:r>
          </w:p>
        </w:tc>
        <w:tc>
          <w:tcPr>
            <w:tcW w:w="30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Page 12 of 13</w:t>
            </w:r>
          </w:p>
        </w:tc>
      </w:tr>
      <w:tr>
        <w:trPr>
          <w:trHeight w:val="395"/>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60" w:type="dxa"/>
            <w:vAlign w:val="bottom"/>
          </w:tcPr>
          <w:p>
            <w:pPr>
              <w:ind w:left="1520"/>
              <w:spacing w:after="0"/>
              <w:rPr>
                <w:sz w:val="20"/>
                <w:szCs w:val="20"/>
                <w:color w:val="auto"/>
              </w:rPr>
            </w:pPr>
            <w:r>
              <w:rPr>
                <w:rFonts w:ascii="Arial" w:cs="Arial" w:eastAsia="Arial" w:hAnsi="Arial"/>
                <w:sz w:val="16"/>
                <w:szCs w:val="16"/>
                <w:b w:val="1"/>
                <w:bCs w:val="1"/>
                <w:color w:val="auto"/>
              </w:rPr>
              <w:t>EXHIBIT INDEX</w:t>
            </w: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0"/>
        </w:trPr>
        <w:tc>
          <w:tcPr>
            <w:tcW w:w="10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Ex.</w:t>
            </w:r>
          </w:p>
        </w:tc>
        <w:tc>
          <w:tcPr>
            <w:tcW w:w="47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w w:val="86"/>
              </w:rPr>
              <w:t>Page No.</w:t>
            </w: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10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6"/>
                <w:szCs w:val="16"/>
                <w:color w:val="auto"/>
              </w:rPr>
              <w:t>A   Joint Filing Agreement</w:t>
            </w:r>
          </w:p>
        </w:tc>
        <w:tc>
          <w:tcPr>
            <w:tcW w:w="4760" w:type="dxa"/>
            <w:vAlign w:val="bottom"/>
          </w:tcPr>
          <w:p>
            <w:pPr>
              <w:spacing w:after="0"/>
              <w:rPr>
                <w:sz w:val="20"/>
                <w:szCs w:val="20"/>
                <w:color w:val="auto"/>
              </w:rPr>
            </w:pPr>
          </w:p>
        </w:tc>
        <w:tc>
          <w:tcPr>
            <w:tcW w:w="3000" w:type="dxa"/>
            <w:vAlign w:val="bottom"/>
            <w:gridSpan w:val="3"/>
          </w:tcPr>
          <w:p>
            <w:pPr>
              <w:jc w:val="right"/>
              <w:ind w:right="100"/>
              <w:spacing w:after="0"/>
              <w:rPr>
                <w:sz w:val="20"/>
                <w:szCs w:val="20"/>
                <w:color w:val="auto"/>
              </w:rPr>
            </w:pPr>
            <w:r>
              <w:rPr>
                <w:rFonts w:ascii="Arial" w:cs="Arial" w:eastAsia="Arial" w:hAnsi="Arial"/>
                <w:sz w:val="16"/>
                <w:szCs w:val="16"/>
                <w:color w:val="auto"/>
              </w:rPr>
              <w:t>13</w:t>
            </w:r>
          </w:p>
        </w:tc>
      </w:tr>
      <w:tr>
        <w:trPr>
          <w:trHeight w:val="486"/>
        </w:trPr>
        <w:tc>
          <w:tcPr>
            <w:tcW w:w="100" w:type="dxa"/>
            <w:vAlign w:val="bottom"/>
            <w:tcBorders>
              <w:bottom w:val="single" w:sz="8" w:color="6291B2"/>
            </w:tcBorders>
          </w:tcPr>
          <w:p>
            <w:pPr>
              <w:spacing w:after="0"/>
              <w:rPr>
                <w:sz w:val="24"/>
                <w:szCs w:val="24"/>
                <w:color w:val="auto"/>
              </w:rPr>
            </w:pPr>
          </w:p>
        </w:tc>
        <w:tc>
          <w:tcPr>
            <w:tcW w:w="220" w:type="dxa"/>
            <w:vAlign w:val="bottom"/>
            <w:tcBorders>
              <w:bottom w:val="single" w:sz="8" w:color="6291B2"/>
            </w:tcBorders>
          </w:tcPr>
          <w:p>
            <w:pPr>
              <w:spacing w:after="0"/>
              <w:rPr>
                <w:sz w:val="24"/>
                <w:szCs w:val="24"/>
                <w:color w:val="auto"/>
              </w:rPr>
            </w:pPr>
          </w:p>
        </w:tc>
        <w:tc>
          <w:tcPr>
            <w:tcW w:w="3160" w:type="dxa"/>
            <w:vAlign w:val="bottom"/>
            <w:tcBorders>
              <w:bottom w:val="single" w:sz="8" w:color="6291B2"/>
            </w:tcBorders>
          </w:tcPr>
          <w:p>
            <w:pPr>
              <w:spacing w:after="0"/>
              <w:rPr>
                <w:sz w:val="24"/>
                <w:szCs w:val="24"/>
                <w:color w:val="auto"/>
              </w:rPr>
            </w:pPr>
          </w:p>
        </w:tc>
        <w:tc>
          <w:tcPr>
            <w:tcW w:w="4760" w:type="dxa"/>
            <w:vAlign w:val="bottom"/>
            <w:tcBorders>
              <w:bottom w:val="single" w:sz="8" w:color="6291B2"/>
            </w:tcBorders>
          </w:tcPr>
          <w:p>
            <w:pPr>
              <w:spacing w:after="0"/>
              <w:rPr>
                <w:sz w:val="24"/>
                <w:szCs w:val="24"/>
                <w:color w:val="auto"/>
              </w:rPr>
            </w:pPr>
          </w:p>
        </w:tc>
        <w:tc>
          <w:tcPr>
            <w:tcW w:w="2300" w:type="dxa"/>
            <w:vAlign w:val="bottom"/>
            <w:tcBorders>
              <w:bottom w:val="single" w:sz="8" w:color="6291B2"/>
            </w:tcBorders>
          </w:tcPr>
          <w:p>
            <w:pPr>
              <w:spacing w:after="0"/>
              <w:rPr>
                <w:sz w:val="24"/>
                <w:szCs w:val="24"/>
                <w:color w:val="auto"/>
              </w:rPr>
            </w:pPr>
          </w:p>
        </w:tc>
        <w:tc>
          <w:tcPr>
            <w:tcW w:w="600" w:type="dxa"/>
            <w:vAlign w:val="bottom"/>
            <w:tcBorders>
              <w:bottom w:val="single" w:sz="8" w:color="6291B2"/>
            </w:tcBorders>
          </w:tcPr>
          <w:p>
            <w:pPr>
              <w:spacing w:after="0"/>
              <w:rPr>
                <w:sz w:val="24"/>
                <w:szCs w:val="24"/>
                <w:color w:val="auto"/>
              </w:rPr>
            </w:pPr>
          </w:p>
        </w:tc>
        <w:tc>
          <w:tcPr>
            <w:tcW w:w="100" w:type="dxa"/>
            <w:vAlign w:val="bottom"/>
            <w:tcBorders>
              <w:bottom w:val="single" w:sz="8" w:color="6291B2"/>
            </w:tcBorders>
          </w:tcPr>
          <w:p>
            <w:pPr>
              <w:spacing w:after="0"/>
              <w:rPr>
                <w:sz w:val="24"/>
                <w:szCs w:val="24"/>
                <w:color w:val="auto"/>
              </w:rPr>
            </w:pPr>
          </w:p>
        </w:tc>
      </w:tr>
    </w:tbl>
    <w:p>
      <w:pPr>
        <w:sectPr>
          <w:pgSz w:w="11900" w:h="16838" w:orient="portrait"/>
          <w:cols w:equalWidth="0" w:num="1">
            <w:col w:w="11240"/>
          </w:cols>
          <w:pgMar w:left="320" w:top="687" w:right="339" w:bottom="1440" w:gutter="0" w:footer="0" w:header="0"/>
        </w:sectPr>
      </w:pPr>
    </w:p>
    <w:bookmarkStart w:id="12" w:name="page13"/>
    <w:bookmarkEnd w:id="12"/>
    <w:p>
      <w:pPr>
        <w:ind w:left="100"/>
        <w:spacing w:after="0"/>
        <w:tabs>
          <w:tab w:leader="none" w:pos="5520" w:val="left"/>
          <w:tab w:leader="none" w:pos="102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05455M100</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4"/>
          <w:szCs w:val="14"/>
          <w:color w:val="auto"/>
        </w:rPr>
        <w:t>Page 13 of 13</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JOINT FILING AGREEMENT</w:t>
      </w:r>
    </w:p>
    <w:p>
      <w:pPr>
        <w:spacing w:after="0" w:line="225" w:lineRule="exact"/>
        <w:rPr>
          <w:sz w:val="20"/>
          <w:szCs w:val="20"/>
          <w:color w:val="auto"/>
        </w:rPr>
      </w:pPr>
    </w:p>
    <w:p>
      <w:pPr>
        <w:jc w:val="both"/>
        <w:ind w:right="240" w:firstLine="648"/>
        <w:spacing w:after="0" w:line="278" w:lineRule="auto"/>
        <w:rPr>
          <w:sz w:val="20"/>
          <w:szCs w:val="20"/>
          <w:color w:val="auto"/>
        </w:rPr>
      </w:pPr>
      <w:r>
        <w:rPr>
          <w:rFonts w:ascii="Arial" w:cs="Arial" w:eastAsia="Arial" w:hAnsi="Arial"/>
          <w:sz w:val="16"/>
          <w:szCs w:val="16"/>
          <w:color w:val="auto"/>
        </w:rPr>
        <w:t>The undersigned hereby agree that the statement on Schedule 13G with respect to the Ordinary Shares of Hudbay Minerals Inc. dated as of February 8, 2022 is, and any amendments thereto signed by each of the undersigned shall be, filed on behalf of each of us pursuant to and in accordance with the provisions of Rule 13d-1(k) under the Securities Exchange Act of 1934, as amended.</w:t>
      </w:r>
    </w:p>
    <w:p>
      <w:pPr>
        <w:spacing w:after="0" w:line="36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Bay Resource Partners, L.P.</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Omar Z. Idilby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66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Authorized Signatory</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Bay II Resource Partners, L.P.</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Omar Z. Idilby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Authorized Signatory</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Bay Resource Partners Offshore Master Fund, L.P.</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Omar Z. Idilby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66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Authorized Signatory</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GMT Capital Corp.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Omar Z. Idilby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66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General Counsel &amp; CCO</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Thomas E. Claugus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Omar Z. Idilby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566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Authorized Signatory</w:t>
      </w:r>
    </w:p>
    <w:sectPr>
      <w:pgSz w:w="11900" w:h="16838" w:orient="portrait"/>
      <w:cols w:equalWidth="0" w:num="1">
        <w:col w:w="11240"/>
      </w:cols>
      <w:pgMar w:left="320" w:top="7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þ"/>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7FDCC233"/>
    <w:multiLevelType w:val="hybridMultilevel"/>
    <w:lvl w:ilvl="0">
      <w:lvlJc w:val="left"/>
      <w:lvlText w:val="%1"/>
      <w:numFmt w:val="decimal"/>
      <w:start w:val="1"/>
    </w:lvl>
    <w:lvl w:ilvl="1">
      <w:lvlJc w:val="left"/>
      <w:lvlText w:val="%2."/>
      <w:numFmt w:val="decimal"/>
      <w:start w:val="8"/>
    </w:lvl>
  </w:abstractNum>
  <w:abstractNum w:abstractNumId="4">
    <w:nsid w:val="1BEFD79F"/>
    <w:multiLevelType w:val="hybridMultilevel"/>
    <w:lvl w:ilvl="0">
      <w:lvlJc w:val="left"/>
      <w:lvlText w:val="%1."/>
      <w:numFmt w:val="decimal"/>
      <w:start w:val="9"/>
    </w:lvl>
    <w:lvl w:ilvl="1">
      <w:lvlJc w:val="left"/>
      <w:lvlText w:val="%2"/>
      <w:numFmt w:val="decimal"/>
      <w:start w:val="1"/>
    </w:lvl>
  </w:abstractNum>
  <w:abstractNum w:abstractNumId="5">
    <w:nsid w:val="41A7C4C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6B68079A"/>
    <w:multiLevelType w:val="hybridMultilevel"/>
    <w:lvl w:ilvl="0">
      <w:lvlJc w:val="left"/>
      <w:lvlText w:val="%1"/>
      <w:numFmt w:val="decimal"/>
      <w:start w:val="1"/>
    </w:lvl>
    <w:lvl w:ilvl="1">
      <w:lvlJc w:val="left"/>
      <w:lvlText w:val="%2."/>
      <w:numFmt w:val="decimal"/>
      <w:start w:val="8"/>
    </w:lvl>
  </w:abstractNum>
  <w:abstractNum w:abstractNumId="7">
    <w:nsid w:val="4E6AFB66"/>
    <w:multiLevelType w:val="hybridMultilevel"/>
    <w:lvl w:ilvl="0">
      <w:lvlJc w:val="left"/>
      <w:lvlText w:val="%1."/>
      <w:numFmt w:val="decimal"/>
      <w:start w:val="9"/>
    </w:lvl>
    <w:lvl w:ilvl="1">
      <w:lvlJc w:val="left"/>
      <w:lvlText w:val="%2"/>
      <w:numFmt w:val="decimal"/>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
    <w:nsid w:val="519B500D"/>
    <w:multiLevelType w:val="hybridMultilevel"/>
    <w:lvl w:ilvl="0">
      <w:lvlJc w:val="left"/>
      <w:lvlText w:val="%1"/>
      <w:numFmt w:val="decimal"/>
      <w:start w:val="1"/>
    </w:lvl>
    <w:lvl w:ilvl="1">
      <w:lvlJc w:val="left"/>
      <w:lvlText w:val="%2."/>
      <w:numFmt w:val="decimal"/>
      <w:start w:val="8"/>
    </w:lvl>
  </w:abstractNum>
  <w:abstractNum w:abstractNumId="10">
    <w:nsid w:val="431BD7B7"/>
    <w:multiLevelType w:val="hybridMultilevel"/>
    <w:lvl w:ilvl="0">
      <w:lvlJc w:val="left"/>
      <w:lvlText w:val="%1."/>
      <w:numFmt w:val="decimal"/>
      <w:start w:val="9"/>
    </w:lvl>
    <w:lvl w:ilvl="1">
      <w:lvlJc w:val="left"/>
      <w:lvlText w:val="%2"/>
      <w:numFmt w:val="decimal"/>
      <w:start w:val="1"/>
    </w:lvl>
  </w:abstractNum>
  <w:abstractNum w:abstractNumId="11">
    <w:nsid w:val="3F2DBA3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7C83E458"/>
    <w:multiLevelType w:val="hybridMultilevel"/>
    <w:lvl w:ilvl="0">
      <w:lvlJc w:val="left"/>
      <w:lvlText w:val="%1"/>
      <w:numFmt w:val="decimal"/>
      <w:start w:val="1"/>
    </w:lvl>
    <w:lvl w:ilvl="1">
      <w:lvlJc w:val="left"/>
      <w:lvlText w:val="%2."/>
      <w:numFmt w:val="decimal"/>
      <w:start w:val="8"/>
    </w:lvl>
  </w:abstractNum>
  <w:abstractNum w:abstractNumId="13">
    <w:nsid w:val="257130A3"/>
    <w:multiLevelType w:val="hybridMultilevel"/>
    <w:lvl w:ilvl="0">
      <w:lvlJc w:val="left"/>
      <w:lvlText w:val="%1."/>
      <w:numFmt w:val="decimal"/>
      <w:start w:val="9"/>
    </w:lvl>
    <w:lvl w:ilvl="1">
      <w:lvlJc w:val="left"/>
      <w:lvlText w:val="%2"/>
      <w:numFmt w:val="decimal"/>
      <w:start w:val="1"/>
    </w:lvl>
  </w:abstractNum>
  <w:abstractNum w:abstractNumId="14">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5">
    <w:nsid w:val="436C6125"/>
    <w:multiLevelType w:val="hybridMultilevel"/>
    <w:lvl w:ilvl="0">
      <w:lvlJc w:val="left"/>
      <w:lvlText w:val="%1"/>
      <w:numFmt w:val="decimal"/>
      <w:start w:val="1"/>
    </w:lvl>
    <w:lvl w:ilvl="1">
      <w:lvlJc w:val="left"/>
      <w:lvlText w:val="%2."/>
      <w:numFmt w:val="decimal"/>
      <w:start w:val="8"/>
    </w:lvl>
  </w:abstractNum>
  <w:abstractNum w:abstractNumId="16">
    <w:nsid w:val="628C895D"/>
    <w:multiLevelType w:val="hybridMultilevel"/>
    <w:lvl w:ilvl="0">
      <w:lvlJc w:val="left"/>
      <w:lvlText w:val="%1."/>
      <w:numFmt w:val="decimal"/>
      <w:start w:val="9"/>
    </w:lvl>
    <w:lvl w:ilvl="1">
      <w:lvlJc w:val="left"/>
      <w:lvlText w:val="%2"/>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1"/>
    </w:lvl>
    <w:lvl w:ilvl="1">
      <w:lvlJc w:val="left"/>
      <w:lvlText w:val="%2)"/>
      <w:numFmt w:val="lowerRoman"/>
      <w:start w:val="1"/>
    </w:lvl>
  </w:abstractNum>
  <w:abstractNum w:abstractNumId="19">
    <w:nsid w:val="2443A858"/>
    <w:multiLevelType w:val="hybridMultilevel"/>
    <w:lvl w:ilvl="0">
      <w:lvlJc w:val="left"/>
      <w:lvlText w:val="(%1)"/>
      <w:numFmt w:val="lowerLetter"/>
      <w:start w:val="2"/>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
    <w:nsid w:val="8EDBDA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2022-02-10T05:15:24Z</dcterms:created>
  <dcterms:modified xsi:type="dcterms:W3CDTF">2022-02-10T05:15:24Z</dcterms:modified>
</cp:coreProperties>
</file>