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sz w:val="20"/>
        </w:rPr>
      </w:pPr>
      <w:bookmarkStart w:id="0" w:name="tecx-20250331.htm"/>
      <w:bookmarkStart w:id="1" w:name="kstecx20250331"/>
      <w:bookmarkEnd w:id="0"/>
      <w:bookmarkEnd w:id="1"/>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80" w:after="40"/>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March 31, 2025</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______________ to ______________</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001-38537</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48"/>
        </w:rPr>
        <w:t>TECTONIC THERAPEUTIC,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81-0710585</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490 Arsenal Way, Suite 210</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Watertown, MA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(339) 666-3320</w:t>
      </w:r>
    </w:p>
    <w:p>
      <w:pPr>
        <w:pStyle w:val="TextBody"/>
        <w:bidi w:val="0"/>
        <w:spacing w:before="80" w:after="283"/>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495" w:type="dxa"/>
        <w:jc w:val="left"/>
        <w:tblInd w:w="0" w:type="dxa"/>
        <w:tblLayout w:type="fixed"/>
        <w:tblCellMar>
          <w:top w:w="28" w:type="dxa"/>
          <w:left w:w="28" w:type="dxa"/>
          <w:bottom w:w="28" w:type="dxa"/>
          <w:right w:w="28" w:type="dxa"/>
        </w:tblCellMar>
      </w:tblPr>
      <w:tblGrid>
        <w:gridCol w:w="3706"/>
        <w:gridCol w:w="146"/>
        <w:gridCol w:w="826"/>
        <w:gridCol w:w="146"/>
        <w:gridCol w:w="2671"/>
      </w:tblGrid>
      <w:tr>
        <w:trPr/>
        <w:tc>
          <w:tcPr>
            <w:tcW w:w="3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71" w:type="dxa"/>
            <w:tcBorders/>
            <w:shd w:fill="FFFFFF" w:val="clear"/>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67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TECX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71"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As of May 1, 2025, the registrant had 18,672,509 shares of common stock, $0.0001 par value per share, outstanding.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33"/>
        <w:gridCol w:w="8660"/>
        <w:gridCol w:w="512"/>
      </w:tblGrid>
      <w:tr>
        <w:trPr/>
        <w:tc>
          <w:tcPr>
            <w:tcW w:w="1033" w:type="dxa"/>
            <w:tcBorders/>
            <w:shd w:fill="FFFFFF" w:val="clear"/>
            <w:vAlign w:val="center"/>
          </w:tcPr>
          <w:p>
            <w:pPr>
              <w:pStyle w:val="TableContents"/>
              <w:bidi w:val="0"/>
              <w:spacing w:before="0" w:after="283"/>
              <w:jc w:val="left"/>
              <w:rPr>
                <w:sz w:val="4"/>
                <w:szCs w:val="4"/>
              </w:rPr>
            </w:pPr>
            <w:r>
              <w:rPr>
                <w:sz w:val="4"/>
                <w:szCs w:val="4"/>
              </w:rPr>
            </w:r>
          </w:p>
        </w:tc>
        <w:tc>
          <w:tcPr>
            <w:tcW w:w="8660" w:type="dxa"/>
            <w:tcBorders/>
            <w:shd w:fill="FFFFFF" w:val="clear"/>
            <w:vAlign w:val="center"/>
          </w:tcPr>
          <w:p>
            <w:pPr>
              <w:pStyle w:val="TableContents"/>
              <w:bidi w:val="0"/>
              <w:spacing w:before="0" w:after="283"/>
              <w:jc w:val="left"/>
              <w:rPr>
                <w:sz w:val="4"/>
                <w:szCs w:val="4"/>
              </w:rPr>
            </w:pPr>
            <w:r>
              <w:rPr>
                <w:sz w:val="4"/>
                <w:szCs w:val="4"/>
              </w:rPr>
            </w:r>
          </w:p>
        </w:tc>
        <w:tc>
          <w:tcPr>
            <w:tcW w:w="512" w:type="dxa"/>
            <w:tcBorders/>
            <w:shd w:fill="FFFFFF" w:val="clear"/>
            <w:vAlign w:val="center"/>
          </w:tcPr>
          <w:p>
            <w:pPr>
              <w:pStyle w:val="TableContents"/>
              <w:bidi w:val="0"/>
              <w:spacing w:before="0" w:after="283"/>
              <w:jc w:val="left"/>
              <w:rPr>
                <w:sz w:val="4"/>
                <w:szCs w:val="4"/>
              </w:rPr>
            </w:pPr>
            <w:r>
              <w:rPr>
                <w:sz w:val="4"/>
                <w:szCs w:val="4"/>
              </w:rPr>
            </w:r>
          </w:p>
        </w:tc>
      </w:tr>
      <w:tr>
        <w:trPr/>
        <w:tc>
          <w:tcPr>
            <w:tcW w:w="10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103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w:t>
            </w:r>
          </w:p>
        </w:tc>
        <w:tc>
          <w:tcPr>
            <w:tcW w:w="866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_financial_information">
              <w:r>
                <w:rPr>
                  <w:rStyle w:val="InternetLink"/>
                  <w:rFonts w:ascii="Times New Roman" w:hAnsi="Times New Roman"/>
                  <w:color w:val="0000FF"/>
                  <w:sz w:val="20"/>
                  <w:u w:val="single"/>
                </w:rPr>
                <w:t>FINANCIAL INFORMATION</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w:t>
            </w:r>
          </w:p>
        </w:tc>
      </w:tr>
      <w:tr>
        <w:trPr/>
        <w:tc>
          <w:tcPr>
            <w:tcW w:w="103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66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financial_statements">
              <w:r>
                <w:rPr>
                  <w:rStyle w:val="InternetLink"/>
                  <w:rFonts w:ascii="Times New Roman" w:hAnsi="Times New Roman"/>
                  <w:color w:val="0000FF"/>
                  <w:sz w:val="20"/>
                  <w:u w:val="single"/>
                </w:rPr>
                <w:t>Financial Statements (Unaudited)</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w:t>
            </w:r>
          </w:p>
        </w:tc>
      </w:tr>
      <w:tr>
        <w:trPr/>
        <w:tc>
          <w:tcPr>
            <w:tcW w:w="1033"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6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balance_sheets">
              <w:r>
                <w:rPr>
                  <w:rStyle w:val="InternetLink"/>
                  <w:rFonts w:ascii="Times New Roman" w:hAnsi="Times New Roman"/>
                  <w:color w:val="0000FF"/>
                  <w:sz w:val="20"/>
                  <w:u w:val="single"/>
                </w:rPr>
                <w:t>Condensed Consolidated Balance Sheets as of March 31, 2025 and December 31, 2024</w:t>
              </w:r>
            </w:hyperlink>
            <w:r>
              <w:rPr>
                <w:rFonts w:ascii="Times New Roman" w:hAnsi="Times New Roman"/>
                <w:color w:val="000000"/>
                <w:sz w:val="20"/>
              </w:rPr>
              <w:t xml:space="preserve"> </w:t>
            </w:r>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w:t>
            </w:r>
          </w:p>
        </w:tc>
      </w:tr>
      <w:tr>
        <w:trPr/>
        <w:tc>
          <w:tcPr>
            <w:tcW w:w="1033"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6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mprehensive_loss">
              <w:r>
                <w:rPr>
                  <w:rStyle w:val="InternetLink"/>
                  <w:rFonts w:ascii="Times New Roman" w:hAnsi="Times New Roman"/>
                  <w:color w:val="0000FF"/>
                  <w:sz w:val="20"/>
                  <w:u w:val="single"/>
                </w:rPr>
                <w:t>Condensed Consolidated Statements of Operations and Comprehensive Loss for the three months ended March 31, 2025 and 2024</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w:t>
            </w:r>
          </w:p>
        </w:tc>
      </w:tr>
      <w:tr>
        <w:trPr/>
        <w:tc>
          <w:tcPr>
            <w:tcW w:w="1033"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6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mprehensive_loss">
              <w:r>
                <w:rPr>
                  <w:rStyle w:val="InternetLink"/>
                  <w:rFonts w:ascii="Times New Roman" w:hAnsi="Times New Roman"/>
                  <w:color w:val="0000FF"/>
                  <w:sz w:val="20"/>
                  <w:u w:val="single"/>
                </w:rPr>
                <w:t>Condensed Consolidated</w:t>
              </w:r>
            </w:hyperlink>
            <w:r>
              <w:rPr>
                <w:rFonts w:ascii="Times New Roman" w:hAnsi="Times New Roman"/>
                <w:color w:val="000000"/>
                <w:sz w:val="20"/>
              </w:rPr>
              <w:t xml:space="preserve"> </w:t>
            </w:r>
            <w:hyperlink w:anchor="stockholders">
              <w:r>
                <w:rPr>
                  <w:rStyle w:val="InternetLink"/>
                  <w:rFonts w:ascii="Times New Roman" w:hAnsi="Times New Roman"/>
                  <w:color w:val="0000FF"/>
                  <w:sz w:val="20"/>
                  <w:u w:val="single"/>
                </w:rPr>
                <w:t>Statements of Convertible Preferred Stock and Stockholders’ Equity (Deficit) for the three months ended March 31, 2025 and 2024</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4</w:t>
            </w:r>
          </w:p>
        </w:tc>
      </w:tr>
      <w:tr>
        <w:trPr/>
        <w:tc>
          <w:tcPr>
            <w:tcW w:w="1033"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6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mprehensive_loss">
              <w:r>
                <w:rPr>
                  <w:rStyle w:val="InternetLink"/>
                  <w:rFonts w:ascii="Times New Roman" w:hAnsi="Times New Roman"/>
                  <w:color w:val="0000FF"/>
                  <w:sz w:val="20"/>
                  <w:u w:val="single"/>
                </w:rPr>
                <w:t>Condensed Consolidated</w:t>
              </w:r>
            </w:hyperlink>
            <w:r>
              <w:rPr>
                <w:rFonts w:ascii="Times New Roman" w:hAnsi="Times New Roman"/>
                <w:color w:val="000000"/>
                <w:sz w:val="20"/>
              </w:rPr>
              <w:t xml:space="preserve"> </w:t>
            </w:r>
            <w:hyperlink w:anchor="cash_flows">
              <w:r>
                <w:rPr>
                  <w:rStyle w:val="InternetLink"/>
                  <w:rFonts w:ascii="Times New Roman" w:hAnsi="Times New Roman"/>
                  <w:color w:val="0000FF"/>
                  <w:sz w:val="20"/>
                  <w:u w:val="single"/>
                </w:rPr>
                <w:t>Statements of Cash Flows for the three months ended March 31, 2025 and 2024</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rPr/>
        <w:tc>
          <w:tcPr>
            <w:tcW w:w="1033"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6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unaudited_condensed">
              <w:r>
                <w:rPr>
                  <w:rStyle w:val="InternetLink"/>
                  <w:rFonts w:ascii="Times New Roman" w:hAnsi="Times New Roman"/>
                  <w:color w:val="0000FF"/>
                  <w:sz w:val="20"/>
                  <w:u w:val="single"/>
                </w:rPr>
                <w:t>Notes to Unaudited Interim Condensed Consolidated Financial Statements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w:t>
            </w:r>
          </w:p>
        </w:tc>
      </w:tr>
      <w:tr>
        <w:trPr/>
        <w:tc>
          <w:tcPr>
            <w:tcW w:w="103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66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15</w:t>
            </w:r>
          </w:p>
        </w:tc>
      </w:tr>
      <w:tr>
        <w:trPr/>
        <w:tc>
          <w:tcPr>
            <w:tcW w:w="103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66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quantitative">
              <w:r>
                <w:rPr>
                  <w:rStyle w:val="InternetLink"/>
                  <w:rFonts w:ascii="Times New Roman" w:hAnsi="Times New Roman"/>
                  <w:color w:val="0000FF"/>
                  <w:sz w:val="20"/>
                  <w:u w:val="single"/>
                </w:rPr>
                <w:t>Quantitative and Qualitative Disclosures About Market Risk</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23</w:t>
            </w:r>
          </w:p>
        </w:tc>
      </w:tr>
      <w:tr>
        <w:trPr/>
        <w:tc>
          <w:tcPr>
            <w:tcW w:w="103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66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controls">
              <w:r>
                <w:rPr>
                  <w:rStyle w:val="InternetLink"/>
                  <w:rFonts w:ascii="Times New Roman" w:hAnsi="Times New Roman"/>
                  <w:color w:val="0000FF"/>
                  <w:sz w:val="20"/>
                  <w:u w:val="single"/>
                </w:rPr>
                <w:t>Controls and Procedures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24</w:t>
            </w:r>
          </w:p>
        </w:tc>
      </w:tr>
      <w:tr>
        <w:trPr/>
        <w:tc>
          <w:tcPr>
            <w:tcW w:w="103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866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i_other_information">
              <w:r>
                <w:rPr>
                  <w:rStyle w:val="InternetLink"/>
                  <w:rFonts w:ascii="Times New Roman" w:hAnsi="Times New Roman"/>
                  <w:color w:val="0000FF"/>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25</w:t>
            </w:r>
          </w:p>
        </w:tc>
      </w:tr>
      <w:tr>
        <w:trPr/>
        <w:tc>
          <w:tcPr>
            <w:tcW w:w="103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66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25</w:t>
            </w:r>
          </w:p>
        </w:tc>
      </w:tr>
      <w:tr>
        <w:trPr/>
        <w:tc>
          <w:tcPr>
            <w:tcW w:w="103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866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a_risk_factors">
              <w:r>
                <w:rPr>
                  <w:rStyle w:val="InternetLink"/>
                  <w:rFonts w:ascii="Times New Roman" w:hAnsi="Times New Roman"/>
                  <w:color w:val="0000FF"/>
                  <w:sz w:val="20"/>
                  <w:u w:val="single"/>
                </w:rPr>
                <w:t>Risk Factors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26</w:t>
            </w:r>
          </w:p>
        </w:tc>
      </w:tr>
      <w:tr>
        <w:trPr/>
        <w:tc>
          <w:tcPr>
            <w:tcW w:w="103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66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unregistered_sales">
              <w:r>
                <w:rPr>
                  <w:rStyle w:val="InternetLink"/>
                  <w:rFonts w:ascii="Times New Roman" w:hAnsi="Times New Roman"/>
                  <w:color w:val="0000FF"/>
                  <w:sz w:val="20"/>
                  <w:u w:val="single"/>
                </w:rPr>
                <w:t>Unregistered Sales of Equity Securities and Use of Proceeds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75</w:t>
            </w:r>
          </w:p>
        </w:tc>
      </w:tr>
      <w:tr>
        <w:trPr/>
        <w:tc>
          <w:tcPr>
            <w:tcW w:w="103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66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defaults">
              <w:r>
                <w:rPr>
                  <w:rStyle w:val="InternetLink"/>
                  <w:rFonts w:ascii="Times New Roman" w:hAnsi="Times New Roman"/>
                  <w:color w:val="0000FF"/>
                  <w:sz w:val="20"/>
                  <w:u w:val="single"/>
                </w:rPr>
                <w:t>Defaults Upon Senior Securities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75</w:t>
            </w:r>
          </w:p>
        </w:tc>
      </w:tr>
      <w:tr>
        <w:trPr/>
        <w:tc>
          <w:tcPr>
            <w:tcW w:w="103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66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mine_safety">
              <w:r>
                <w:rPr>
                  <w:rStyle w:val="InternetLink"/>
                  <w:rFonts w:ascii="Times New Roman" w:hAnsi="Times New Roman"/>
                  <w:color w:val="0000FF"/>
                  <w:sz w:val="20"/>
                  <w:u w:val="single"/>
                </w:rPr>
                <w:t>Mine Safety Disclosures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75</w:t>
            </w:r>
          </w:p>
        </w:tc>
      </w:tr>
      <w:tr>
        <w:trPr/>
        <w:tc>
          <w:tcPr>
            <w:tcW w:w="103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866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75</w:t>
            </w:r>
          </w:p>
        </w:tc>
      </w:tr>
      <w:tr>
        <w:trPr/>
        <w:tc>
          <w:tcPr>
            <w:tcW w:w="1033"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866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6_exhibits">
              <w:r>
                <w:rPr>
                  <w:rStyle w:val="InternetLink"/>
                  <w:rFonts w:ascii="Times New Roman" w:hAnsi="Times New Roman"/>
                  <w:color w:val="0000FF"/>
                  <w:sz w:val="20"/>
                  <w:u w:val="single"/>
                </w:rPr>
                <w:t>Exhibits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76</w:t>
            </w:r>
          </w:p>
        </w:tc>
      </w:tr>
      <w:tr>
        <w:trPr/>
        <w:tc>
          <w:tcPr>
            <w:tcW w:w="1033"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60"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ignatures">
              <w:r>
                <w:rPr>
                  <w:rStyle w:val="InternetLink"/>
                  <w:rFonts w:ascii="Times New Roman" w:hAnsi="Times New Roman"/>
                  <w:color w:val="0000FF"/>
                  <w:sz w:val="20"/>
                  <w:u w:val="single"/>
                </w:rPr>
                <w:t>Signatures</w:t>
              </w:r>
            </w:hyperlink>
          </w:p>
        </w:tc>
        <w:tc>
          <w:tcPr>
            <w:tcW w:w="5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within the meaning of Section 21E the Securities Exchange Act of 1934, as amended (the “Exchange Act”). All statements other than statements of historical facts contained in this Quarterly Report are statements that could be deemed forward-looking statements reflecting the current beliefs and expectations of management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These statements are often identified by the use of words such as “aim,” “anticipate,” “assume,” “believe,” “contemplate,” “continue,” “could,” “due,” “estimate,” “expect,” “goal,” “if,” “intend,” “may,” “objective,” “plan,” “predict,” “potential,” “positioned,” “seek,” “should,” “target,” “until,” “will,” “would,” and similar expressions or variations. Forward-looking statements in this Quarterly Report may include, for example, statements about:</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strategies, prospects, plans, expectations or objectives of management for our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progress, scope or timing of the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surrounding the potential safety, efficacy, and regulatory and clinical progress of TX45, TX2100 and any other product candidates, and our anticipated milestones and timing therefor;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benefits that may be derived from any of our future products, if approved, or the commercial or market opportunity with respect to any of our future products,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protect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operations, financial position, ability to raise capital to fund our operations, revenues, costs or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statements regarding our future economic conditions or performance, statements of belief and any statement of assumptions underlying any of the foregoing.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Quarterly Report. These forward-looking statements are based on our management’s current expectations, estimates, forecasts and projections about our business and the industry in which we operate, and management’s beliefs and assumptions and are not guarantees of future performance or development. These forward-looking statements are subject to a number of risks, uncertainties and assumptions,</w:t>
      </w:r>
    </w:p>
    <w:p>
      <w:pPr>
        <w:pStyle w:val="TextBody"/>
        <w:bidi w:val="0"/>
        <w:jc w:val="left"/>
        <w:rPr>
          <w:rFonts w:ascii="Times New Roman" w:hAnsi="Times New Roman"/>
          <w:color w:val="000000"/>
          <w:sz w:val="20"/>
        </w:rPr>
      </w:pPr>
      <w:r>
        <w:rPr>
          <w:rFonts w:ascii="Times New Roman" w:hAnsi="Times New Roman"/>
          <w:color w:val="000000"/>
          <w:sz w:val="20"/>
        </w:rPr>
        <w:t>including those described under the section titled “Risk Factors” under Part II, Item 1A below, and under similar captions in our</w:t>
      </w:r>
    </w:p>
    <w:p>
      <w:pPr>
        <w:pStyle w:val="TextBody"/>
        <w:bidi w:val="0"/>
        <w:jc w:val="left"/>
        <w:rPr>
          <w:rFonts w:ascii="Times New Roman" w:hAnsi="Times New Roman"/>
          <w:color w:val="000000"/>
          <w:sz w:val="20"/>
        </w:rPr>
      </w:pPr>
      <w:r>
        <w:rPr>
          <w:rFonts w:ascii="Times New Roman" w:hAnsi="Times New Roman"/>
          <w:color w:val="000000"/>
          <w:sz w:val="20"/>
        </w:rPr>
        <w:t>periodic reports filed with the Securities and Exchange Commission (“SEC”) from time to time.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w:t>
      </w:r>
    </w:p>
    <w:p>
      <w:pPr>
        <w:pStyle w:val="TextBody"/>
        <w:bidi w:val="0"/>
        <w:jc w:val="left"/>
        <w:rPr>
          <w:rFonts w:ascii="Times New Roman" w:hAnsi="Times New Roman"/>
          <w:color w:val="000000"/>
          <w:sz w:val="20"/>
        </w:rPr>
      </w:pPr>
      <w:r>
        <w:rPr>
          <w:rFonts w:ascii="Times New Roman" w:hAnsi="Times New Roman"/>
          <w:color w:val="000000"/>
          <w:sz w:val="20"/>
        </w:rPr>
        <w:t xml:space="preserve">these risks, uncertainties and assumptions, the forward-looking events and circumstances discussed in this Quarterly Report may not occur and actual results could differ materially and adversely from those anticipated or implied in the forward-looking statements. Given these uncertainties, you should not place undue reliance on these forward-looking statements. Also, forward-looking statements represent our management’s beliefs and assumptions only as of the date of this Quarterly Report on Form 10-Q.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on information available to us as of the date of this Quarterly Report. While we believe that information provides a reasonable basis for these statements, that information may be limited or incomplete. Our statements should not be read to indicate that we have conducted an exhaustive inquiry into, or review of, all relevant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_financial_information"/>
      <w:bookmarkEnd w:id="2"/>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4" w:name="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90"/>
        <w:gridCol w:w="146"/>
        <w:gridCol w:w="211"/>
        <w:gridCol w:w="841"/>
        <w:gridCol w:w="166"/>
        <w:gridCol w:w="146"/>
        <w:gridCol w:w="218"/>
        <w:gridCol w:w="875"/>
        <w:gridCol w:w="612"/>
      </w:tblGrid>
      <w:tr>
        <w:trPr/>
        <w:tc>
          <w:tcPr>
            <w:tcW w:w="6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69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9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141,239</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146,857</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152,905</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7,850</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liability,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10,000,000 shares authorized as of March 31, 2025 </w:t>
              <w:br/>
              <w:t xml:space="preserve">   and December 31, 2024; no shares issued and outstanding as of </w:t>
              <w:br/>
              <w:t>   March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150,000,000 shares authorized</w:t>
              <w:br/>
              <w:t>   as of March 31, 2025 and December 31, 2024; 18,671,229 and 14,856,309 shares</w:t>
              <w:br/>
              <w:t>   issued and outstanding as of March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289,351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(148,586</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140,776</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152,905</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5" w:name="comprehensive_loss"/>
      <w:bookmarkEnd w:id="5"/>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120" w:after="283"/>
        <w:jc w:val="left"/>
        <w:rPr/>
      </w:pPr>
      <w:r>
        <w:rPr/>
        <w:t> </w:t>
      </w:r>
    </w:p>
    <w:tbl>
      <w:tblPr>
        <w:tblW w:w="8859" w:type="dxa"/>
        <w:jc w:val="left"/>
        <w:tblInd w:w="0" w:type="dxa"/>
        <w:tblLayout w:type="fixed"/>
        <w:tblCellMar>
          <w:top w:w="28" w:type="dxa"/>
          <w:left w:w="28" w:type="dxa"/>
          <w:bottom w:w="28" w:type="dxa"/>
          <w:right w:w="28" w:type="dxa"/>
        </w:tblCellMar>
      </w:tblPr>
      <w:tblGrid>
        <w:gridCol w:w="5401"/>
        <w:gridCol w:w="146"/>
        <w:gridCol w:w="211"/>
        <w:gridCol w:w="1036"/>
        <w:gridCol w:w="166"/>
        <w:gridCol w:w="146"/>
        <w:gridCol w:w="211"/>
        <w:gridCol w:w="931"/>
        <w:gridCol w:w="611"/>
      </w:tblGrid>
      <w:tr>
        <w:trPr/>
        <w:tc>
          <w:tcPr>
            <w:tcW w:w="5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SAFE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17,157,661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1,387,303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19"/>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6" w:name="stockholders"/>
      <w:bookmarkEnd w:id="6"/>
      <w:r>
        <w:rPr>
          <w:rFonts w:ascii="Times New Roman" w:hAnsi="Times New Roman"/>
          <w:b/>
          <w:color w:val="000000"/>
          <w:sz w:val="19"/>
        </w:rPr>
        <w:t>CONDENSED CONSOLIDATED STATEMENTS OF CONVERTIBLE PREFERRED STOCK AND STOCKHOLDERS’ EQUITY (DEFICIT)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9"/>
        </w:rPr>
        <w:t>(in thousands, except share and per share amounts)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19"/>
        </w:rPr>
        <w:t>(unaudited)</w:t>
      </w:r>
      <w:r>
        <w:rPr>
          <w:rFonts w:ascii="Times New Roman" w:hAnsi="Times New Roman"/>
          <w:color w:val="000000"/>
          <w:sz w:val="20"/>
        </w:rPr>
        <w:t xml:space="preserve"> </w:t>
      </w:r>
    </w:p>
    <w:p>
      <w:pPr>
        <w:pStyle w:val="TextBody"/>
        <w:bidi w:val="0"/>
        <w:jc w:val="left"/>
        <w:rPr/>
      </w:pPr>
      <w:r>
        <w:rPr/>
        <w:t> </w:t>
      </w:r>
    </w:p>
    <w:tbl>
      <w:tblPr>
        <w:tblW w:w="11046" w:type="dxa"/>
        <w:jc w:val="left"/>
        <w:tblInd w:w="0" w:type="dxa"/>
        <w:tblLayout w:type="fixed"/>
        <w:tblCellMar>
          <w:top w:w="28" w:type="dxa"/>
          <w:left w:w="28" w:type="dxa"/>
          <w:bottom w:w="28" w:type="dxa"/>
          <w:right w:w="28" w:type="dxa"/>
        </w:tblCellMar>
      </w:tblPr>
      <w:tblGrid>
        <w:gridCol w:w="1171"/>
        <w:gridCol w:w="146"/>
        <w:gridCol w:w="146"/>
        <w:gridCol w:w="886"/>
        <w:gridCol w:w="166"/>
        <w:gridCol w:w="146"/>
        <w:gridCol w:w="196"/>
        <w:gridCol w:w="601"/>
        <w:gridCol w:w="146"/>
        <w:gridCol w:w="146"/>
        <w:gridCol w:w="146"/>
        <w:gridCol w:w="146"/>
        <w:gridCol w:w="916"/>
        <w:gridCol w:w="166"/>
        <w:gridCol w:w="146"/>
        <w:gridCol w:w="206"/>
        <w:gridCol w:w="365"/>
        <w:gridCol w:w="146"/>
        <w:gridCol w:w="146"/>
        <w:gridCol w:w="196"/>
        <w:gridCol w:w="691"/>
        <w:gridCol w:w="146"/>
        <w:gridCol w:w="146"/>
        <w:gridCol w:w="369"/>
        <w:gridCol w:w="652"/>
        <w:gridCol w:w="166"/>
        <w:gridCol w:w="146"/>
        <w:gridCol w:w="196"/>
        <w:gridCol w:w="751"/>
        <w:gridCol w:w="166"/>
        <w:gridCol w:w="146"/>
        <w:gridCol w:w="205"/>
        <w:gridCol w:w="72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Convertible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b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6,825,483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2,634,246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Retroactive application of reverse recapitalization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(3,177,808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3,647,675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as of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3,647,675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1,409,288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(99,574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14,856,309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in connection with the private placement, net of offering costs of $11,928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3,689,465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173,098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18,671,229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465,524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(164,492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301,036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7" w:name="cash_flows"/>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914" w:type="dxa"/>
        <w:jc w:val="left"/>
        <w:tblInd w:w="0" w:type="dxa"/>
        <w:tblLayout w:type="fixed"/>
        <w:tblCellMar>
          <w:top w:w="28" w:type="dxa"/>
          <w:left w:w="28" w:type="dxa"/>
          <w:bottom w:w="28" w:type="dxa"/>
          <w:right w:w="28" w:type="dxa"/>
        </w:tblCellMar>
      </w:tblPr>
      <w:tblGrid>
        <w:gridCol w:w="6706"/>
        <w:gridCol w:w="146"/>
        <w:gridCol w:w="211"/>
        <w:gridCol w:w="781"/>
        <w:gridCol w:w="166"/>
        <w:gridCol w:w="146"/>
        <w:gridCol w:w="211"/>
        <w:gridCol w:w="736"/>
        <w:gridCol w:w="811"/>
      </w:tblGrid>
      <w:tr>
        <w:trPr/>
        <w:tc>
          <w:tcPr>
            <w:tcW w:w="6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Reduction in the carrying amount of the operating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SAFE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equipment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private placement,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as of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19,335</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Components of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19,335</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offering costs included in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placement costs included in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TECTONIC THERAPEUTIC,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8" w:name="notes_to_unaudited_condensed"/>
      <w:bookmarkEnd w:id="8"/>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120"/>
        <w:jc w:val="left"/>
        <w:rPr>
          <w:rFonts w:ascii="Times New Roman" w:hAnsi="Times New Roman"/>
          <w:sz w:val="20"/>
        </w:rPr>
      </w:pPr>
      <w:r>
        <w:rPr>
          <w:rFonts w:ascii="Times New Roman" w:hAnsi="Times New Roman"/>
          <w:b/>
          <w:caps/>
          <w:color w:val="000000"/>
          <w:sz w:val="20"/>
        </w:rPr>
        <w:t>1. NATURE of business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Description of the Business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Tectonic Therapeutic, Inc. (formerly AVROBIO, Inc.) (the “Company” or “Tectonic”) is a clinical-stage biotechnology company focused on the discovery and development of therapeutic proteins and antibodies that modulate the activity of G-protein coupled receptors (“GPCRs”). The Company focuses on areas of significant unmet medical need, often where therapeutic options are poor or nonexistent, as these are areas where new medicines have the potential to improve patient quality of life. </w:t>
      </w:r>
    </w:p>
    <w:p>
      <w:pPr>
        <w:pStyle w:val="TextBody"/>
        <w:bidi w:val="0"/>
        <w:spacing w:before="0" w:after="120"/>
        <w:jc w:val="left"/>
        <w:rPr>
          <w:rFonts w:ascii="Times New Roman" w:hAnsi="Times New Roman"/>
          <w:sz w:val="20"/>
        </w:rPr>
      </w:pPr>
      <w:r>
        <w:rPr>
          <w:rFonts w:ascii="Times New Roman" w:hAnsi="Times New Roman"/>
          <w:b/>
          <w:i/>
          <w:color w:val="000000"/>
          <w:sz w:val="20"/>
        </w:rPr>
        <w:t>Merger and Pre-Merger Financing Transaction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June 20, 2024, the Company completed its previously announced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 The Merger was accounted for as a reverse recapitalization in accordance with generally accepted accounting principles in the United States of America (“GAAP”), with AVROBIO treated as the acquired company for financial reporting purposes, and Legacy Tectonic treated as the accounting acquirer.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Upon the closing of the Merger, each outstanding share of Legacy Tectonic’s common stock, including outstanding and unvested restricted stock, was converted into the right to receive a number of shares of AVROBIO’s common stock based on an exchange ratio of 0.53 (the “Exchange Ratio”), as defined in the Merger Agreement, after giving effect to the 1-for-12 reverse stock split of AVROBIO common stock that was effected on June 20, 2024. The exchange ratio was retroactively applied to all outstanding common shares, convertible preferred shares, stock options and restricted stock.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Each outstanding and unexercised option to purchase shares of Legacy Tectonic’s common stock immediately prior to closing was assumed by AVROBIO and was converted into an option to purchase shares of AVROBIO common stock, with necessary adjustments to the number of shares and exercise price to reflect the Exchange Ratio. Legacy Tectonic’s restricted common stock, outstanding and unvested immediately prior to the closing, was assumed by AVROBIO in the Merger.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Legacy Tectonic stockholders received 10,956,614 shares of AVROBIO common stock in connection with the Merger, including 11,447 shares of AVROBIO restricted common stock subject to vesting terms, based on the number of shares of Legacy Tectonic common stock outstanding immediately prior to the Merger, including restricted stock, the number of shares of common stock issued to investors participating in the Subscription Agreements (as defined below) and Simple Agreements for Future Equity (“SAFEs”), and Legacy Tectonic convertible preferred stock outstanding immediately prior to the Merger, which was converted into shares of Legacy Tectonic common stock on a one-for-one basis immediately prior to the closing of the Merger.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Concurrently with the closing of the Merger, certain investors of Legacy Tectonic completed the purchase of 7,790,889 shares of Legacy Tectonic common stock pursuant to the Subscription Agreement dated January 30, 2024 (the “Subscription Agreement”) at a purchase price of $12.40 per share for an aggregate purchase price of $96.6 million. Shares of Legacy Tectonic common stock issued pursuant to the Subscription Agreements were converted into 4,163,606 shares of AVROBIO common stock at the closing of the Merger based on the Exchange Ratio, pursuant to the Merger Agreement.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Private Placement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February 2025, the Company entered into a securities purchase agreement (the “Private Placement”) pursuant to which the Company issued an aggregate of 3,689,465 shares of common stock, at a price of $50.00 per share to institutional accredited investors and $54.14 per share to individual accredited investors that are either an officer or director of the Company, in exchange for aggregate consideration of approximately $185.0 million. </w:t>
      </w:r>
    </w:p>
    <w:p>
      <w:pPr>
        <w:pStyle w:val="TextBody"/>
        <w:bidi w:val="0"/>
        <w:spacing w:before="0" w:after="120"/>
        <w:jc w:val="left"/>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Company’s proprietary GEODe platform is currently in development. There can be no assurance that current and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w:t>
      </w:r>
    </w:p>
    <w:p>
      <w:pPr>
        <w:pStyle w:val="TextBody"/>
        <w:bidi w:val="0"/>
        <w:spacing w:before="0" w:after="120"/>
        <w:jc w:val="left"/>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Since inception, the Company has incurred recurring losses and negative cash flows from operations and expects such losses to continue in the future as it conducts research and development activities and continues to develop its product candidates. The Company generated net losses of $15.9 million and $15.2 million for the three months ended March 31, 2025 and 2024, respectively and had an accumulated deficit of $164.5 million as of March 31, 2025. The Company has financed its operations primarily through the sale and issuance of common stock, convertible preferred stock, convertible promissory notes, SAFEs and the Merger. In February 2025, the Company sold shares of its common stock under a securities purchase agreement in exchange for gross proceeds of approximately $185.0 million. The Company has devoted substantially all of its financial resources and efforts to business planning, conducting research and development, recruiting management and technical staff, and raising capital. </w:t>
      </w:r>
    </w:p>
    <w:p>
      <w:pPr>
        <w:pStyle w:val="TextBody"/>
        <w:bidi w:val="0"/>
        <w:jc w:val="left"/>
        <w:rPr>
          <w:rFonts w:ascii="Times New Roman" w:hAnsi="Times New Roman"/>
          <w:color w:val="000000"/>
          <w:sz w:val="20"/>
        </w:rPr>
      </w:pPr>
      <w:r>
        <w:rPr>
          <w:rFonts w:ascii="Times New Roman" w:hAnsi="Times New Roman"/>
          <w:color w:val="000000"/>
          <w:sz w:val="20"/>
        </w:rPr>
        <w:t>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The Company had cash and cash equivalents of $306.2 million as of March 31, 2025. Management believes that the Company’s current cash and cash equivalents will be sufficient to fund its planned operations for at least 12 months from the issuance date of these condensed consolidated financial statements.</w:t>
      </w:r>
    </w:p>
    <w:p>
      <w:pPr>
        <w:pStyle w:val="TextBody"/>
        <w:bidi w:val="0"/>
        <w:jc w:val="both"/>
        <w:rPr/>
      </w:pPr>
      <w:r>
        <w:rPr/>
        <w:t> </w:t>
      </w:r>
    </w:p>
    <w:p>
      <w:pPr>
        <w:pStyle w:val="TextBody"/>
        <w:bidi w:val="0"/>
        <w:spacing w:before="0" w:after="120"/>
        <w:jc w:val="left"/>
        <w:rPr>
          <w:rFonts w:ascii="Times New Roman" w:hAnsi="Times New Roman"/>
          <w:sz w:val="20"/>
        </w:rPr>
      </w:pPr>
      <w:r>
        <w:rPr>
          <w:rFonts w:ascii="Times New Roman" w:hAnsi="Times New Roman"/>
          <w:b/>
          <w:caps/>
          <w:color w:val="000000"/>
          <w:sz w:val="20"/>
        </w:rPr>
        <w:t>2. SUMMARY OF SIGNIFICANT ACCOUNTING POLICIES</w:t>
      </w:r>
      <w:r>
        <w:rPr>
          <w:rFonts w:ascii="Times New Roman" w:hAnsi="Times New Roman"/>
          <w:color w:val="000000"/>
          <w:sz w:val="20"/>
        </w:rPr>
        <w:t xml:space="preserve"> </w:t>
      </w:r>
      <w:r>
        <w:rPr>
          <w:rFonts w:ascii="Times New Roman" w:hAnsi="Times New Roman"/>
          <w:b/>
          <w:color w:val="000000"/>
          <w:sz w:val="20"/>
        </w:rPr>
        <w:t>AND BASIS OF PRESENTATION</w:t>
      </w:r>
    </w:p>
    <w:p>
      <w:pPr>
        <w:pStyle w:val="TextBody"/>
        <w:bidi w:val="0"/>
        <w:spacing w:before="0" w:after="120"/>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accompanying unaudited interim condensed consolidated financial statements have been prepared in conformity with GAAP and the rules and regulations of the Securities and Exchange Commission (“SEC”). Any reference in these notes to applicable guidance is meant to refer to GAAP, as found in the Accounting Standards Codification (“ASC”) and Accounting Standards Updates (“ASU”) of the Financial Accounting Standards Board (“FASB”). These condensed consolidated financial statements are unaudited and, in the opinion of management, include all adjustments (consisting only of normal recurring adjustments and accruals) necessary for a fair statement of the results for the periods presented in accordance with accounting principles generally accepted in the United States of America (“GAAP”). The year-end condensed consolidated balance sheet data was derived from our audited consolidated financial statements but does not include all disclosures required by GAAP. Operating results for the three months ended March 31, 2025 are not necessarily indicative of the results that may be expected for the fiscal year ending December 31, 2025. Certain information and footnote disclosures normally included in the annual consolidated financial statements prepared in accordance with GAAP have been omitted in accordance with the SEC’s rules and regulations for interim reporting.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accompanying unaudited condensed consolidated financial statements and related notes should be read in conjunction with our audited consolidated financial statements for the year ended December 31, 2024, which are included in our 2024 Annual Report on Form 10-K for the fiscal year ended December 31, 2024 (the “2024 Annual Report on Form 10-K”)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significant accounting policies are disclosed in Note 2 of the consolidated financial statements for the years ended December 31, 2024 and 2023, which are included in our 2024 Annual Report on Form 10-K. There have been no material changes to our significant accounting policies during the three months ended March 31, 2025.</w:t>
      </w:r>
    </w:p>
    <w:p>
      <w:pPr>
        <w:pStyle w:val="TextBody"/>
        <w:bidi w:val="0"/>
        <w:jc w:val="left"/>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condensed consolidated financial statements include the accounts of the Company and its subsidiaries. All intercompany balances and transactions have been eliminated in consolidation. </w:t>
      </w:r>
    </w:p>
    <w:p>
      <w:pPr>
        <w:pStyle w:val="TextBody"/>
        <w:bidi w:val="0"/>
        <w:spacing w:before="0" w:after="120"/>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expenses during the reporting periods. Significant items subject to such estimates and assumptions include the prepaid and accrued research and development accruals, stock-based compensation expense, the fair value of the Company’s common stock, the income tax valuation allowance, and the fair value determination of the SAFEs. Management’s estimates are based on historical experience and various other assumptions that it believes are reasonable under the circumstances. Changes in estimates are recorded in the period in which they become known. Actual results could differ from those estimates. </w:t>
      </w:r>
    </w:p>
    <w:p>
      <w:pPr>
        <w:pStyle w:val="TextBody"/>
        <w:bidi w:val="0"/>
        <w:spacing w:before="12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Operating segments are identified as components of an enterprise about which separate discrete financial information is made available for evaluation by the chief operating decision maker (“CODM”) in making decisions regarding resource allocation and assessing performance. The Company’s CODM is its chief executive officer, who reviews financial information on a consolidated basis for the purpose of making operating decisions, assessing financial performance and allocating resources. The Company has one reportable segment and manages its operations on a consolidated basis for the purposes of assessing performance and making operating decisions. See Note 13, </w:t>
      </w:r>
      <w:r>
        <w:rPr>
          <w:rFonts w:ascii="Times New Roman" w:hAnsi="Times New Roman"/>
          <w:i/>
          <w:color w:val="000000"/>
          <w:sz w:val="20"/>
        </w:rPr>
        <w:t>Segment Information</w:t>
      </w:r>
      <w:r>
        <w:rPr>
          <w:rFonts w:ascii="Times New Roman" w:hAnsi="Times New Roman"/>
          <w:color w:val="000000"/>
          <w:sz w:val="20"/>
        </w:rPr>
        <w:t xml:space="preserve"> for additional information regarding the Company’s segment information. </w:t>
      </w:r>
    </w:p>
    <w:p>
      <w:pPr>
        <w:pStyle w:val="TextBody"/>
        <w:bidi w:val="0"/>
        <w:spacing w:before="0" w:after="120"/>
        <w:jc w:val="left"/>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FASB, or other standard setting bodies and are adopted by the Company as of the specified effective dates. Unless otherwise discussed, the impact of recently issued standards that are not yet effective are not anticipated to have a material impact on the Company’s condensed consolidated financial statements upon adoption. </w:t>
      </w:r>
    </w:p>
    <w:p>
      <w:pPr>
        <w:pStyle w:val="TextBody"/>
        <w:bidi w:val="0"/>
        <w:spacing w:before="0" w:after="120"/>
        <w:jc w:val="left"/>
        <w:rPr>
          <w:rFonts w:ascii="Times New Roman" w:hAnsi="Times New Roman"/>
          <w:sz w:val="20"/>
        </w:rPr>
      </w:pPr>
      <w:r>
        <w:rPr>
          <w:rFonts w:ascii="Times New Roman" w:hAnsi="Times New Roman"/>
          <w:b/>
          <w:i/>
          <w:color w:val="000000"/>
          <w:sz w:val="20"/>
        </w:rPr>
        <w:t>Recently Issued Accounting Pronouncements Not Yet Adopted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Statement—Reporting Comprehensive Income—Expense Disaggregation Disclosures</w:t>
      </w:r>
      <w:r>
        <w:rPr>
          <w:rFonts w:ascii="Times New Roman" w:hAnsi="Times New Roman"/>
          <w:color w:val="000000"/>
          <w:sz w:val="20"/>
        </w:rPr>
        <w:t xml:space="preserve"> (Subtopic 220-40) (“ASU 2024-03”), which requires disaggregated disclosure of certain income statement captions within the footnotes to the financial statements. The amendments in ASU 2024-03 are effective for fiscal years beginning after December 15, 2026, and early adoption is permitted. The Company is currently evaluating the impact of ASU 2023-09 on its consolidated financial statements. </w:t>
      </w:r>
    </w:p>
    <w:p>
      <w:pPr>
        <w:pStyle w:val="TextBody"/>
        <w:bidi w:val="0"/>
        <w:jc w:val="left"/>
        <w:rPr>
          <w:rFonts w:ascii="Times New Roman" w:hAnsi="Times New Roman"/>
          <w:sz w:val="20"/>
        </w:rPr>
      </w:pPr>
      <w:r>
        <w:rPr>
          <w:rFonts w:ascii="Times New Roman" w:hAnsi="Times New Roman"/>
          <w:color w:val="000000"/>
          <w:sz w:val="20"/>
        </w:rPr>
        <w:br/>
        <w:t xml:space="preserve">In December 2023, the FASB issued ASU No. 2023-09, </w:t>
      </w:r>
      <w:r>
        <w:rPr>
          <w:rFonts w:ascii="Times New Roman" w:hAnsi="Times New Roman"/>
          <w:i/>
          <w:color w:val="000000"/>
          <w:sz w:val="20"/>
        </w:rPr>
        <w:t xml:space="preserve">Income Taxes </w:t>
      </w:r>
      <w:r>
        <w:rPr>
          <w:rFonts w:ascii="Times New Roman" w:hAnsi="Times New Roman"/>
          <w:color w:val="000000"/>
          <w:sz w:val="20"/>
        </w:rPr>
        <w:t xml:space="preserve">(Topic 740) (“ASU 2023-09”), which enhances the income tax disclosure requirements for public entities on an annual basis. Under ASU 2023-09, public entities will be required to disclose in their rate reconciliation, on an annual basis, both percentages and amounts in their reporting currency for certain categories in a tabular format, with accompanying qualitative disclosures. The amendments in ASU 2023-09 are effective for fiscal years beginning after December 15, 2024, and early adoption is permitted. The Company is currently evaluating the impact of ASU 2023-09 on its financial statements. </w:t>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caps/>
          <w:color w:val="000000"/>
          <w:sz w:val="20"/>
        </w:rPr>
        <w:t>3. Merger</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As described in Note 1, </w:t>
      </w:r>
      <w:r>
        <w:rPr>
          <w:rFonts w:ascii="Times New Roman" w:hAnsi="Times New Roman"/>
          <w:i/>
          <w:color w:val="000000"/>
          <w:sz w:val="20"/>
        </w:rPr>
        <w:t>Nature of Business</w:t>
      </w:r>
      <w:r>
        <w:rPr>
          <w:rFonts w:ascii="Times New Roman" w:hAnsi="Times New Roman"/>
          <w:color w:val="000000"/>
          <w:sz w:val="20"/>
        </w:rPr>
        <w:t xml:space="preserve">, the Company completed its Merger with AVROBIO on June 20, 2024. The Merger was accounted for as a reverse recapitalization in accordance with GAAP with Legacy Tectonic as the accounting acquirer of AVROBIO. At the effective time of the Merger, substantially all the assets of AVROBIO consisted of cash and cash equivalents, as well as other nominal assets. Under such reverse recapitalization accounting, the assets and liabilities of AVROBIO were recorded at their fair value at the effective time of the Merger, which approximated book value due to the short-term nature. No goodwill or intangible assets were recognized. Consequently, the consolidated financial statements of the Company reflect the historical operations of Legacy Tectonic for accounting purposes together with the issuance of shares to the former shareholders of AVROBIO, the legal acquirer, and a recapitalization of the equity of Legacy Tectonic, the accounting acquirer. The exchange ratio was retroactively applied to all outstanding common shares, convertible preferred shares, stock options and restricted stock of Legacy Tectonic.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part of the recapitalization, Legacy Tectonic obtained the assets and liabilities listed below (in thousands): </w:t>
      </w:r>
    </w:p>
    <w:tbl>
      <w:tblPr>
        <w:tblW w:w="5070" w:type="dxa"/>
        <w:jc w:val="left"/>
        <w:tblInd w:w="0" w:type="dxa"/>
        <w:tblLayout w:type="fixed"/>
        <w:tblCellMar>
          <w:top w:w="28" w:type="dxa"/>
          <w:left w:w="28" w:type="dxa"/>
          <w:bottom w:w="28" w:type="dxa"/>
          <w:right w:w="28" w:type="dxa"/>
        </w:tblCellMar>
      </w:tblPr>
      <w:tblGrid>
        <w:gridCol w:w="3826"/>
        <w:gridCol w:w="146"/>
        <w:gridCol w:w="211"/>
        <w:gridCol w:w="676"/>
        <w:gridCol w:w="21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78,156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 incurred transaction costs of $9.3 million which was recorded as a reduction to additional paid-in capital in the condensed consolidated balance sheet as of December 31,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caps/>
          <w:color w:val="000000"/>
          <w:sz w:val="20"/>
        </w:rPr>
        <w:t>4. FAIR VALUE MEASUREMENTS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tables present information about financial assets and liabilities measured at fair value on a recurring basis and indicate the level of the fair value hierarchy utilized to determine such fair values (in thousands): </w:t>
      </w:r>
    </w:p>
    <w:p>
      <w:pPr>
        <w:pStyle w:val="TextBody"/>
        <w:bidi w:val="0"/>
        <w:spacing w:before="0" w:after="120"/>
        <w:jc w:val="left"/>
        <w:rPr>
          <w:rFonts w:ascii="Times New Roman" w:hAnsi="Times New Roman"/>
          <w:color w:val="000000"/>
          <w:sz w:val="2"/>
        </w:rPr>
      </w:pPr>
      <w:r>
        <w:rPr>
          <w:rFonts w:ascii="Times New Roman" w:hAnsi="Times New Roman"/>
          <w:color w:val="000000"/>
          <w:sz w:val="2"/>
        </w:rPr>
        <w:t>l</w:t>
      </w:r>
    </w:p>
    <w:tbl>
      <w:tblPr>
        <w:tblW w:w="7058" w:type="dxa"/>
        <w:jc w:val="left"/>
        <w:tblInd w:w="0" w:type="dxa"/>
        <w:tblLayout w:type="fixed"/>
        <w:tblCellMar>
          <w:top w:w="28" w:type="dxa"/>
          <w:left w:w="28" w:type="dxa"/>
          <w:bottom w:w="28" w:type="dxa"/>
          <w:right w:w="28" w:type="dxa"/>
        </w:tblCellMar>
      </w:tblPr>
      <w:tblGrid>
        <w:gridCol w:w="2201"/>
        <w:gridCol w:w="146"/>
        <w:gridCol w:w="211"/>
        <w:gridCol w:w="781"/>
        <w:gridCol w:w="146"/>
        <w:gridCol w:w="146"/>
        <w:gridCol w:w="239"/>
        <w:gridCol w:w="391"/>
        <w:gridCol w:w="146"/>
        <w:gridCol w:w="146"/>
        <w:gridCol w:w="239"/>
        <w:gridCol w:w="391"/>
        <w:gridCol w:w="146"/>
        <w:gridCol w:w="146"/>
        <w:gridCol w:w="211"/>
        <w:gridCol w:w="781"/>
        <w:gridCol w:w="591"/>
      </w:tblGrid>
      <w:tr>
        <w:trPr/>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304,615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304,615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tbl>
      <w:tblPr>
        <w:tblW w:w="7058" w:type="dxa"/>
        <w:jc w:val="left"/>
        <w:tblInd w:w="0" w:type="dxa"/>
        <w:tblLayout w:type="fixed"/>
        <w:tblCellMar>
          <w:top w:w="28" w:type="dxa"/>
          <w:left w:w="28" w:type="dxa"/>
          <w:bottom w:w="28" w:type="dxa"/>
          <w:right w:w="28" w:type="dxa"/>
        </w:tblCellMar>
      </w:tblPr>
      <w:tblGrid>
        <w:gridCol w:w="2201"/>
        <w:gridCol w:w="146"/>
        <w:gridCol w:w="211"/>
        <w:gridCol w:w="781"/>
        <w:gridCol w:w="146"/>
        <w:gridCol w:w="146"/>
        <w:gridCol w:w="239"/>
        <w:gridCol w:w="391"/>
        <w:gridCol w:w="146"/>
        <w:gridCol w:w="146"/>
        <w:gridCol w:w="239"/>
        <w:gridCol w:w="391"/>
        <w:gridCol w:w="146"/>
        <w:gridCol w:w="146"/>
        <w:gridCol w:w="211"/>
        <w:gridCol w:w="781"/>
        <w:gridCol w:w="591"/>
      </w:tblGrid>
      <w:tr>
        <w:trPr/>
        <w:tc>
          <w:tcPr>
            <w:tcW w:w="2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Money market funds are included in cash and cash equivalents on the condensed consolidated balance sheets and are classified within Level 1 of the fair value hierarchy because they are valued using quoted market prices.</w:t>
      </w:r>
    </w:p>
    <w:p>
      <w:pPr>
        <w:pStyle w:val="TextBody"/>
        <w:bidi w:val="0"/>
        <w:spacing w:before="0" w:after="120"/>
        <w:jc w:val="left"/>
        <w:rPr>
          <w:rFonts w:ascii="Times New Roman" w:hAnsi="Times New Roman"/>
          <w:sz w:val="20"/>
        </w:rPr>
      </w:pPr>
      <w:r>
        <w:rPr>
          <w:rFonts w:ascii="Times New Roman" w:hAnsi="Times New Roman"/>
          <w:b/>
          <w:i/>
          <w:color w:val="000000"/>
          <w:sz w:val="20"/>
        </w:rPr>
        <w:t>SAFE Liabilities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October through December 2023, Legacy Tectonic entered into multiple SAFE agreements with certain existing investors and received $34.1 million. Prior to redemption, the SAFE liabilities were valued using a probability weighted scenario analysis and discount rates derived by application of the build-up method to reflect the cost of equity. The valuation model required a variety of inputs, including the probability of occurrence of events that would trigger conversion or redemption of the SAFEs, the expected timing of such events, and a discount rate. All investors were considered related parties of the Company.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Upon the closing of the Merger, the principal balance of the SAFEs was automatically redeemed for 2,752,216 shares of Legacy Tectonic common stock at the conversion price of $12.40 per share immediately prior to the Merger closing. As such the valuation inputs utilized to adjust the SAFE liability to fair value upon the closing of the Merger was $12.40. At closing, shares of Legacy Tectonic common stock issued pursuant to the redemption of Legacy Tectonic SAFEs were converted into 1,470,839 shares of AVROBIO common stock based on the Exchange Ratio, pursuant to the Merger Agreement.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presents activity for the SAFE liabilities that were measured at fair value using significant unobservable Level 3 inputs during the year ended December 31, 2024 (in thousands): </w:t>
      </w:r>
    </w:p>
    <w:tbl>
      <w:tblPr>
        <w:tblW w:w="4633" w:type="dxa"/>
        <w:jc w:val="left"/>
        <w:tblInd w:w="0" w:type="dxa"/>
        <w:tblLayout w:type="fixed"/>
        <w:tblCellMar>
          <w:top w:w="28" w:type="dxa"/>
          <w:left w:w="28" w:type="dxa"/>
          <w:bottom w:w="28" w:type="dxa"/>
          <w:right w:w="28" w:type="dxa"/>
        </w:tblCellMar>
      </w:tblPr>
      <w:tblGrid>
        <w:gridCol w:w="2821"/>
        <w:gridCol w:w="146"/>
        <w:gridCol w:w="284"/>
        <w:gridCol w:w="991"/>
        <w:gridCol w:w="3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SAFE Liabilities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Redemption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spacing w:before="0" w:after="120"/>
        <w:jc w:val="left"/>
        <w:rPr>
          <w:rFonts w:ascii="Times New Roman" w:hAnsi="Times New Roman"/>
          <w:b/>
          <w:caps/>
          <w:color w:val="000000"/>
          <w:sz w:val="20"/>
        </w:rPr>
      </w:pPr>
      <w:r>
        <w:rPr>
          <w:rFonts w:ascii="Times New Roman" w:hAnsi="Times New Roman"/>
          <w:b/>
          <w:caps/>
          <w:color w:val="000000"/>
          <w:sz w:val="20"/>
        </w:rPr>
        <w:t>5.</w:t>
      </w:r>
    </w:p>
    <w:p>
      <w:pPr>
        <w:pStyle w:val="TextBody"/>
        <w:bidi w:val="0"/>
        <w:spacing w:before="0" w:after="120"/>
        <w:jc w:val="left"/>
        <w:rPr/>
      </w:pPr>
      <w:r>
        <w:rPr>
          <w:rFonts w:ascii="Times New Roman" w:hAnsi="Times New Roman"/>
          <w:b/>
          <w:caps/>
          <w:color w:val="000000"/>
          <w:sz w:val="20"/>
        </w:rPr>
        <w:t>PROPERTY AND EQUIPMENT, NET</w:t>
      </w:r>
      <w:r>
        <w:rPr>
          <w:color w:val="00000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Property and equipment, net is comprised of the following (in thousands): </w:t>
      </w:r>
    </w:p>
    <w:tbl>
      <w:tblPr>
        <w:tblW w:w="6030" w:type="dxa"/>
        <w:jc w:val="left"/>
        <w:tblInd w:w="0" w:type="dxa"/>
        <w:tblLayout w:type="fixed"/>
        <w:tblCellMar>
          <w:top w:w="28" w:type="dxa"/>
          <w:left w:w="28" w:type="dxa"/>
          <w:bottom w:w="28" w:type="dxa"/>
          <w:right w:w="28" w:type="dxa"/>
        </w:tblCellMar>
      </w:tblPr>
      <w:tblGrid>
        <w:gridCol w:w="3331"/>
        <w:gridCol w:w="146"/>
        <w:gridCol w:w="214"/>
        <w:gridCol w:w="641"/>
        <w:gridCol w:w="166"/>
        <w:gridCol w:w="146"/>
        <w:gridCol w:w="274"/>
        <w:gridCol w:w="821"/>
        <w:gridCol w:w="2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Depreciation expense was $0.3 million for each of the three month periods ended March 31, 2025 and 2024, and is primarily attributable to research and development activities. </w:t>
      </w:r>
    </w:p>
    <w:p>
      <w:pPr>
        <w:pStyle w:val="TextBody"/>
        <w:bidi w:val="0"/>
        <w:spacing w:before="0" w:after="120"/>
        <w:jc w:val="left"/>
        <w:rPr>
          <w:rFonts w:ascii="Times New Roman" w:hAnsi="Times New Roman"/>
          <w:sz w:val="20"/>
        </w:rPr>
      </w:pPr>
      <w:r>
        <w:rPr>
          <w:rFonts w:ascii="Times New Roman" w:hAnsi="Times New Roman"/>
          <w:b/>
          <w:caps/>
          <w:color w:val="000000"/>
          <w:sz w:val="20"/>
        </w:rPr>
        <w:t>6. ACCRUED EXPENSES AND OTHER CURRENT LIABILITIES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Accrued expenses and other current liabilities is comprised of the following (in thousands): </w:t>
      </w:r>
    </w:p>
    <w:tbl>
      <w:tblPr>
        <w:tblW w:w="7160" w:type="dxa"/>
        <w:jc w:val="left"/>
        <w:tblInd w:w="0" w:type="dxa"/>
        <w:tblLayout w:type="fixed"/>
        <w:tblCellMar>
          <w:top w:w="28" w:type="dxa"/>
          <w:left w:w="28" w:type="dxa"/>
          <w:bottom w:w="28" w:type="dxa"/>
          <w:right w:w="28" w:type="dxa"/>
        </w:tblCellMar>
      </w:tblPr>
      <w:tblGrid>
        <w:gridCol w:w="4481"/>
        <w:gridCol w:w="146"/>
        <w:gridCol w:w="230"/>
        <w:gridCol w:w="625"/>
        <w:gridCol w:w="146"/>
        <w:gridCol w:w="146"/>
        <w:gridCol w:w="294"/>
        <w:gridCol w:w="801"/>
        <w:gridCol w:w="291"/>
      </w:tblGrid>
      <w:tr>
        <w:trPr/>
        <w:tc>
          <w:tcPr>
            <w:tcW w:w="4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 xml:space="preserve">7. STOCKHOLDERS’ EQUITY </w:t>
      </w:r>
    </w:p>
    <w:p>
      <w:pPr>
        <w:pStyle w:val="TextBody"/>
        <w:bidi w:val="0"/>
        <w:spacing w:before="0" w:after="120"/>
        <w:jc w:val="left"/>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is authorized to issue 150,000,000 shares of common stock at a par value of $0.0001. Holders of voting common stock are entitled to one vote per share. In addition, holders of voting common stock are entitled to receive dividends, if and when declared by the Company’s Board of Directors. As of March 31, 2025, no dividends have been declared.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reserved common stock for future issuance as follows:</w:t>
      </w:r>
    </w:p>
    <w:tbl>
      <w:tblPr>
        <w:tblW w:w="9492" w:type="dxa"/>
        <w:jc w:val="left"/>
        <w:tblInd w:w="0" w:type="dxa"/>
        <w:tblLayout w:type="fixed"/>
        <w:tblCellMar>
          <w:top w:w="28" w:type="dxa"/>
          <w:left w:w="28" w:type="dxa"/>
          <w:bottom w:w="28" w:type="dxa"/>
          <w:right w:w="28" w:type="dxa"/>
        </w:tblCellMar>
      </w:tblPr>
      <w:tblGrid>
        <w:gridCol w:w="6691"/>
        <w:gridCol w:w="146"/>
        <w:gridCol w:w="146"/>
        <w:gridCol w:w="931"/>
        <w:gridCol w:w="146"/>
        <w:gridCol w:w="146"/>
        <w:gridCol w:w="148"/>
        <w:gridCol w:w="947"/>
        <w:gridCol w:w="191"/>
      </w:tblGrid>
      <w:tr>
        <w:trPr/>
        <w:tc>
          <w:tcPr>
            <w:tcW w:w="6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1,626,841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awards available for future issuance under the 2024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976,082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purchase under the 2024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147,343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3,528,175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2,775,878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pPr>
      <w:r>
        <w:rPr/>
        <w:t> </w:t>
      </w:r>
    </w:p>
    <w:p>
      <w:pPr>
        <w:pStyle w:val="TextBody"/>
        <w:bidi w:val="0"/>
        <w:spacing w:before="0" w:after="120"/>
        <w:jc w:val="left"/>
        <w:rPr>
          <w:rFonts w:ascii="Times New Roman" w:hAnsi="Times New Roman"/>
          <w:sz w:val="20"/>
        </w:rPr>
      </w:pPr>
      <w:r>
        <w:rPr>
          <w:rFonts w:ascii="Times New Roman" w:hAnsi="Times New Roman"/>
          <w:b/>
          <w:caps/>
          <w:color w:val="000000"/>
          <w:sz w:val="20"/>
        </w:rPr>
        <w:t>8. EQUITY INCENTIVE PLANS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2019 Equity Incentive Plan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Legacy Tectonic 2019 Equity Incentive Plan (the “2019 Plan”) provides employees, consultants and advisors and non-employee members of the Board of Directors with the opportunity to receive grants of stock options, stock awards and equity awards. Following the effectiveness of the 2024 Equity Incentive Plan (the “2024 Plan”) as described below, no further grants will be made under the 2019 Plan; however, any outstanding equity awards granted under the 2019 Plan will continue to be governed by the terms of the 2019 Plan. </w:t>
      </w:r>
    </w:p>
    <w:p>
      <w:pPr>
        <w:pStyle w:val="TextBody"/>
        <w:bidi w:val="0"/>
        <w:spacing w:before="0" w:after="120"/>
        <w:jc w:val="left"/>
        <w:rPr>
          <w:rFonts w:ascii="Times New Roman" w:hAnsi="Times New Roman"/>
          <w:sz w:val="20"/>
        </w:rPr>
      </w:pPr>
      <w:r>
        <w:rPr>
          <w:rFonts w:ascii="Times New Roman" w:hAnsi="Times New Roman"/>
          <w:b/>
          <w:i/>
          <w:color w:val="000000"/>
          <w:sz w:val="20"/>
        </w:rPr>
        <w:t>2024 Equity Incentive Plan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June 20, 2024, the Company adopted the 2024 Equity Incentive Plan (the “2024 Plan”) which became effective upon completion of the Merger. The 2024 Plan provides for the grant of incentive stock options, nonstatutory stock options, stock appreciation rights, restricted stock awards, restricted stock unit awards, performance awards and other forms of awards to employees, consultants, and non-employee directors of the Company.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2024 Plan initially provided for the issuance of up to 1,938,799 shares of common stock (the “Initial Share Reserve”). Effective January 1, 2025, in connection with the evergreen provision contained in the 2024 Plan, an additional 742,815 shares of common stock were reserved for issuance under the 2024 Plan.</w:t>
      </w:r>
    </w:p>
    <w:p>
      <w:pPr>
        <w:pStyle w:val="TextBody"/>
        <w:bidi w:val="0"/>
        <w:spacing w:before="0" w:after="120"/>
        <w:jc w:val="left"/>
        <w:rPr>
          <w:rFonts w:ascii="Times New Roman" w:hAnsi="Times New Roman"/>
          <w:sz w:val="20"/>
        </w:rPr>
      </w:pPr>
      <w:r>
        <w:rPr>
          <w:rFonts w:ascii="Times New Roman" w:hAnsi="Times New Roman"/>
          <w:b/>
          <w:i/>
          <w:color w:val="000000"/>
          <w:sz w:val="20"/>
        </w:rPr>
        <w:t>2024 Employee Stock Purchase Plan</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June 20, 2024, the Company adopted the 2024 Employee Stock Purchase Plan (the “2024 ESPP”), which became effective upon completion of the Merger. The 2024 ESPP initially provided for the issuance of up to 147,343 shares of common stock. Effective January 1, 2025, in connection with an evergreen provision contained in the ESPP, an additional 148,563 shares of common stock were reserved for issuance under the ESPP. No offering periods under the 2024 ESPP had been initiated as of March 31, 2025.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stock option activity under the 2019 Plan and 2024 Plan for the three months ended March 31, 2025 (in thousands except share, contractual term and per share amounts): </w:t>
      </w:r>
    </w:p>
    <w:tbl>
      <w:tblPr>
        <w:tblW w:w="10205" w:type="dxa"/>
        <w:jc w:val="left"/>
        <w:tblInd w:w="0" w:type="dxa"/>
        <w:tblLayout w:type="fixed"/>
        <w:tblCellMar>
          <w:top w:w="28" w:type="dxa"/>
          <w:left w:w="28" w:type="dxa"/>
          <w:bottom w:w="28" w:type="dxa"/>
          <w:right w:w="28" w:type="dxa"/>
        </w:tblCellMar>
      </w:tblPr>
      <w:tblGrid>
        <w:gridCol w:w="3299"/>
        <w:gridCol w:w="146"/>
        <w:gridCol w:w="365"/>
        <w:gridCol w:w="2336"/>
        <w:gridCol w:w="166"/>
        <w:gridCol w:w="146"/>
        <w:gridCol w:w="230"/>
        <w:gridCol w:w="626"/>
        <w:gridCol w:w="146"/>
        <w:gridCol w:w="146"/>
        <w:gridCol w:w="299"/>
        <w:gridCol w:w="743"/>
        <w:gridCol w:w="146"/>
        <w:gridCol w:w="146"/>
        <w:gridCol w:w="235"/>
        <w:gridCol w:w="636"/>
        <w:gridCol w:w="394"/>
      </w:tblGrid>
      <w:tr>
        <w:trPr/>
        <w:tc>
          <w:tcPr>
            <w:tcW w:w="3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Options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Outstanding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forfeited and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1,791,232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8,235</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1,791,232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8,235</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stock option activity for the options that were assumed from AVROBIO upon the Merger for the three months ended March 31, 2025 (in thousands except share, contractual term and per share amounts):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315"/>
        <w:gridCol w:w="146"/>
        <w:gridCol w:w="443"/>
        <w:gridCol w:w="2242"/>
        <w:gridCol w:w="166"/>
        <w:gridCol w:w="146"/>
        <w:gridCol w:w="230"/>
        <w:gridCol w:w="626"/>
        <w:gridCol w:w="146"/>
        <w:gridCol w:w="146"/>
        <w:gridCol w:w="299"/>
        <w:gridCol w:w="744"/>
        <w:gridCol w:w="146"/>
        <w:gridCol w:w="146"/>
        <w:gridCol w:w="235"/>
        <w:gridCol w:w="636"/>
        <w:gridCol w:w="393"/>
      </w:tblGrid>
      <w:tr>
        <w:trPr/>
        <w:tc>
          <w:tcPr>
            <w:tcW w:w="3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Options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Outstanding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March 31, 2025, the Company granted options with a weighted-average grant-date fair value of $41.40. No options were granted during the three months ended March 31, 2024. As of March 31, 2025, the total unrecognized stock-based compensation expense for stock options was $26.1 million, which is expected to be recognized over a weighted-average period of 3.2 years.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assumptions used for estimated the fair value of stock options granted under the Black-Scholes-Merton option pricing model: </w:t>
      </w:r>
    </w:p>
    <w:tbl>
      <w:tblPr>
        <w:tblW w:w="6943" w:type="dxa"/>
        <w:jc w:val="left"/>
        <w:tblInd w:w="0" w:type="dxa"/>
        <w:tblLayout w:type="fixed"/>
        <w:tblCellMar>
          <w:top w:w="28" w:type="dxa"/>
          <w:left w:w="28" w:type="dxa"/>
          <w:bottom w:w="28" w:type="dxa"/>
          <w:right w:w="28" w:type="dxa"/>
        </w:tblCellMar>
      </w:tblPr>
      <w:tblGrid>
        <w:gridCol w:w="4081"/>
        <w:gridCol w:w="146"/>
        <w:gridCol w:w="572"/>
        <w:gridCol w:w="1828"/>
        <w:gridCol w:w="316"/>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per share of underlying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$23.13 - $48.01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 - 4.43%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Restricted stock units (RSUs) are granted to certain employees. The value of an RSU award is based on the Company's stock price on the date of the grant. The shares underlying the RSUs are not issued until the RSUs vest. Activity with respect to the Company's restricted stock units during the three months ended March 31, 2025 was as follows (in thousands, except share, contractual term, and per share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27"/>
        <w:gridCol w:w="146"/>
        <w:gridCol w:w="374"/>
        <w:gridCol w:w="2008"/>
        <w:gridCol w:w="146"/>
        <w:gridCol w:w="146"/>
        <w:gridCol w:w="449"/>
        <w:gridCol w:w="1223"/>
        <w:gridCol w:w="146"/>
        <w:gridCol w:w="146"/>
        <w:gridCol w:w="298"/>
        <w:gridCol w:w="739"/>
        <w:gridCol w:w="146"/>
        <w:gridCol w:w="146"/>
        <w:gridCol w:w="235"/>
        <w:gridCol w:w="636"/>
        <w:gridCol w:w="394"/>
      </w:tblGrid>
      <w:tr>
        <w:trPr/>
        <w:tc>
          <w:tcPr>
            <w:tcW w:w="2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RSUs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 Underlying Outstanding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 per Unit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and expected to vest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March 31, 2025, the total unrecognized stock-based compensation expense for RSUs was $8.1 million, which is expected to be recognized over a weighted average period of 2.9 years. </w:t>
      </w:r>
    </w:p>
    <w:p>
      <w:pPr>
        <w:pStyle w:val="TextBody"/>
        <w:bidi w:val="0"/>
        <w:spacing w:before="0" w:after="120"/>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recorded stock-based compensation expense relating to its employees and non-employee directors is as follows (in thousands): </w:t>
      </w:r>
    </w:p>
    <w:tbl>
      <w:tblPr>
        <w:tblW w:w="5600" w:type="dxa"/>
        <w:jc w:val="left"/>
        <w:tblInd w:w="0" w:type="dxa"/>
        <w:tblLayout w:type="fixed"/>
        <w:tblCellMar>
          <w:top w:w="28" w:type="dxa"/>
          <w:left w:w="28" w:type="dxa"/>
          <w:bottom w:w="28" w:type="dxa"/>
          <w:right w:w="28" w:type="dxa"/>
        </w:tblCellMar>
      </w:tblPr>
      <w:tblGrid>
        <w:gridCol w:w="2866"/>
        <w:gridCol w:w="146"/>
        <w:gridCol w:w="296"/>
        <w:gridCol w:w="803"/>
        <w:gridCol w:w="205"/>
        <w:gridCol w:w="205"/>
        <w:gridCol w:w="296"/>
        <w:gridCol w:w="592"/>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records compensation expense for options with service based vesting conditions on a straight-line basis over the vesting period. </w:t>
      </w:r>
    </w:p>
    <w:p>
      <w:pPr>
        <w:pStyle w:val="TextBody"/>
        <w:bidi w:val="0"/>
        <w:spacing w:before="120" w:after="283"/>
        <w:jc w:val="left"/>
        <w:rPr/>
      </w:pPr>
      <w:r>
        <w:rPr/>
        <w:t> </w:t>
      </w:r>
    </w:p>
    <w:p>
      <w:pPr>
        <w:pStyle w:val="TextBody"/>
        <w:bidi w:val="0"/>
        <w:spacing w:before="0" w:after="120"/>
        <w:jc w:val="left"/>
        <w:rPr>
          <w:rFonts w:ascii="Times New Roman" w:hAnsi="Times New Roman"/>
          <w:sz w:val="20"/>
        </w:rPr>
      </w:pPr>
      <w:r>
        <w:rPr>
          <w:rFonts w:ascii="Times New Roman" w:hAnsi="Times New Roman"/>
          <w:b/>
          <w:caps/>
          <w:color w:val="000000"/>
          <w:sz w:val="20"/>
        </w:rPr>
        <w:t>9. Net loss per share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Basic and diluted net loss per share attributable to common stockholders was calculated as follows (in thousands, except share and per share amounts): </w:t>
      </w:r>
    </w:p>
    <w:tbl>
      <w:tblPr>
        <w:tblW w:w="8839" w:type="dxa"/>
        <w:jc w:val="left"/>
        <w:tblInd w:w="0" w:type="dxa"/>
        <w:tblLayout w:type="fixed"/>
        <w:tblCellMar>
          <w:top w:w="28" w:type="dxa"/>
          <w:left w:w="28" w:type="dxa"/>
          <w:bottom w:w="28" w:type="dxa"/>
          <w:right w:w="28" w:type="dxa"/>
        </w:tblCellMar>
      </w:tblPr>
      <w:tblGrid>
        <w:gridCol w:w="5601"/>
        <w:gridCol w:w="146"/>
        <w:gridCol w:w="211"/>
        <w:gridCol w:w="1036"/>
        <w:gridCol w:w="166"/>
        <w:gridCol w:w="146"/>
        <w:gridCol w:w="211"/>
        <w:gridCol w:w="931"/>
        <w:gridCol w:w="391"/>
      </w:tblGrid>
      <w:tr>
        <w:trPr/>
        <w:tc>
          <w:tcPr>
            <w:tcW w:w="5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17,157,661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1,387,303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shares of potentially diluted securities were excluded from the computation of diluted net loss per share attributable to common stockholders for the periods presented because including them would have been anti-dilutive: </w:t>
      </w:r>
    </w:p>
    <w:tbl>
      <w:tblPr>
        <w:tblW w:w="7849" w:type="dxa"/>
        <w:jc w:val="left"/>
        <w:tblInd w:w="0" w:type="dxa"/>
        <w:tblLayout w:type="fixed"/>
        <w:tblCellMar>
          <w:top w:w="28" w:type="dxa"/>
          <w:left w:w="28" w:type="dxa"/>
          <w:bottom w:w="28" w:type="dxa"/>
          <w:right w:w="28" w:type="dxa"/>
        </w:tblCellMar>
      </w:tblPr>
      <w:tblGrid>
        <w:gridCol w:w="4966"/>
        <w:gridCol w:w="146"/>
        <w:gridCol w:w="146"/>
        <w:gridCol w:w="931"/>
        <w:gridCol w:w="146"/>
        <w:gridCol w:w="146"/>
        <w:gridCol w:w="146"/>
        <w:gridCol w:w="931"/>
        <w:gridCol w:w="29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stock (as converted 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3,647,675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990,547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 and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SAFEs (as converted 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1,470,839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2,005,110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6,120,585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color w:val="000000"/>
          <w:sz w:val="20"/>
        </w:rPr>
        <w:t xml:space="preserve">10. </w:t>
      </w:r>
      <w:r>
        <w:rPr>
          <w:rFonts w:ascii="Times New Roman" w:hAnsi="Times New Roman"/>
          <w:b/>
          <w:caps/>
          <w:color w:val="000000"/>
          <w:sz w:val="20"/>
        </w:rPr>
        <w:t>License agreements</w:t>
      </w:r>
    </w:p>
    <w:p>
      <w:pPr>
        <w:pStyle w:val="TextBody"/>
        <w:bidi w:val="0"/>
        <w:spacing w:before="0" w:after="120"/>
        <w:jc w:val="left"/>
        <w:rPr>
          <w:rFonts w:ascii="Times New Roman" w:hAnsi="Times New Roman"/>
          <w:sz w:val="20"/>
        </w:rPr>
      </w:pPr>
      <w:r>
        <w:rPr>
          <w:rFonts w:ascii="Times New Roman" w:hAnsi="Times New Roman"/>
          <w:b/>
          <w:i/>
          <w:color w:val="000000"/>
          <w:sz w:val="20"/>
        </w:rPr>
        <w:t>Harvard Agreement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July 2020, Legacy Tectonic entered into an agreement with the President and Fellows of Harvard College (“Harvard”), for an option fee in the low five digits, whereby Harvard granted Legacy Tectonic an exclusive option to negotiate a worldwide, exclusive, royalty-bearing license under Harvard’s interest in the patent rights covering certain technology that was developed by Harvard. In October 2021, Legacy Tectonic exercised the option and on February 10, 2022, entered into a license agreement (“License Agreement”) with Harvard to conduct research and development activities using certain materials, technology and patent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The Company paid Harvard a one-time license fee and issued shares of common stock as consideration for the License Agreement.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is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from know-how enabled product licenses (“Know-How Enabled Products”) and (3)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 (i) ten years after the first commercial sale of the first Know-How Enabled Product and (ii) twelve years after the first commercial sale of the first Licensed Product. The Company incurred expense of $0.1 million related to the License Agreement during the each of the three month periods ended March 31, 2025 and 2024. No amounts were due to Harvard related to the License Agreement as of March 31, 2025 and December 31, 2024, respectively.</w:t>
      </w:r>
    </w:p>
    <w:p>
      <w:pPr>
        <w:pStyle w:val="TextBody"/>
        <w:bidi w:val="0"/>
        <w:spacing w:before="0" w:after="120"/>
        <w:jc w:val="left"/>
        <w:rPr>
          <w:rFonts w:ascii="Times New Roman" w:hAnsi="Times New Roman"/>
          <w:sz w:val="20"/>
        </w:rPr>
      </w:pPr>
      <w:r>
        <w:rPr>
          <w:rFonts w:ascii="Times New Roman" w:hAnsi="Times New Roman"/>
          <w:b/>
          <w:caps/>
          <w:color w:val="000000"/>
          <w:sz w:val="20"/>
        </w:rPr>
        <w:t>11. COMMITMENTS AND CONTINGENCIES</w:t>
      </w:r>
      <w:r>
        <w:rPr>
          <w:rFonts w:ascii="Times New Roman" w:hAnsi="Times New Roman"/>
          <w:color w:val="000000"/>
          <w:sz w:val="20"/>
        </w:rPr>
        <w:t xml:space="preserve">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Commitments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 enters into contractual agreements with various suppliers in the normal course of its business. All contracts are terminable, with varying provisions regarding termination. If a contract with a specific vendor were to be terminated, the Company would only be obligated for the products or services that the Company had received through the time of termination.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has lease obligations including amounts due on leases of certain laboratory equipment and office and laboratory space under the terms of non-cancelable operating and finance leases. The leases expire at various times through 2027. Minimum lease payments as of March 31, 2025 are $2.2 million in 2025, $0.5 million in 2026, and $0.1 million in 2027.</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The Company is also party to royalty and maintenance based commitments, as described in Note 10, </w:t>
      </w:r>
      <w:r>
        <w:rPr>
          <w:rFonts w:ascii="Times New Roman" w:hAnsi="Times New Roman"/>
          <w:i/>
          <w:color w:val="000000"/>
          <w:sz w:val="20"/>
        </w:rPr>
        <w:t>License Agreements.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Contingencies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connection with the Merger, the Company and its designated rights agent entered into a contingent value rights agreement (the “CVR Agreement”). Pursuant to the CVR Agreement, each holder of AVROBIO common stock immediately prior to the closing received a contractual contingent value right (“CVR”) subject to and in accordance with the terms and conditions of the CVR Agreement, representing the contractual right to receive a pro rata portion of any net proceeds, if any, resulting from a disposition of certain AVROBIO intellectual property (including a license of AVROBIO’s pre-closing assets as defined in the CVR Agreement) after the closing and prior to the 18-month anniversary of the closing, received within a 10-year period following the closing; provided that no contingent payment will be payable to any holder of the CVRs until such time as the then-outstanding and undistributed proceeds exceeds $0.4 million in the aggregate. The Company believes that any receipt of payments resulting from the disposition of AVROBIO’s pre-closing assets described in the CVR Agreement are highly susceptible to factors outside the Company’s influence that are not expected to be resolved within the timeline outlined in the CVR Agreement, if at all. In particular, these amounts are primarily influenced by the actions and judgments of third parties and the buyers of such assets and are based on the buyers of such assets progressing the specific platform and intellectual property and early stage of research and development programs. If the Company were to record a receivable for such contingent payments, it would also record a corresponding liability. As of March 31, 2025 and December 31, 2024, no receivables or liabilities were recorded on the condensed consolidated balance sheets relating to such contingent payments.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 There are no matters pending that the Company currently believes are reasonably possible or probable of having a material impact to the Company's financial position, results of operations, or statements of cash flows.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the normal course of operations, the Company may become involved in various legal proceedings. As of March 31, 2025 and December 31, 2024, the Company has not recorded accruals for probable losses related to any existing or pending litigation as the Company’s management has determined that there are no matters where a potential loss is probable and reasonably estimable. The Company does not believe that any existing or pending claims would have a material impact on the Company’s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caps/>
          <w:color w:val="000000"/>
          <w:sz w:val="20"/>
        </w:rPr>
        <w:t>12. RELATED PARTY TRANSACTIONS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Scientific Advisory Board Member</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One of the Company’s co-founders and former director is a member of the Company’s Scientific Advisory Board (“SAB”) and meets the criteria of a related party. For each of the three months ended March 31, 2025 and 2024, the Company incurred expense of $0.1 million for advisory services provided. There were no amounts due to this related party as of March 31, 2025 and December 31, 2024.</w:t>
      </w:r>
    </w:p>
    <w:p>
      <w:pPr>
        <w:pStyle w:val="TextBody"/>
        <w:bidi w:val="0"/>
        <w:spacing w:before="0" w:after="120"/>
        <w:jc w:val="left"/>
        <w:rPr>
          <w:rFonts w:ascii="Times New Roman" w:hAnsi="Times New Roman"/>
          <w:sz w:val="20"/>
        </w:rPr>
      </w:pPr>
      <w:r>
        <w:rPr>
          <w:rFonts w:ascii="Times New Roman" w:hAnsi="Times New Roman"/>
          <w:b/>
          <w:i/>
          <w:color w:val="000000"/>
          <w:sz w:val="20"/>
        </w:rPr>
        <w:t>License Agreement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Harvard meets the criteria of a related party resulting from the Company’s co-founders’ employment as professors in the Harvard Department of Molecular Pharmacology. Core intellectual property utilized by the Company is licensed from Harvard under the License Agreement described in Note 10, </w:t>
      </w:r>
      <w:r>
        <w:rPr>
          <w:rFonts w:ascii="Times New Roman" w:hAnsi="Times New Roman"/>
          <w:i/>
          <w:color w:val="000000"/>
          <w:sz w:val="20"/>
        </w:rPr>
        <w:t>License Agreements</w:t>
      </w:r>
      <w:r>
        <w:rPr>
          <w:rFonts w:ascii="Times New Roman" w:hAnsi="Times New Roman"/>
          <w:color w:val="000000"/>
          <w:sz w:val="2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incurred expense of $0.1 million related to the License Agreement during each of the three month periods ended March 31, 2025 and 2024, respectively. No amounts were due to Harvard related to the License Agreement as of March 31, 2025 and December 31, 2024.</w:t>
      </w:r>
    </w:p>
    <w:p>
      <w:pPr>
        <w:pStyle w:val="TextBody"/>
        <w:bidi w:val="0"/>
        <w:spacing w:before="0" w:after="120"/>
        <w:jc w:val="left"/>
        <w:rPr>
          <w:rFonts w:ascii="Times New Roman" w:hAnsi="Times New Roman"/>
          <w:sz w:val="20"/>
        </w:rPr>
      </w:pPr>
      <w:r>
        <w:rPr>
          <w:rFonts w:ascii="Times New Roman" w:hAnsi="Times New Roman"/>
          <w:b/>
          <w:i/>
          <w:color w:val="000000"/>
          <w:sz w:val="20"/>
        </w:rPr>
        <w:t>Private Placement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Company issued shares in connection with the Private Placement at a price of $54.14 per share to accredited individual investors that are either an officer or director of the Company.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SEGMENT INFORMATION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operates in one operating segment, and therefore one reportable segment, focused on the discovery and development of therapeutic proteins and antibodies that modulate the activity of GPCRs. The accounting policies of the segment are the same as those described in the summary of significant accounting policies.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determination of a single segment is consistent with the consolidated financial information regularly reviewed by the Chief Executive Officer as CODM in evaluating financial performance and deciding how to allocate resources on a consolidated basis. The significant expense categories outlined below align with the segment-level information that is regularly provided to the CODM. When evaluating the Company’s financial performance, the CODM reviews one measure of profitability, net loss, and makes decisions using this information.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 segment asset information is provided below as the CODM is focused on how expenses impact ending cash by period and overall cash runway. Any review of segment assets, which would focus on cash and cash equivalents, would be at the same level as the consolidated balance sheet.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the segment net loss and significant segment expenses for the three months ended March 31, 2025 and 2024 (in thousands):</w:t>
      </w:r>
    </w:p>
    <w:tbl>
      <w:tblPr>
        <w:tblW w:w="7856" w:type="dxa"/>
        <w:jc w:val="left"/>
        <w:tblInd w:w="0" w:type="dxa"/>
        <w:tblLayout w:type="fixed"/>
        <w:tblCellMar>
          <w:top w:w="28" w:type="dxa"/>
          <w:left w:w="28" w:type="dxa"/>
          <w:bottom w:w="28" w:type="dxa"/>
          <w:right w:w="28" w:type="dxa"/>
        </w:tblCellMar>
      </w:tblPr>
      <w:tblGrid>
        <w:gridCol w:w="4921"/>
        <w:gridCol w:w="146"/>
        <w:gridCol w:w="245"/>
        <w:gridCol w:w="785"/>
        <w:gridCol w:w="169"/>
        <w:gridCol w:w="169"/>
        <w:gridCol w:w="245"/>
        <w:gridCol w:w="785"/>
        <w:gridCol w:w="391"/>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employee-related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pre-clinical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Chemistry, manufacturing, and control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Non-employee-related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15,906</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9"/>
        </w:rPr>
        <w:t>1</w:t>
      </w:r>
      <w:r>
        <w:rPr>
          <w:rFonts w:ascii="Times New Roman" w:hAnsi="Times New Roman"/>
          <w:color w:val="000000"/>
          <w:sz w:val="20"/>
        </w:rPr>
        <w:t xml:space="preserve"> Other segment expenses include stock-based compensation, depreciation and amortization, changes in the fair value of the SAFE liabilities, loss on the issuance of SAFEs, interest income, and interest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bookmarkStart w:id="9" w:name="mda"/>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included elsewhere in this Quarterly Report. The following discussion contains forward-looking statements that are based upon current expectations that involve risks, uncertainties and assumptions. Our actual results could differ materially from those anticipated in these forward-looking statements as a result of many factors, including those discussed under “Risk Factors” and elsewhere in this Quarterly Report. Please also see the section titled “Special Note Regarding Forward-Looking Statements.”</w:t>
      </w:r>
    </w:p>
    <w:p>
      <w:pPr>
        <w:pStyle w:val="TextBody"/>
        <w:bidi w:val="0"/>
        <w:spacing w:before="0" w:after="120"/>
        <w:jc w:val="left"/>
        <w:rPr>
          <w:rFonts w:ascii="Times New Roman" w:hAnsi="Times New Roman"/>
          <w:sz w:val="20"/>
        </w:rPr>
      </w:pPr>
      <w:r>
        <w:rPr>
          <w:rFonts w:ascii="Times New Roman" w:hAnsi="Times New Roman"/>
          <w:i/>
          <w:color w:val="000000"/>
          <w:sz w:val="20"/>
        </w:rPr>
        <w:t>All brand names or trademarks appearing in this report are the property of their respective holders. Unless otherwise indicated or the context otherwise requires, references in this “Management’s Discussion and Analysis of Financial Condition and Results of Operations” section to the Company, “we,” “us,” and “our” refer to the business and operations of Tectonic Operating Company, Inc. (previously Tectonic Therapeutic, Inc., referred to as “Legacy Tectonic”) and its consolidated subsidiaries prior to the Merger, and the business and operations of Tectonic Therapeutic, Inc. (previously AVROBIO, Inc., referred to as “AVROBIO”) and its consolidated subsidiaries following the Merger.</w:t>
      </w:r>
      <w:r>
        <w:rPr>
          <w:rFonts w:ascii="Times New Roman" w:hAnsi="Times New Roman"/>
          <w:color w:val="000000"/>
          <w:sz w:val="20"/>
        </w:rPr>
        <w:t xml:space="preserve">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120"/>
        <w:jc w:val="left"/>
        <w:rPr>
          <w:rFonts w:ascii="Times New Roman" w:hAnsi="Times New Roman"/>
          <w:sz w:val="20"/>
        </w:rPr>
      </w:pPr>
      <w:r>
        <w:rPr>
          <w:rFonts w:ascii="Times New Roman" w:hAnsi="Times New Roman"/>
          <w:color w:val="000000"/>
          <w:sz w:val="20"/>
        </w:rPr>
        <w:t>We are a clinical-stage biotechnology company focused on the discovery and development of therapeutic proteins and antibodies that modulate the activity of GPCRs. The discovery of biologics that can modulate GPCRs has historically been quite challenging. We have developed a proprietary technology platform called GEODe</w:t>
      </w:r>
      <w:r>
        <w:rPr>
          <w:rFonts w:ascii="Times New Roman" w:hAnsi="Times New Roman"/>
          <w:color w:val="000000"/>
          <w:sz w:val="9"/>
        </w:rPr>
        <w:t></w:t>
      </w:r>
      <w:r>
        <w:rPr>
          <w:rFonts w:ascii="Times New Roman" w:hAnsi="Times New Roman"/>
          <w:color w:val="000000"/>
          <w:sz w:val="20"/>
        </w:rPr>
        <w:t xml:space="preserve">,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lead asset, TX45, is an Fc-relaxin fusion molecule that activates the RXFP1 receptor, the GPCR target of the hormone, relaxin. In September 2024, we announced favorable results from a Phase 1a trial evaluating safety, tolerability and pharmacokinetic (“PK”) and pharmacodynamic (“PD”) properties for TX45. In this trial, TX45 was well-tolerated with no drug-related severe adverse events, no observed immunogenicity and demonstrated a favorable PK/PD relationship. Renal plasma flow was measured in each patient at several time points as a pharmacodynamic marker. This data was used to develop an exposure-response model which enabled the selection of doses for the APEX Phase 2 trial.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currently evaluating TX45 in a Phase 1b hemodynamic clinical trial and in a Phase 2 clinical trial. Part A of the TX45 Phase 1b hemodynamic clinical trial is a single dose IV, open-label clinical trial evaluating the safety, tolerability and acute hemodynamic effects of TX45 in patients with Group 2 PH in Heart Failure with Preserved Ejection Fraction (“PH-HFpEF”). We have completed dosing of all 19 patients in the Part A of the Phase 1b trial. A preliminary analysis of hemodynamic data from 16 out of 19 patients demonstrated improvements which met and or exceeded our prespecified goals and demonstrated that TX45 both improved left heart function and pulmonary hemodynamics over the 8 hour period post dosing which was evaluated. Part B of the Phase 1b trial which is assessing acute hemodynamics effects of TX45 in patients with Group 2 PH-HFrEF is expected to enroll the first patient in the first half of 2025 with data expected to be announced in the second half of 2025. We dosed our first subject in the APEX Phase 2 clinical trial in October 2024. The APEX Phase 2 clinical trial is a global, 24-week, placebo-controlled trial designed to evaluate the safety and efficacy TX45 administered subcutaneously (“SC”) in subjects with PH-HFpEF. Subjects will be randomized to 300 mg SC (2ml injection) once monthly of TX45, 300 mg SC once every other week of TX45, or placebo. We expect topline trial results from the APEX trial in 2026.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are also evaluating TX002100 (“TX2100”) as our second development candidate for the treatment of Hereditary Hemorrhagic Telangiectasia (“HHT”), the second most common genetic bleeding disorder with no approved therapy. TX2100 is a VHH-Fc fusion antagonist antibody that binds to an undisclosed GPCR target (“GPCR3”) which plays a key role in pathogenic angiogenesis. A rodent surrogate of TX2100 demonstrated reduced arteriovenous malformation development and bleeding in an animal model of HHT. A 4-week non-human primate dose-range study with a functionally equivalent precursor to TX2100 showed no treatment-related toxicity observed at doses up to 100 mg/kg. A formulation supporting TX2100 SC dosing has been identified. Both IND enabling NHP GLP toxicology studies and technical development activities to generate GMP drug supply and drug product for TX2100 started in the second quarter of 2025. We expect to initiate a Phase 1 clinical trial for TX2100 in the fourth quarter of 2025 or the first quarter of 2026, subject to the results of IND enabling studies. </w:t>
      </w:r>
    </w:p>
    <w:p>
      <w:pPr>
        <w:pStyle w:val="TextBody"/>
        <w:bidi w:val="0"/>
        <w:spacing w:before="0" w:after="120"/>
        <w:jc w:val="left"/>
        <w:rPr>
          <w:rFonts w:ascii="Times New Roman" w:hAnsi="Times New Roman"/>
          <w:sz w:val="20"/>
        </w:rPr>
      </w:pPr>
      <w:r>
        <w:rPr>
          <w:rFonts w:ascii="Times New Roman" w:hAnsi="Times New Roman"/>
          <w:b/>
          <w:color w:val="000000"/>
          <w:sz w:val="20"/>
        </w:rPr>
        <w:t>Recent Developments</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Private Placement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February 2025, we entered into a securities purchase agreement (the “Private Placement”) pursuant to which we issued an aggregate of 3,689,465 shares of common stock, at a price of $50.00 per share to institutional accredited investors and $54.14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per share to accredited individual investors that are either an officer or director of our Company, in exchange for aggregate consideration of approximately $185.0 million. </w:t>
      </w:r>
    </w:p>
    <w:p>
      <w:pPr>
        <w:pStyle w:val="TextBody"/>
        <w:bidi w:val="0"/>
        <w:spacing w:before="0" w:after="120"/>
        <w:jc w:val="left"/>
        <w:rPr>
          <w:rFonts w:ascii="Times New Roman" w:hAnsi="Times New Roman"/>
          <w:sz w:val="20"/>
        </w:rPr>
      </w:pPr>
      <w:r>
        <w:rPr>
          <w:rFonts w:ascii="Times New Roman" w:hAnsi="Times New Roman"/>
          <w:b/>
          <w:i/>
          <w:color w:val="000000"/>
          <w:sz w:val="20"/>
        </w:rPr>
        <w:t>Merger with AVROBIO</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June 20, 2024, we completed our previously announced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 </w:t>
      </w:r>
    </w:p>
    <w:p>
      <w:pPr>
        <w:pStyle w:val="TextBody"/>
        <w:bidi w:val="0"/>
        <w:spacing w:before="0" w:after="120"/>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color w:val="000000"/>
          <w:sz w:val="20"/>
        </w:rPr>
        <w:t>Revenue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not generated any revenue since our inception and do not expect to generate any revenue from the sale of products in the foreseeable future, if at all. If our development efforts for our product candidates are successful and result in regulatory approval, or if we enter collaboration or license agreements with third parties, we may generate revenue in the future from product sales or payments from collaboration or license agreements, or any combination thereof. We cannot predict if, when or to what extent we will generate revenue from the commercialization and sale of our product candidates. We may never succeed in obtaining regulatory approval for any of our product candidates. </w:t>
      </w:r>
    </w:p>
    <w:p>
      <w:pPr>
        <w:pStyle w:val="TextBody"/>
        <w:bidi w:val="0"/>
        <w:spacing w:before="0" w:after="120"/>
        <w:jc w:val="left"/>
        <w:rPr>
          <w:rFonts w:ascii="Times New Roman" w:hAnsi="Times New Roman"/>
          <w:sz w:val="20"/>
        </w:rPr>
      </w:pPr>
      <w:r>
        <w:rPr>
          <w:rFonts w:ascii="Times New Roman" w:hAnsi="Times New Roman"/>
          <w:b/>
          <w:color w:val="000000"/>
          <w:sz w:val="20"/>
        </w:rPr>
        <w:t>Operating Expenses</w:t>
      </w:r>
      <w:r>
        <w:rPr>
          <w:rFonts w:ascii="Times New Roman" w:hAnsi="Times New Roman"/>
          <w:color w:val="000000"/>
          <w:sz w:val="20"/>
        </w:rPr>
        <w:t xml:space="preserve">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consist of costs incurred for our research activities, including our discovery efforts and the development of our programs and platform. These expenses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and bonuses, related benefits and stock-based compensation expense, for employees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in connection with research and the preclinical and clinical development of our programs and our product candidates, including fees paid to contract research organizations (“CROs”);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manufacturing material for our preclinical studies and clinical trials, including fees paid to contract development and manufacturing organizations (“CDMOs”);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supplies, consumables and other research materials;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depreciation and other expenses related to research and development activities, which include direct or allocated expenses for rent and maintenance of facilities, and utilities;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payments made under third-party licensing agreements.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expense all research and development costs in the periods in which they are incurred. Costs for certain development activities are recognized based on our evaluation of the progress to completion of specific tasks using information and data provided to us by our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direct research and development expenses relate to the development of TX45 and TX2100, as well as the nonclinical safety pharmacology and toxicology testing of our product candidates. Our external services expenses consist of the external costs and fees paid to consultants and other research laboratories in connection with our preclinical development and clinical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that are deployed across multiple internal programs, including programs aimed at the discovery and development of potential therapies for fibrotic disease, and our platform technology and are not directly attributable to any single program are not allocated to any single program and, as such, are not separately classified. These costs include multi-program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costs, cross-program payments made under third-party licensing agreements, costs of laboratory supplies and facilities expenses, including rent, depreciation and other indirect costs, the costs of our discovery efforts and projects, and other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to conduct preclinical studies required to advance our product candidates into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 patient trial costs, including based on the number of doses that patients received;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who enroll in each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trials required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sites included in the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drop-out or discontinuation rates of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additional safety monitoring requested by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duration of patient participation in the trials and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phase of development of the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manufacture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profile of our product candidates.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employee-related costs, including salaries and bonuses, related benefits and stock-based compensation expense, for our personnel in executive, legal, accounting, human resources and other administrative functions. General and administrative expenses also include legal fees relating to patents and corporate matters, professional fees paid for accounting, auditing, consulting and tax services, insurance, travel expenses, office and information technology costs and facilities and utilities, depreciation and other expenses related to general and administrative activities.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anticipate that our general and administrative expenses will increase in the future as we expect to incur increased accounting, audit, legal, regulatory, compliance, director and officer insurance, and investor and public relations expenses associated with operating as a public company. We also expect to incur additional intellectual property-related expenses as we file patent applications to protect innovations arising from our research and development activities.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i/>
          <w:color w:val="000000"/>
          <w:sz w:val="20"/>
        </w:rPr>
        <w:t>Loss on Issuance of SAFE Liabilities and Change in Fair Value of SAFE Liabilities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October and December 2023, Legacy Tectonic issued SAFEs for proceeds of $34.1 million. The SAFEs were recorded as liabilities in the condensed consolidated balance sheets at their fair value on the issuance dates. Until redemption on June 20, 2024, the SAFEs were measured at a fair value on a recurring basis, with subsequent changes in fair value recorded in other income and expenses on the consolidated statement of operations and comprehensive loss. </w:t>
      </w:r>
    </w:p>
    <w:p>
      <w:pPr>
        <w:pStyle w:val="TextBody"/>
        <w:bidi w:val="0"/>
        <w:spacing w:before="0" w:after="120"/>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income primarily consists of interest earned on money market funds, which are included in cash and cash equivalents in the condensed consolidated balance sheets.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120"/>
        <w:jc w:val="left"/>
        <w:rPr>
          <w:rFonts w:ascii="Times New Roman" w:hAnsi="Times New Roman"/>
          <w:sz w:val="20"/>
        </w:rPr>
      </w:pPr>
      <w:r>
        <w:rPr>
          <w:rFonts w:ascii="Times New Roman" w:hAnsi="Times New Roman"/>
          <w:b/>
          <w:i/>
          <w:color w:val="000000"/>
          <w:sz w:val="20"/>
        </w:rPr>
        <w:t>Comparison of the Three Months Ended March 31, 2025 and 2024</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March 31, 2025 and 2024: </w:t>
      </w:r>
    </w:p>
    <w:tbl>
      <w:tblPr>
        <w:tblW w:w="9473" w:type="dxa"/>
        <w:jc w:val="left"/>
        <w:tblInd w:w="0" w:type="dxa"/>
        <w:tblLayout w:type="fixed"/>
        <w:tblCellMar>
          <w:top w:w="28" w:type="dxa"/>
          <w:left w:w="28" w:type="dxa"/>
          <w:bottom w:w="28" w:type="dxa"/>
          <w:right w:w="28" w:type="dxa"/>
        </w:tblCellMar>
      </w:tblPr>
      <w:tblGrid>
        <w:gridCol w:w="3816"/>
        <w:gridCol w:w="146"/>
        <w:gridCol w:w="229"/>
        <w:gridCol w:w="801"/>
        <w:gridCol w:w="180"/>
        <w:gridCol w:w="158"/>
        <w:gridCol w:w="229"/>
        <w:gridCol w:w="801"/>
        <w:gridCol w:w="166"/>
        <w:gridCol w:w="146"/>
        <w:gridCol w:w="211"/>
        <w:gridCol w:w="631"/>
        <w:gridCol w:w="166"/>
        <w:gridCol w:w="146"/>
        <w:gridCol w:w="202"/>
        <w:gridCol w:w="669"/>
        <w:gridCol w:w="776"/>
      </w:tblGrid>
      <w:tr>
        <w:trPr/>
        <w:tc>
          <w:tcPr>
            <w:tcW w:w="3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18,298</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(18,298</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the SAFE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(15,906</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three months ended March 31, 2025 and 2024:</w:t>
      </w:r>
    </w:p>
    <w:tbl>
      <w:tblPr>
        <w:tblW w:w="10205" w:type="dxa"/>
        <w:jc w:val="left"/>
        <w:tblInd w:w="0" w:type="dxa"/>
        <w:tblLayout w:type="fixed"/>
        <w:tblCellMar>
          <w:top w:w="28" w:type="dxa"/>
          <w:left w:w="28" w:type="dxa"/>
          <w:bottom w:w="28" w:type="dxa"/>
          <w:right w:w="28" w:type="dxa"/>
        </w:tblCellMar>
      </w:tblPr>
      <w:tblGrid>
        <w:gridCol w:w="4748"/>
        <w:gridCol w:w="146"/>
        <w:gridCol w:w="237"/>
        <w:gridCol w:w="760"/>
        <w:gridCol w:w="163"/>
        <w:gridCol w:w="163"/>
        <w:gridCol w:w="237"/>
        <w:gridCol w:w="760"/>
        <w:gridCol w:w="146"/>
        <w:gridCol w:w="146"/>
        <w:gridCol w:w="214"/>
        <w:gridCol w:w="582"/>
        <w:gridCol w:w="166"/>
        <w:gridCol w:w="146"/>
        <w:gridCol w:w="243"/>
        <w:gridCol w:w="628"/>
        <w:gridCol w:w="720"/>
      </w:tblGrid>
      <w:tr>
        <w:trPr/>
        <w:tc>
          <w:tcPr>
            <w:tcW w:w="4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4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TX45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TX2100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Platform development and unallocated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Employee-related expenses,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4,084</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External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7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Lab supplies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 related and other expenses, including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platform development and 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6,499</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7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13,036</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Total research and development expenses increased $2.2 million for the three months ended March 31, 2025, compared to the three months ended March 31, 2024. The increase in research and development expense was primarily the result of increased CRO and CDMO costs related to the discovery and development of TX2100.</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summarizes our general and administrative expenses for the three months ended March 31, 2025 and 2024:</w:t>
      </w:r>
    </w:p>
    <w:tbl>
      <w:tblPr>
        <w:tblW w:w="10205" w:type="dxa"/>
        <w:jc w:val="left"/>
        <w:tblInd w:w="0" w:type="dxa"/>
        <w:tblLayout w:type="fixed"/>
        <w:tblCellMar>
          <w:top w:w="28" w:type="dxa"/>
          <w:left w:w="28" w:type="dxa"/>
          <w:bottom w:w="28" w:type="dxa"/>
          <w:right w:w="28" w:type="dxa"/>
        </w:tblCellMar>
      </w:tblPr>
      <w:tblGrid>
        <w:gridCol w:w="4959"/>
        <w:gridCol w:w="146"/>
        <w:gridCol w:w="264"/>
        <w:gridCol w:w="718"/>
        <w:gridCol w:w="183"/>
        <w:gridCol w:w="183"/>
        <w:gridCol w:w="264"/>
        <w:gridCol w:w="718"/>
        <w:gridCol w:w="146"/>
        <w:gridCol w:w="146"/>
        <w:gridCol w:w="214"/>
        <w:gridCol w:w="582"/>
        <w:gridCol w:w="146"/>
        <w:gridCol w:w="146"/>
        <w:gridCol w:w="224"/>
        <w:gridCol w:w="647"/>
        <w:gridCol w:w="519"/>
      </w:tblGrid>
      <w:tr>
        <w:trPr/>
        <w:tc>
          <w:tcPr>
            <w:tcW w:w="4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49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8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Facility related and other expenses, including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General and administrative expenses increased $3.1 million for the three months ended March 31, 2025 compared to the three months ended March 31, 2024. Personnel-related expenses increased $1.3 million during the three months ended March 31, 2025 compared to the three months ended March 31, 2024. The increase in personnel-related expenses was primarily due to an increase in stock-based compensation for newly granted stock-based awards. Professional and consulting fees increased $1.5 million during the three months ended March 31, 2025 compared to the three months ended March 31, 2024 due to an increase in audit, legal and administrative services to support our operations as a public company.</w:t>
      </w:r>
    </w:p>
    <w:p>
      <w:pPr>
        <w:pStyle w:val="TextBody"/>
        <w:bidi w:val="0"/>
        <w:spacing w:before="0" w:after="120"/>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Interest income increased by $2.2 million for the three months ended March 31, 2025 compared to the three months ended March 31, 2024 primarily due to an increase in cash and cash equivalents as a result of the Merger and Private Placement.</w:t>
      </w:r>
    </w:p>
    <w:p>
      <w:pPr>
        <w:pStyle w:val="TextBody"/>
        <w:bidi w:val="0"/>
        <w:spacing w:before="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Since our inception, we have incurred significant operating losses. We expect to incur significant expenses and operating losses for the foreseeable future as we advance the preclinical and clinical development of our research programs and product candidates. We expect that our research and development and general and administrative costs will increase in connection with conducting additional preclinical studies and clinical trials for our current and future research programs and product candidates, contracting with CDMOs to support preclinical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do not currently have any approved products and have never generated any revenue from product sales. We have funded our operations with proceeds from the sale of convertible preferred stock, the issuance of convertible promissory notes, the Merger, and sale of common stock. In February 2025, we sold shares of our common stock under a securities purchase agreement in exchange for gross proceeds of approximately $185.0 million. As of March 31, 2025, we had $306.2 million in cash and cash equivalents and an accumulated deficit of $164.5 million. Based on our current business plans, management believes that our cash, cash equivalents and marketable securities on hand at December 31, 2024 are sufficient to meet our operating requirements for at least the next 12 months from the issuance of the consolidated financial statements included in this Quarterly Report. We have based this estimate on assumptions that may prove to be wrong, and we could exhaust our capital resources sooner than we expect. </w:t>
      </w:r>
    </w:p>
    <w:p>
      <w:pPr>
        <w:pStyle w:val="TextBody"/>
        <w:bidi w:val="0"/>
        <w:spacing w:before="0" w:after="120"/>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following table shows a summary of our cash flows for the three months ended March 31, 2025 and 2024: </w:t>
      </w:r>
    </w:p>
    <w:tbl>
      <w:tblPr>
        <w:tblW w:w="8043" w:type="dxa"/>
        <w:jc w:val="left"/>
        <w:tblInd w:w="0" w:type="dxa"/>
        <w:tblLayout w:type="fixed"/>
        <w:tblCellMar>
          <w:top w:w="28" w:type="dxa"/>
          <w:left w:w="28" w:type="dxa"/>
          <w:bottom w:w="28" w:type="dxa"/>
          <w:right w:w="28" w:type="dxa"/>
        </w:tblCellMar>
      </w:tblPr>
      <w:tblGrid>
        <w:gridCol w:w="5086"/>
        <w:gridCol w:w="146"/>
        <w:gridCol w:w="225"/>
        <w:gridCol w:w="833"/>
        <w:gridCol w:w="177"/>
        <w:gridCol w:w="155"/>
        <w:gridCol w:w="225"/>
        <w:gridCol w:w="785"/>
        <w:gridCol w:w="41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178,122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cash equivalents and</w:t>
              <w:br/>
              <w: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165,007</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During the three months ended March 31, 2025, cash used in operating activities was $13.1 million. Cash used in operating activities was primarily used to fund our operations to develop our product candidates resulting in a net loss of $15.9 million partially offset by non-cash charges of $3.0 million related to stock-based compensation expense, depreciation and amortization expense and lease expense.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During the three months ended March 31, 2024, cash used in operating activities was $9.3 million. Cash used in operating activities was primarily due to the use of funds in our operations to develop our product candidates resulting in a net loss of $15.2 million, and changes in our operating assets and liabilities of $2.9 million, partially offset by non-cash charges of $3.1 million related to the change in the fair value of the SAFE liabilities, depreciation and amortization expense, stock-based compensation expense, and lease expense. The increase in operating assets and liabilities relates to accrued expenses, timing of vendor payments, and timing of lease repayments. </w:t>
      </w:r>
    </w:p>
    <w:p>
      <w:pPr>
        <w:pStyle w:val="TextBody"/>
        <w:bidi w:val="0"/>
        <w:spacing w:before="0" w:after="120"/>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During the three months ended March 31, 2025 and 2024, net cash used in investing activities was nominal and related to purchases of property and equipment. </w:t>
      </w:r>
    </w:p>
    <w:p>
      <w:pPr>
        <w:pStyle w:val="TextBody"/>
        <w:bidi w:val="0"/>
        <w:spacing w:before="0" w:after="120"/>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March 31, 2025, net cash provided by financing activities was $178.1 million, primarily due to net proceeds of $177.3 million from the sale of shares pursuant to the Private Placement and $1.0 million in proceeds from the exercise of stock options. Net cash used in financing activities during the three months ended March 31, 2024 was primarily due to the payment of $0.6 million of deferred offering costs related to the Merger.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expenses to increase in connection with our ongoing activities, particularly as we continue the research and development of, continue or initiate clinical trials of, and seek marketing approval for, our product candidates including our lead product candidate TX45 and TX2100. In addition, if we obtain marketing approval for TX45, TX2100 or any of our other product candidates, we expect to incur significant commercialization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existing cash and cash equivalents will enable us to fund our operating expenses and capital expenditure requirements for at least the next twelve months. Our future capital requirements will depend on many factors, including: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scope, progress, results and costs of product discovery, preclinical studies and clinical trials;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scope, prioritization and number of our research and development programs;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access sufficient additional capital on a timely basis and on favorable terms;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costs and timing of process development and manufacturing scale-up activities associated with our product candidates and other programs as we advance them through preclinical and clinical development;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establish and maintain collaborations on favorable terms, if at all;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achievement of milestones or occurrence of other developments that trigger payments under the license agreements and any other collaboration agreements we enter into;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extent to which we are obligated to reimburse, or entitled to reimbursement of, clinical trial costs under collaboration agreements, if any;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costs of preparing, filing and prosecuting patent applications, maintaining and enforcing our intellectual property rights and defending intellectual property-related claims;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extent to which we acquire or in-license other product candidates and technologies;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costs of securing manufacturing arrangements for commercial production;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costs of operating as a publicly traded company;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costs of establishing or contracting for sales and marketing capabilities if we obtain regulatory approvals to market our product candidates; and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macroeconomic environment, including inflation and interest rates.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 Until such time, if ever, as we can generate substantial product revenues, we expect to finance our cash needs through a combination of equity offerings, debt financings, collaborations, strategic alliances and licensing arrangements. Debt financing, if available, may involve agreements that include covenants limiting or restricting our ability to take specific actions, such as incurring additional debt, making capital expenditures or declaring dividends.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to incur additional costs associated with operating as a public company. In addition, we anticipate that we will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need substantial additional funding in connection with our continuing operations. Our projections of operating capital requirements are based on our current operating plan, which includes several assumptions that may prove to be incorrect and we may use all of our available capital resources sooner than we expect.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currently have no ongoing material financing commitments, such as lines of credit or guarantees, that are expected to affect our liquidity over the next five years, other than our lease obligations. </w:t>
      </w:r>
    </w:p>
    <w:p>
      <w:pPr>
        <w:pStyle w:val="TextBody"/>
        <w:bidi w:val="0"/>
        <w:spacing w:before="0" w:after="120"/>
        <w:jc w:val="left"/>
        <w:rPr>
          <w:rFonts w:ascii="Times New Roman" w:hAnsi="Times New Roman"/>
          <w:sz w:val="20"/>
        </w:rPr>
      </w:pPr>
      <w:r>
        <w:rPr>
          <w:rFonts w:ascii="Times New Roman" w:hAnsi="Times New Roman"/>
          <w:b/>
          <w:color w:val="000000"/>
          <w:sz w:val="20"/>
        </w:rPr>
        <w:t>Contractual Obligations &amp; Commitments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We have entered into license agreements under which we are obligated to make specified milestone and royalty payments. The payment obligations under these agreements are contingent upon future events, such as our achievement of specified development, regulatory, and sales milestones, or generating product sales. Generally, the timing or likelihood of achieving these milestones or generating future product sales are not determinable. For further details regarding our significant contracts, and the commitments and contractual obligations contained within each contract, please refer to Note 11, </w:t>
      </w:r>
      <w:r>
        <w:rPr>
          <w:rFonts w:ascii="Times New Roman" w:hAnsi="Times New Roman"/>
          <w:i/>
          <w:color w:val="000000"/>
          <w:sz w:val="20"/>
        </w:rPr>
        <w:t>Commitments and Contingencies</w:t>
      </w:r>
      <w:r>
        <w:rPr>
          <w:rFonts w:ascii="Times New Roman" w:hAnsi="Times New Roman"/>
          <w:color w:val="000000"/>
          <w:sz w:val="20"/>
        </w:rPr>
        <w:t>, and to our consolidated financial statements included in this Quarterly Report, which is incorporated herein by reference.</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lease obligations including amounts due on leases of certain laboratory equipment and office and laboratory space under the terms of non-cancelable operating and finance leases. The leases expire at various times through 2027. Minimum lease payments as of March 31, 2025 are $2.2 million in 2025, $0.5 million in 2026, and $0.1 million in 2027. The commitment amounts are associated with contracts that are enforceable and legally binding and that specify all significant terms, including fixed or minimum services to be used, fixed, minimum or variable price provisions, and the approximate timing of the actions under the contracts. Such amounts do not include obligations under agreements that we can cancel without a significant penalty.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enter into agreements in the normal course of business with vendors for preclinical research studies, clinical trials and other services and products for operating purposes. These contracts do not contain any minimum purchase commitments and are generally cancelable upon written notice. Payments due upon cancellation consist only of payments for services provided and expenses incurred up to the date of cancellation.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bookmarkStart w:id="10" w:name="item_3_quantitative"/>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color w:val="000000"/>
          <w:sz w:val="20"/>
        </w:rPr>
        <w:t>Interest Rate Risk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primary exposure to market risk is to market risk related to interest rate sensitivity, which is affected by changes in the general level of U.S. interest rates. As of March 31, 2025, we had cash and cash equivalents of $306.2 million, which consisted of cash and interest-bearing money market funds. As of March 31, 2025, we had an operating lease liability and a finance lease liability of $1.9 million and $0.8 million, respectively. Interest income and expenses are sensitive to changes in the general level of interest rates. However, due to the nature of these investments, an immediate 10% change in market interest rates would not have a material effect on the fair market value of our investment portfolio. </w:t>
      </w:r>
    </w:p>
    <w:p>
      <w:pPr>
        <w:pStyle w:val="TextBody"/>
        <w:bidi w:val="0"/>
        <w:spacing w:before="0" w:after="120"/>
        <w:jc w:val="left"/>
        <w:rPr>
          <w:rFonts w:ascii="Times New Roman" w:hAnsi="Times New Roman"/>
          <w:sz w:val="20"/>
        </w:rPr>
      </w:pPr>
      <w:r>
        <w:rPr>
          <w:rFonts w:ascii="Times New Roman" w:hAnsi="Times New Roman"/>
          <w:b/>
          <w:color w:val="000000"/>
          <w:sz w:val="20"/>
        </w:rPr>
        <w:t>Inflation Risk</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bookmarkStart w:id="11" w:name="item_4_controls"/>
      <w:bookmarkEnd w:id="11"/>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our Chief Financial Officer, evaluated the effectiveness of our disclosure controls and procedures as of March 31, 2025, the end of the period covered by this Quarterly Report. Based on the evaluation of our disclosure controls and procedures as of March 31, 2025, our Chief Executive Officer and Chief Financial Officer concluded that, as of such date, our disclosure controls and procedures were effective at the reasonable assurance level. </w:t>
      </w:r>
    </w:p>
    <w:p>
      <w:pPr>
        <w:pStyle w:val="TextBody"/>
        <w:bidi w:val="0"/>
        <w:spacing w:before="0" w:after="120"/>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There were no change in our internal control over financial reporting identified in connection with the evaluation required by Rule 13a-15(d) and 15d-15(d) of the Exchange Act that occurred during the period covered by this Quarterly Report that has materially affected, or is reasonably likely to materially affect, our internal control over financial reporting. </w:t>
      </w:r>
    </w:p>
    <w:p>
      <w:pPr>
        <w:pStyle w:val="TextBody"/>
        <w:bidi w:val="0"/>
        <w:spacing w:before="0" w:after="120"/>
        <w:jc w:val="left"/>
        <w:rPr>
          <w:rFonts w:ascii="Times New Roman" w:hAnsi="Times New Roman"/>
          <w:sz w:val="20"/>
        </w:rPr>
      </w:pPr>
      <w:r>
        <w:rPr>
          <w:rFonts w:ascii="Times New Roman" w:hAnsi="Times New Roman"/>
          <w:b/>
          <w:color w:val="000000"/>
          <w:sz w:val="20"/>
        </w:rPr>
        <w:t>Inherent Limitations on Effectiveness of Controls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center"/>
        <w:rPr>
          <w:rFonts w:ascii="Times New Roman" w:hAnsi="Times New Roman"/>
          <w:sz w:val="20"/>
        </w:rPr>
      </w:pPr>
      <w:bookmarkStart w:id="12" w:name="part_ii_other_information"/>
      <w:bookmarkEnd w:id="12"/>
      <w:r>
        <w:rPr>
          <w:rFonts w:ascii="Times New Roman" w:hAnsi="Times New Roman"/>
          <w:b/>
          <w:color w:val="000000"/>
          <w:sz w:val="20"/>
        </w:rPr>
        <w:t>PART II—OTHER INFORMATION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Investing in the Company's common stock involves a high degree of risk. Careful consideration should be given to the following risk factors, in addition to the other information set forth in this Quarterly Report and in other documents that were filed and will be filed with the SEC, in evaluating the Company and its business. Additional risks and uncertainties not presently known to or that are currently seen as immaterial may also harm Company's business. If any of these risks occur, business, growth prospects, operating results and financial condition could be materially and adversely affected, the trading price of the Company's common stock could decline, and investors could lose part or all of their investment.</w:t>
      </w:r>
    </w:p>
    <w:p>
      <w:pPr>
        <w:pStyle w:val="TextBody"/>
        <w:bidi w:val="0"/>
        <w:spacing w:before="120" w:after="283"/>
        <w:jc w:val="left"/>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factors summarized below could materially and adversely affect our business, financial condition, operating results and prospects, and/or cause the price of our common stock to decline. These risks are discussed more fully below. Material risks that may affect our business, financial condition, results of operations, and trading price of our common stock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limited operating history, have incurred net losses in every year since our inception, and expect to continue to incur net losses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We have limited experience in therapeutic discovery and development and our GEODe</w:t>
      </w:r>
      <w:r>
        <w:rPr>
          <w:rFonts w:ascii="Times New Roman" w:hAnsi="Times New Roman"/>
          <w:color w:val="000000"/>
          <w:sz w:val="10"/>
        </w:rPr>
        <w:t></w:t>
      </w:r>
      <w:r>
        <w:rPr>
          <w:color w:val="000000"/>
        </w:rPr>
        <w:t xml:space="preserve"> </w:t>
      </w:r>
      <w:r>
        <w:rPr>
          <w:rFonts w:ascii="Times New Roman" w:hAnsi="Times New Roman"/>
          <w:color w:val="000000"/>
          <w:sz w:val="20"/>
        </w:rPr>
        <w:t xml:space="preserve">platform may never result in the regulatory approval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our product candidates are in discovery,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clinical trials may fail to demonstrate substantial evidence of the safety, efficacy, purity and potency of our product candidates or any future product candidates, which would prevent or delay or limit the scope of regulatory approval and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successfully commercialize any product candidate for which we receive regulatory approval, or experience significant delays in doing so, our business will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protect our intellectual property. It is difficult and costly to protect our proprietary rights and technology, and we may not be able to ensure their protection.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intellectual property licensed from third parties and termination of any of these licenses could result in the loss of significant rights, which would harm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expect to rely in the future on the use of manufacturing suites in third-party facilities or on third parties to manufacture TX45 and any other product candidates, and we may rely on third parties to produce and process our products,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could be adversely affected if we are unable to use third-party manufacturing suites or if the third-party manufacturers encounter difficulties in production.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from other biotechnology and pharmaceutical companies, and our operating results will suffer if we fail to compete effectively.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is expected to be volatile, and the market price of the common stock may drop.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attract and retain management and other key personnel, we may be unable to continue to successfully develop or commercialize our product candidates or otherwise implement our business plan.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Financial Position and Cash Needs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a limited operating history and have incurred net losses in every year since our inception. We expect to continue to incur net losses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biotechnology company with a limited operating history. Since our inception in 2019, we have invested most of our resources in organizing and staffing our company, developing our technology and product candidates, building our intellectual property portfolio, conducting business planning, raising capital and providing general and administrative support for these operations. We also completed the Merger in June 2024 and have been operating under this structure for only a short time.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continue to incur significant research and clinical development and other expenses related to our ongoing operations. As a result, we are not profitable and have incurred losses in each period since our inception. For the three months ended March 31, 2025 and 2024, we reported a net loss of $15.9 million and $15.2 million, respectively. As of March 31, 2025, we had an accumulated deficit of $164.5 million. We expect to continue to incur significant losses for the foreseeable future, and expect these losses to increase as we continue our research and development of, and seek regulatory approvals for, our lead product candidate, TX45, along with any future product candidates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the research and development of our clinical- and preclinical-stage product candidates and discovery-stage programs, including the continued development of our lead product candidate TX45;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 the amount of research and development activities to identify and develop product candidates using our proprietary discovery approach;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milestone, royalty or other payments under in-license or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 our operational, financial and management systems and increase personnel, including personnel to support our clinical development, manufacturing and commercialization efforts and our operations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sales, marketing, medical affairs and distribution infrastructure to commercialize any products for which we may obtain marketing approval and intend to commercialize on our own or jointly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 in or in-license other technologies;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any delays or encounter any issues with any of the above, including but not limited to failed studies, complex results, manufacturing challenges, safety issues or other regulatory challenges.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producing biologics with contract manufacturing development organizations (“CDMOs”) in the United States and in other countries,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financed our operations primarily through the sale and issuance of common stock, convertible preferred stock, convertible promissory notes and the issuance of SAFEs. We expect our expenses to increase in connection with our ongoing activities, particularly as we continue our Phase 1b and Phase 2 clinical trials of TX45, pursue manufacturing activities for our HHT product candidate, TX2100, and initiate health authority and/or IND enabling safety studies and continue to research, develop and initiate clinical trials of any other future product candidates. In addition, if we successfully complete development through Phase 3 and obtain regulatory approval for any of our product candidates,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we had $306.2 million in cash and cash equivalents. Although we believe that our available cash and cash equivalents will be sufficient to fund our planned operations for at least 12 months following the date of our consolidated financial statements included in this Quarterly Report, this belief is based on assumptions that may prove to be wrong, and we could use our available capital resources sooner than we currently expect.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capital requirements for TX45 or our preclinical programs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timing and completion of preclinical studies and clinical trials for our current or any future product candidates, as well as the associated costs, including any unforeseen costs we may incur as a result of preclinical study or clinical trial delays due to disease outbreaks, epidemics and pandemics or other causes;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amount of milestone and royalty payments we are required to make or are eligible to receive under our license agreements with Harvard and other license agreements, as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potential new product candidates we identify and decide to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for additional or expanded pre-clinical studies and clinical trials beyond those that we plan to conduct with respect to our current and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growing the organization to the size needed to allow for the research, development and potential commercialization of our current or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filing patent applications, maintaining and enforcing patents or defending against infringement or other claims raised by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maintenance of our existing license and collaboration agreements and the entry into new license and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and costs involved in obtaining regulatory approval for our product candidates and any delays we may encounter as a result of evolving regulatory requirements or adverse results with respect to any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 of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completion of commercial-scale outsourced manufacturing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establishing sales, marketing and distribution capabilities for any product candidates for which we may receive regulatory approval in regions where we choose to commercialize our products on our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revenues, if any, we may derive either directly or in the form of royalty payments from future sales of our product candidates, if approved;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acceptance of any approved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or royalty financings, collaborations, strategic alliances, licensing arrangements and other marketing or distribution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additional funds will depend on financial, economic and market conditions and other factors, over which we may have no or limited control. Market volatility resulting from geopolitical and economic instability, including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conflicts between Russia and Ukraine and in the Middle East, current international trade and regulatory environment uncertainty or other factors could also adversely impact our ability to access capital as and when needed.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w:t>
      </w:r>
    </w:p>
    <w:p>
      <w:pPr>
        <w:pStyle w:val="TextBody"/>
        <w:bidi w:val="0"/>
        <w:spacing w:before="240" w:after="283"/>
        <w:jc w:val="left"/>
        <w:rPr>
          <w:rFonts w:ascii="Times New Roman" w:hAnsi="Times New Roman"/>
          <w:sz w:val="20"/>
        </w:rPr>
      </w:pPr>
      <w:r>
        <w:rPr>
          <w:rFonts w:ascii="Times New Roman" w:hAnsi="Times New Roman"/>
          <w:b/>
          <w:i/>
          <w:color w:val="000000"/>
          <w:sz w:val="20"/>
        </w:rPr>
        <w:t>Raising additional capital will cause dilution to our stockholders, and may restrict our operations, or require us to relinquish rights to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expect to finance our cash needs through equity, debt or royalty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the ownership interest of our current stockholders will be diluted, and the terms of these securities may include liquidation or other preferences. Debt and equity financings, if available, may involve agreements that include covenants limiting or restricting our ability to take specific actions, such as redeeming shares, making investments, incurring additional debt, making capital expenditures, declaring dividends or placing limitations on our ability to acquire, sell or license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the Discovery, Development and Regulatory Approval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limited experience in therapeutic discovery and development and our GEODe</w:t>
      </w:r>
      <w:r>
        <w:rPr>
          <w:rFonts w:ascii="Times New Roman" w:hAnsi="Times New Roman"/>
          <w:b/>
          <w:i/>
          <w:color w:val="000000"/>
          <w:sz w:val="10"/>
        </w:rPr>
        <w:t xml:space="preserve"> </w:t>
      </w:r>
      <w:r>
        <w:rPr>
          <w:rFonts w:ascii="Times New Roman" w:hAnsi="Times New Roman"/>
          <w:b/>
          <w:i/>
          <w:color w:val="000000"/>
          <w:sz w:val="20"/>
        </w:rPr>
        <w:t>platform may never result in the regulatory approval of a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Notwithstanding the prior experience of individuals on our management team in drug discovery and development, we are still a relatively young organization that has not yet completed the full cycle of activities from discovery through regulatory approval for any of our portfolio projects. Our GEODe</w:t>
      </w:r>
      <w:r>
        <w:rPr>
          <w:rFonts w:ascii="Times New Roman" w:hAnsi="Times New Roman"/>
          <w:color w:val="000000"/>
          <w:sz w:val="10"/>
        </w:rPr>
        <w:t></w:t>
      </w:r>
      <w:r>
        <w:rPr>
          <w:rFonts w:ascii="Times New Roman" w:hAnsi="Times New Roman"/>
          <w:color w:val="000000"/>
          <w:sz w:val="20"/>
        </w:rPr>
        <w:t xml:space="preserve"> discovery platform has been the focus of technology development efforts over the last four years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very early in our development efforts. If we are unable to advance TX45 or any of our other product candidates through clinical development, obtain regulatory approval and ultimately commercialize TX45 or any of our other product candidates,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approved for sale and our lead product candidate, TX45, will require clinical development, regulatory review and approval in each jurisdiction in which we intend to market it, access to sufficient commercial manufacturing capacity, and significant sales and marketing efforts before we can generate any revenue from product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TX45 is still in a Phase 1b clinical trial and recently initiated a Phase 2 clinical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product revenues, which we do not expect will occur in the foreseeable future, if ever, will depend heavily on the successful development and eventual commercialization of TX45, TX2100, and any future product candidates we develop, which may never occur. TX45 and any future product candidates we develop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sales. The success of our current and future product candidates will depend on several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and timely completion of preclinical studies and clinical trials for which the FDA, or any comparable foreign regulatory authority agree with the design, endpoints or implementation;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sufficiency of our financial and other resources to complete the necessary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receiving regulatory approvals or authorizations for conducting our planned clinical trials or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and successful patient enrollment in, and completion of, additional clinical trials on a timely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demonstrate to the satisfaction of the FDA or any comparable foreign regulatory authority that the applicable product candidate is safe, pure, and potent for its targeted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demonstrate to the satisfaction of the FDA or any comparable foreign regulatory authority that the applicable product candidate’s risk-benefit ratio for its proposed indication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receipt of marketing approvals for our product candidates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required post-marketing approval commitments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scaling up, either alone or with third-party manufacturers, manufacturing capabilities of clinical supply for our clinical trials and commercial manufacturing, if any of our product candidates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proprietary information protection or regulatory exclusivity for our product candidates, both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scaling a sales and marketing organization and launching commercial sales of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our product candidates’ benefits and uses, if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our product candidates following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companies developing and commercializing other therapies in the indications which our product candidates target;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healthcare coverage and adequate reimbursement from third-party payors;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and defending intellectual property rights and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successful with respect to one or more of these factors in a timely manner or at all, we could experience significant delays or an inability to successfully commercialize TX45 or any future product candidates we develop, which would materially harm our business. If we do not receive marketing approvals for our current and future product candidates, we may not be able to continue our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All of our product candidates are in discovery, preclinical or Phase 1 and Phase 2 clinical trials.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completed only one clinical trial (Phase 1a trial in normal healthy volunteer with TX45) required for the approval of any of our product candidates. Part A of our TX45 Phase1b trial in patients with Group 2 PH and HFpEF is complete and we are currently conducting a Part B trial in Group 2 PH patients with HFrEF. We are enrolling a TX45 Phase 2 clinical trial in Group 2 PH patients with HFpEF, and we may experience delays in our ongoing clinical trials or preclinical studies. Additionally, we do not know whether planned clinical trials will begin on time, need to be redesigned, enroll patients on time, have sufficient drug supply for our product candidates on a timely basis or be completed on schedule, if at all. Furthermore, our product candidate TX2100 is still in preclinical studies and the full results of such studies are not yet known. A failure of one or more clinical trials can occur at any stage of testing, and our ongoing and future clinical trials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be successful. We also may experience numerous unforeseen events during our clinical trials that could delay or prevent our ability to receive marketing approval or commercialize TX45 or any future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obtain regulatory authorizations to commence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as to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reach agreement on acceptable terms with prospective CROs and clinical trial sites, the terms of which can be subject to extensive negotiation and may vary significantly among different CROs and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obtain institutional review board (“IRB”) approval at each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failure to recruit a sufficient number of suitable patients to participate in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have patients complete a trial or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adding new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manufacture sufficient quantities of our product candidates for use in clinical trials in a timely manner;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adverse events associated with the product candidate that are viewed to outweigh its potential benefits, such as complications with pharmacokinetic behaviors, or safety or tolerability concerns that could cause us or our collaborators, as applicable, to suspend or terminate a trial if we or our collaborators find that the participants are being exposed to unacceptable health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perform clinical trials in accordance with the FDA’s or any other regulatory authority’s good clinical practices (“GCP”) requirements, or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demonstrate to the satisfaction of the FDA or any comparable foreign regulatory authority that the applicable product candidate’s risk-benefit ratio for its proposed indication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policies and guidelines;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 third-party research contractors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establishing the appropriate dosage levels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quality or stability of our product candidates falling below acceptable standards;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could also encounter delays if a clinical trial is suspended or terminated by us, the IRBs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clinical trials may fail to demonstrate substantial evidence of the safety, efficacy, purity and potency of our product candidates or any future product candidates, which would prevent or delay or limit the scope of regulatory approval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the requisite regulatory approvals to market and sell any of our product candidates, including TX45 and any other future product candidates, we must demonstrate through extensive preclinical studies and clinical trials that our biologic products, including TX45, are safe and effective for use in each targeted indication.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 trials are successfully completed, clinical data are often susceptible to varying interpretations and analyses or may not provide a sufficient risk-benefit ratio, and we cannot guarantee that the FDA or comparable foreign regulatory authorities will interpret the results as we do or find a risk-benefit ratio for a proposed indication acceptable, and more trials could be required before 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our commercial potential. </w:t>
      </w:r>
    </w:p>
    <w:p>
      <w:pPr>
        <w:pStyle w:val="TextBody"/>
        <w:bidi w:val="0"/>
        <w:spacing w:before="240" w:after="283"/>
        <w:jc w:val="left"/>
        <w:rPr>
          <w:rFonts w:ascii="Times New Roman" w:hAnsi="Times New Roman"/>
          <w:sz w:val="20"/>
        </w:rPr>
      </w:pPr>
      <w:r>
        <w:rPr>
          <w:rFonts w:ascii="Times New Roman" w:hAnsi="Times New Roman"/>
          <w:b/>
          <w:i/>
          <w:color w:val="000000"/>
          <w:sz w:val="20"/>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nonclinical, preclinical and early-stage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Any such setbacks in our clinical development could have a material adverse effect on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While our lead product candidate, TX45, has been generally well tolerated in its preclinical studies, the Phase 1a healthy volunteer trial and our Phase 1b study in patients with Group 2 PH to date, the results from future preclinical studies and clinical trials, including of our other product candidates, may identify safety concerns or other undesirable properties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of our ongoing Phase 1b clinical trial of TX45, the recently initiated Phase 2 clinical trial of TX45,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adverse developments in clinical trials of pharmaceutical and biopharmaceutical products conducted by others may cause the FDA or other regulatory oversight bodies to suspend or terminate our clinical trials or to change the requirements for approval of any of our product candidates. For example, immunogenicity is a concern for all protein therapeutics in human clinical trials, and immunogenic reactions in patients in our trials may lead to adverse effects and/or impact exposure, which in turn may lead to protocol amendments, clinical holds, or other actions that delay or significantly impact the prospects for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any of our product candidates receive marketing approval and we or others later identify undesirable or unacceptable side effects caused by such products,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approvals of such product and require us to take such approved product off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specific warnings, a contraindication or field alerts to physicians and pharmacies;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 medication guide outlining the risks of such side effects for distribution to patients, or that we implement a risk evaluation and mitigation strategy (“REMS”) plan to ensure that the benefits of the product outweigh its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conduct additional clinical trials or change the labeling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limitations on how we may promote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the product may decrease significantly;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litigation or product liability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find it difficult to enroll patients in our clinical trials, which could delay or prevent us from proceeding with, or otherwise adversely affect, clinical trials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and qualifying patients to participate in clinical trials of our product candidates is critical to our success. The timely completion of our clinical trials in accordance with our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our product candidates, delays in testing the effectiveness of our product candidates or termination of the clinical trials altogether. We may not be able to identify, recruit and enroll a sufficient number of patients, or those with the required or desired characteristics, to complete our clinical trials in a timely manner. Patient enrollment and trial completion is affected by many factors, including the: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location of trial sites in Eastern Europe for the Phase 1b and Phase II trials with their proximity to the conflict between Russia and the Ukraine;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obtaining, or the inability to obtain, required approvals from institutional review boards (“IRBs”) and ethics committees or other governing entities at clinical trial sites selected for participation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agreement on acceptable terms with clinical trial sites on clinical budgets and/or clinical trial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deviations from the trial protocol by clinical trial sites and investigators, or failures to conduct the trial in accordance with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and nature of the patient population and process for identifying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and availability of clinical trial sites for prospective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and exclusion criteria for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 of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safety profile, to date,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our approach;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of competing product candidates currently under investigation for the treatment of similar diseases or conditions, or competing clinical trials for similar product candidates or targeting patient populations meeting our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degree of progression of the patient’s disease at the time of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obtain and maintain patient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that enrolled patients will drop out before completion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adequately monitor patients during and after treatment.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patient enrollment may result in increased costs or may affect the timing or outcome of our future clinical trials, which could prevent completion of these trials and adversely affect our ability to advance the development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if any,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we can commence clinical trials for any product candidate, we must complete extensive preclinical studies that support any future Investigational New Drug (“IND”) applications in the United States, or similar applications in other jurisdictions. In July 2024, we received clearance from the FDA for our IND application for our TX45 program. Conducting preclinical testing is a lengthy, time-consuming and expensive process and delays associated with product candidates for which we are directly conducting preclinical testing and studies may cause us to incur additional operating expenses. While we are currently conducting a Phase 1b and the recently initiated Phase 2 clinical trials for TX45, including some trials which may be outside of the United States, we cannot be certain of the timely completion or outcome of our preclinical testing and studies for our other product candidates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on the timelines we expect, if at all, and we cannot be sure that submission of INDs or similar applications will result in the FDA or comparable foreign regulatory authorities allowing clinical trials to begin.</w:t>
      </w:r>
    </w:p>
    <w:p>
      <w:pPr>
        <w:pStyle w:val="TextBody"/>
        <w:bidi w:val="0"/>
        <w:spacing w:before="240" w:after="283"/>
        <w:jc w:val="left"/>
        <w:rPr>
          <w:rFonts w:ascii="Times New Roman" w:hAnsi="Times New Roman"/>
          <w:sz w:val="20"/>
        </w:rPr>
      </w:pPr>
      <w:r>
        <w:rPr>
          <w:rFonts w:ascii="Times New Roman" w:hAnsi="Times New Roman"/>
          <w:b/>
          <w:i/>
          <w:color w:val="000000"/>
          <w:sz w:val="20"/>
        </w:rPr>
        <w:t>The regulatory approval processes of the FDA and comparable foreign regulatory authorities are lengthy, time consuming and inherently unpredictable, and if we are ultimately unable to obtain regulatory approval for our product candidates,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or comparable foreign regulatory authorities that a product candidate is safe, pure and potent for its proposed indication;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may not be sufficiently broad or representative to assure safety or efficacy in the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clinical significance required by the FDA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require additional preclinical studies or clinical trials beyond those that we currently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Biologics License Application (“BLA”) as applicable, to the FDA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any comparable foreign regulatory authorities or the laws they enforce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or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The FDA and any comparable foreign regulatory authorities may not accept data from trials conducted in locations outside of their jurisdiction.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presently conducting clinical development in the United States, Eastern Europe, the European Union, Australia, and New Zealand and will likely choose to conduct additional international clinical trials in the future. The acceptance of study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they will be subject to ongoing regulatory requirements for manufacturing, labeling, packaging, storage, advertising, promotion, sampling, record-keeping, conduct of post-marketing studies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of safety, efficacy and other post-market information, including both federal and state requirements in the United States and requirements of comparable foreign regulatory authorities. In addition, we will be subject to continued compliance with CGMPs and GCP requirements for any clinical trials that we conduct post-approval.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our products, withdrawal of the product from the market or voluntary or mandatory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to approve pending applications or supplements to approved applications filed by us or suspension or revocation of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 of a BLA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policies of the FDA and of comparable foreign regulatory authorities may change and additional government regulations may be enacted that could prevent, limit or delay regulatory approval of our product candidates. We cannot predict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240" w:after="283"/>
        <w:jc w:val="left"/>
        <w:rPr>
          <w:rFonts w:ascii="Times New Roman" w:hAnsi="Times New Roman"/>
          <w:sz w:val="20"/>
        </w:rPr>
      </w:pPr>
      <w:r>
        <w:rPr>
          <w:rFonts w:ascii="Times New Roman" w:hAnsi="Times New Roman"/>
          <w:b/>
          <w:i/>
          <w:color w:val="000000"/>
          <w:sz w:val="20"/>
        </w:rPr>
        <w:t>If approved, our investigational products may face competition from biosimilars approved through an abbreviated regulatory pathway.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developing TX45 initially for the treatment of Group 2 Pulmonary Hypertension (“PH”) in HFpEF, which we anticipate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competitors are able to obtain marketing approval for biosimilars referencing our products, our products may become subject to competition from such biosimilars, with the attendant competitive pressure and consequences.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exposed to costly and damaging liability claims, either when testing our product candidates in the clinic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biotechnology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our products due to negative public perception;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or difficulties in recruiting new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or settle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revenues from product sales;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of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 events described above occur, this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Due to our limited resources and access to capital, we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biotechnology industry, in particular for our lead product candidate, TX45, TX2100, our business, financial condition and results of operations could be materially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seek orphan drug designation for product candidates we develop,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our business strategy, we may seek orphan drug designation for any product candidates we develop, and we may be unsuccessful. While we have not made a determination on whether we intend to seek orphan drug designation for any of our product candidates at this time, we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Commercialization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successfully commercialize any product candidate for which we receive regulatory approval,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successful in obtaining marketing approval from applicable regulatory authorities for TX45 or any other product candidate, our ability to generate revenues from any such products will depend on our success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commercial sales of such products,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receiving approved labels with claims that are necessary or desirable for successful marketing, and that do not contain safety or other limitations that would impede our ability to market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creating market demand for such products through marketing, sales and promotion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hiring, training, and deploying a sales force or contracting with third parties to commercialize such products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creating strategic collaborations with, or offering licenses to, third parties to promote and sell such products in foreign markets where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such products (i) in sufficient quantities, (ii) at acceptable quality and cost and (iii) in a presentation that is practical and compatible with the intended clinical use to meet commercial demand at launch and thereafter;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agreements with wholesalers, distributors, and group purchasing organizations on commercially reasonable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patent and trade secret protection and regulatory exclusivity for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market acceptance of such products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coverage and adequate reimbursement from third-party payors for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willingness to pay out-of-pocket in the absence of such coverage and adequate reimbursement from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such products following launch.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we are not able to do any of the foregoing, our business, financial condition, results of operations, stock price and prospects will be materially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significant competition from other biotechnology and pharmaceutical companies, and our operating results will suffer if we fail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biotechnology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compete in the segments of the biotechnology, pharmaceutical and other related industries that develop and market therapies for the treatment of Group 2 PH with HFpEF and Hereditary Hemorrhagic Telangiectasia (“HHT”) disorders. Although there are no other companies who have commercialized therapies for the same therapeutic areas that our product candidates target, there are many other companies, including large biotechnology and pharmaceutical companies, that are developing therapies for the same therapeutic areas. For example, AstraZeneca and Tenax Therapeutics for the treatment of Group 2 PH and Diagonal Therapeutics and Vaderis Therapeutics for the treatment of HHT. In addition, in January 2025, Eli Lilly terminated its Phase 2 trial of volenrelaxin, which has affected investor perception of relaxin product candidates in 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do not have a sales or marketing infrastructure and have no experience in the sale or marketing of biotechnology products. To achieve commercial success for any approved product, we must develop or acquire a sales and marketing organization, outsource these functions to third parties or enter into strategic 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effectively or to market our products effectively since we have no experience in the sales and marketing of biotechnology products. In addition, recruiting and training a sales force is expensive and time-consuming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train and retain adequate numbers of effective sales and marketing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or educate adequate numbers of physicians on the benefits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sales and marketing organization;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marketing and promotion above those anticipated by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a product candidate we develop receives marketing approval, it may fail to achieve the degree of market acceptance by physicians, patients, third-party payors and others in the medical community necessary for commercial success. The revenues that we generate from our sales may be limited, and we may never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commercialized a product candidate for any indication. Even if our product candidates are approved by the appropriate regulatory authorities for marketing and sale, they may not gain acceptance among physicians, patients,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our product candidates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physicians, hospitals and patients considering our product candidates as a safe and effective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our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or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labeling approved by the FDA or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our product candidates in relation to other potentially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our product candidates in relation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upfront costs or training required for physicians to administer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coverage and adequate reimbursement from third-party payors and government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patients to pay out-of-pocket in the absence of comprehensive coverage and reimbursement by third-party payors and government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relative convenience and ease of administration, including as compared to alternative treatments and competitive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sales and marketing efforts and distribution support;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presence or perceived risk of potential product liability claims. </w:t>
      </w:r>
    </w:p>
    <w:p>
      <w:pPr>
        <w:pStyle w:val="TextBody"/>
        <w:bidi w:val="0"/>
        <w:spacing w:before="240" w:after="283"/>
        <w:jc w:val="left"/>
        <w:rPr>
          <w:rFonts w:ascii="Times New Roman" w:hAnsi="Times New Roman"/>
          <w:sz w:val="20"/>
        </w:rPr>
      </w:pPr>
      <w:r>
        <w:rPr>
          <w:rFonts w:ascii="Times New Roman" w:hAnsi="Times New Roman"/>
          <w:b/>
          <w:i/>
          <w:color w:val="000000"/>
          <w:sz w:val="20"/>
        </w:rPr>
        <w:t>Healthcare reform may negatively impact our ability to profitably sell TX45 and any potential future product candidates, if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or any potential future product candidates, restrict or regulate post-approval activities and affect our ability to profitably sell any product for which we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and amendments to certain aspects of the ACA.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on August 16, 2022, the Inflation Reduction Act (the “IRA”), was signed into law, which among other things, (1) directs the Department of Health and Human Services (the “HHS”), to negotiate the price of certain high expenditure, single-source biologics that have been on the market for 11 years covered under Medicare (the “Medicare Drug Price Negotiation Program”) and (2) imposes rebates under Medicare Part B and Medicare Part D to penalize price increases that outpace inflation. The IRA includes certain exemptions to the price negotiation program, including a limited exemption for products with orphan drug designation. This exemption applies only to products with one orphan drug designation that is (i) for a rare disease or condition and (ii) is approved for indication(s) for such rare disease or condition. By limiting price negotiation exemption to products with only one orphan drug designation, the IRA may decrease our interest in pursuing orphan drug designation for our product candidates in multiple indications. The IRA also, among other things, extends enhanced subsidies for individuals purchasing health insurance coverage in ACA marketplaces through plan year 2025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eliminates the “donut hole” under the Medicare Part D program beginning in 2025 by significantly lowering the beneficiary maximum out-of-pocket cost through a newly established manufacturer discount program. These provisions began to take effect progressively in fiscal year 2023. On August 15, 2024, HHS announced the agreed-upon reimbursement prices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The IRA permits HHS to implement many of these provisions through guidance, as opposed to regulation, for the initial years. HHS has and will continue to issue and update guidance as these programs are implemented. It is possible that the ACA and IRA may be subject to judicial or Congressional challenges in the future. It is unclear how any additional healthcare reform measures of the second Trump administration may impact the ACA or IRA, increase the pressure on drug pricing or limit the availability of coverage and adequate reimbursement for TX45 and any potential future product candidates, which would adversely affect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w:t>
      </w:r>
    </w:p>
    <w:p>
      <w:pPr>
        <w:pStyle w:val="TextBody"/>
        <w:bidi w:val="0"/>
        <w:spacing w:before="120" w:after="283"/>
        <w:jc w:val="left"/>
        <w:rPr>
          <w:rFonts w:ascii="Times New Roman" w:hAnsi="Times New Roman"/>
          <w:sz w:val="20"/>
        </w:rPr>
      </w:pPr>
      <w:r>
        <w:rPr>
          <w:rFonts w:ascii="Times New Roman" w:hAnsi="Times New Roman"/>
          <w:color w:val="000000"/>
          <w:sz w:val="20"/>
        </w:rPr>
        <w:t>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include, for example, directives to reduce agency workforce, program cuts, rescinding a Biden administration executive order tasking the Center for Medicare and Medicaid Innovation (“CMMI”) to consider new payment and healthcare models to limit drug spending and eliminating the Biden administration’s executive order that directed HHS to establishing an AI task force and developing a strategic plan</w:t>
      </w:r>
      <w:r>
        <w:rPr>
          <w:rFonts w:ascii="Times New Roman" w:hAnsi="Times New Roman"/>
          <w:color w:val="000000"/>
          <w:sz w:val="20"/>
          <w:u w:val="single"/>
        </w:rPr>
        <w:t>,</w:t>
      </w:r>
      <w:r>
        <w:rPr>
          <w:rFonts w:ascii="Times New Roman" w:hAnsi="Times New Roman"/>
          <w:color w:val="000000"/>
          <w:sz w:val="20"/>
        </w:rPr>
        <w:t xml:space="preserve"> directing HHS and other agencies to lower prescription drug costs for Medicare through a variety of initiatives, including by improving upon the Medicare Drug Price Negotiation Program, and directing certain federal agencies to enforce existing law regarding hospital and plan price transparency and by standardizing prices across hospitals and health plans.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reforms could have an adverse effect on anticipated revenue from TX45 and any potential future product candidates that we may successfully develop and for which we may obtain regulatory approval and may affect our overall financial condition and ability to develop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countries implement health technology assessment (“HTA”), procedures that use formal economic metrics such as cost-effectiveness to determine prices, coverage and reimbursement of new therapies. These assessments are increasingly implemented in established and emerging markets. In the EU, Regulation (EU) 2021/2282 on Health Technology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Assessment, which will become effective on January 12, 2025, will allow EU member states to use common HTA tools, methodologies and procedures to conduct joint clinical assessments and joint scientific consultations whereby HTA authorities may provide advice to health technology developers. Each EU member state will, however, remain exclusively competent for assessing the relative effectiveness of health technologies and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 products in the EU could be negatively affected. Moreover, in order to obtain reimbursement for our products in some EU member states, we may be required to compile additional data comparing the cost-effectiveness of our products to other available therapies. Efforts to generate additional data for the HTA process will involve additional expenses which may substantially increase the cost of commercializing and marketing our products in certain EU member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w:t>
      </w:r>
    </w:p>
    <w:p>
      <w:pPr>
        <w:pStyle w:val="TextBody"/>
        <w:bidi w:val="0"/>
        <w:spacing w:before="240" w:after="283"/>
        <w:jc w:val="left"/>
        <w:rPr>
          <w:rFonts w:ascii="Times New Roman" w:hAnsi="Times New Roman"/>
          <w:sz w:val="20"/>
        </w:rPr>
      </w:pPr>
      <w:r>
        <w:rPr>
          <w:rFonts w:ascii="Times New Roman" w:hAnsi="Times New Roman"/>
          <w:b/>
          <w:i/>
          <w:color w:val="000000"/>
          <w:sz w:val="20"/>
        </w:rPr>
        <w:t>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at the FDA and other agencies (including layoffs) may also slow the time necessary for new product candidates to be reviewed and/or approved by necessary government agencies, which would adversely affect our business. For example, many staff members from the FDA and other agencies have recently been laid off. If a prolonged government shutdown or disruption occurs, it could significantly impact the ability of the FDA to timely review and process our regulatory submissions, which could have a material adverse effect on our business. Further, future government shutdowns and/or disruptions could impact our ability to access the public markets and obtain necessary capital in order to properly capitalize and continue our operation. </w:t>
      </w:r>
    </w:p>
    <w:p>
      <w:pPr>
        <w:pStyle w:val="TextBody"/>
        <w:bidi w:val="0"/>
        <w:spacing w:before="240" w:after="283"/>
        <w:jc w:val="left"/>
        <w:rPr>
          <w:rFonts w:ascii="Times New Roman" w:hAnsi="Times New Roman"/>
          <w:sz w:val="20"/>
        </w:rPr>
      </w:pPr>
      <w:r>
        <w:rPr>
          <w:rFonts w:ascii="Times New Roman" w:hAnsi="Times New Roman"/>
          <w:b/>
          <w:i/>
          <w:color w:val="000000"/>
          <w:sz w:val="20"/>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government may assert that a claim including items or services resulting from a violation of the federal Anti-Kickback Statute constitutes a false or fraudulent claim for purposes of the federal False Claims Act (the “FCA”) or federal civil monetary penalties;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federal consumer protection and unfair competition laws, which broadly regulate marketplace activities and activities that potentially harm consumers; and state and foreign laws that govern the privacy and security and other processing of health information in certain circumstances, many of which differ from each other in significant ways and often are not preempted by HIPAA,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 entity may be subject to criminal, civil or administrative sanctions, including exclusions from government funded healthcare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could be materially and adversely affected in the future by political unrest in China.</w:t>
      </w:r>
    </w:p>
    <w:p>
      <w:pPr>
        <w:pStyle w:val="TextBody"/>
        <w:bidi w:val="0"/>
        <w:spacing w:before="120" w:after="283"/>
        <w:jc w:val="left"/>
        <w:rPr>
          <w:rFonts w:ascii="Times New Roman" w:hAnsi="Times New Roman"/>
          <w:sz w:val="20"/>
        </w:rPr>
      </w:pPr>
      <w:r>
        <w:rPr>
          <w:rFonts w:ascii="Times New Roman" w:hAnsi="Times New Roman"/>
          <w:color w:val="000000"/>
          <w:sz w:val="20"/>
        </w:rPr>
        <w:t>We are exposed to the possibility of product supply disruption and increased costs in the event of changes in the policies, laws, rules and regulations of the United States or Chinese governments, as well as political unrest or unstable economic conditions in China</w:t>
      </w:r>
      <w:r>
        <w:rPr>
          <w:rFonts w:ascii="Times New Roman" w:hAnsi="Times New Roman"/>
          <w:color w:val="000000"/>
          <w:sz w:val="20"/>
          <w:u w:val="single"/>
        </w:rPr>
        <w:t xml:space="preserve">, </w:t>
      </w:r>
      <w:r>
        <w:rPr>
          <w:rFonts w:ascii="Times New Roman" w:hAnsi="Times New Roman"/>
          <w:color w:val="000000"/>
          <w:sz w:val="20"/>
        </w:rPr>
        <w:t>because our key manufacturer and supplier for TX45 is located in China. For example, trade tensions between the United States and China have been escalating in recent years. The U.S. government has indicated its intent to adopt a new approach to trade policy and in some cases to renegotiate, or potentially terminate, certain existing bilateral or multi-lateral trade agreements. For example, in April 2025, the U.S. government announced a new universal baseline tariff of 10%, plus additional country-specific tariffs for select trading partners, on all U.S. imports. The ultimate impact of any tariffs will depend on various factors, including how long such tariffs remain in place, the ultimate levels and application of such tariffs and the extent to which other countries impose retaliatory tariffs. In addition, these newly proposed and imposed tariffs have resulted in threatened and actual retaliatory tariffs against U.S. goods. Our components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 may not continue to provide us with battery components in our required quantities, to our required specifications and quality levels or at attractive prices. In addition, certain Chinese biotechnology companies and CDMOs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House of Representatives of the prior Congress (the 118</w:t>
      </w:r>
      <w:r>
        <w:rPr>
          <w:rFonts w:ascii="Times New Roman" w:hAnsi="Times New Roman"/>
          <w:color w:val="000000"/>
          <w:sz w:val="13"/>
        </w:rPr>
        <w:t>th</w:t>
      </w:r>
      <w:r>
        <w:rPr>
          <w:rFonts w:ascii="Times New Roman" w:hAnsi="Times New Roman"/>
          <w:color w:val="000000"/>
          <w:sz w:val="20"/>
        </w:rPr>
        <w:t>Congress) passed the BIOSECURE Act, which proposed targeting U.S. government contracts, grants, and loans for entities that use biotechnology equipment or services from certain named Chinese biotechnology companies, and potentially additional Chinese biotechnology companies designated in the future. The language of the proposed BIOSECURE Act would, among other things, prohibit U.S. federal agencies from entering into or renewing any contract with any entity that uses biotechnology equipment or services produced or provided by a “biotechnology company of concern.” The version of the bill passed by the prior House of Representatives included a grandfathering provision allowing biotechnology equipment and services provided or produced by named biotechnology companies of concern under a contract or agreement entered into before the effective date until January 1, 2032. The BIOSECURE Act did not become law in the 118</w:t>
      </w:r>
      <w:r>
        <w:rPr>
          <w:rFonts w:ascii="Times New Roman" w:hAnsi="Times New Roman"/>
          <w:color w:val="000000"/>
          <w:sz w:val="13"/>
        </w:rPr>
        <w:t>th</w:t>
      </w:r>
      <w:r>
        <w:rPr>
          <w:rFonts w:ascii="Times New Roman" w:hAnsi="Times New Roman"/>
          <w:color w:val="000000"/>
          <w:sz w:val="20"/>
        </w:rPr>
        <w:t xml:space="preserve"> Congress. It is unclear whether the current Congress (the 119</w:t>
      </w:r>
      <w:r>
        <w:rPr>
          <w:rFonts w:ascii="Times New Roman" w:hAnsi="Times New Roman"/>
          <w:color w:val="000000"/>
          <w:sz w:val="13"/>
        </w:rPr>
        <w:t>th</w:t>
      </w:r>
      <w:r>
        <w:rPr>
          <w:rFonts w:ascii="Times New Roman" w:hAnsi="Times New Roman"/>
          <w:color w:val="000000"/>
          <w:sz w:val="20"/>
        </w:rPr>
        <w:t xml:space="preserve"> Congress) will introduce the BIOSECURE Act or similar legislation in this congressional session and, if so, how the scope, prohibitions, or designated biotechnology companies of concern may differ from the version of the BIOSECURE Act passed by the House in the prior 118</w:t>
      </w:r>
      <w:r>
        <w:rPr>
          <w:rFonts w:ascii="Times New Roman" w:hAnsi="Times New Roman"/>
          <w:color w:val="000000"/>
          <w:sz w:val="13"/>
        </w:rPr>
        <w:t>th</w:t>
      </w:r>
      <w:r>
        <w:rPr>
          <w:rFonts w:ascii="Times New Roman" w:hAnsi="Times New Roman"/>
          <w:color w:val="000000"/>
          <w:sz w:val="20"/>
        </w:rPr>
        <w:t xml:space="preserve"> Congress. If these bills become law, or similar laws are passed, they could severely restrict the ability of companies to work with certain Chinese biotechnology companies of concern without losing the ability to contract with, or otherwise receive funding from, the U.S. government. Such disruption could have adverse effects on the development of our product candidates and our business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several of our suppliers are located outside of the United States. For example, WuXi Biologics manufactured TX45 for use in our Phase 1a, Phase 1b and the recently initiated Phase 2 clinical trials. We currently have a sole source relationship with WuXi Biologics for our supply of TX45.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 or future tariffs will result in increased research and development expenses, including with respect to increased costs associated with active pharmaceutical ingredients,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 additional financing on favorable terms or at all. In addition, as we advance toward commercialization in the future, tariffs and trade restrictions could hinder our ability to establish cost-effective production capabilities, negatively impacting our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complexity of announced or future tariffs may also increase the risk that we or our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General supply chain issues may be exacerbated during disease outbreaks, epidemics and pandemics and may also impact the ability of our clinical trial sites to obtain basic medical supplies used in our trials in a timely fashion,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contract development and manufacturing organizations (“CDMOs”)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TX45 or TX2100 on our anticipated development timelines. Likewise, the operations of our third-party manufacturers may be requisitioned, diverted or allocated by U.S. or foreign government orders. If any of our CDMOs or raw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estimates of market opportunity and forecasts of market growth may prove to be inaccurate, and even if the markets in which we compete achieve the forecasted growth, our business may not grow at similar rates,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meets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revenue will be dependent, in part, upon the size of the markets in the territories for which we gain regulatory approval, the accepted price for the product, the ability to obtain coverage and reimbursement, the ability to gain market share and whether we own the commercial rights for that territory. If the number of our addressable patients is not as significant as we estimate, the indication approved by regulatory authorities is narrower than our expects or the treatment population is narrowed by competition, physician choice or treatment guidelines, we may not generate significant revenue from sales of such products, even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obtain approval to market TX45 or other potential future product candidates, these products may become subject to unfavorable pricing regulations, reimbursement practices from third-party payors or healthcare reform initiatives in the United States and abroad, which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obtains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In the United States and markets in other countries, governments and private insurers closely examine medical products to determine whether they should be covered by reimbursement and, if so, the level of reimbursement that will apply. In the United States, the principal decisions about reimbursement for new medicines are typically made by the CMS an agency within the HHS. CMS decides whether and to what extent a new medicine will be covered and reimbursed under Medicare and private payors tend to follow CMS to a substantial degree.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regulatory approval. If coverage and reimbursement are not available or reimbursement is available only to limited levels, we and our partners may not be able to successfully commercialize any product candidate for which marketing approval is obtained.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Our inability to promptly obtain coverage and profitable reimbursement rates from both government-funded and private payors for any approved products that we develop could have a material adverse effect on our operating results, ability to raise capital needed to commercialize products and overall financial condition.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Our success depends in part on our ability to protect our intellectual property. It is difficult and costly to protect our proprietary rights and technology, and we may not be able to ensure their protection.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will depend in large part on obtaining and maintaining patent, trademark and trade secret protection of our proprietary technologies and our product candidates, their respective components,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In addition, we cannot guarantee that patent applications or patents that we initially believe to be owned by the company will not be encumbered by third party ownership or other third party rights that may not have been evident to us at the time of preparation or filing. For instance, such rights could arise from the intellectual contributions of company employees who were previously employed by third parties, such as universities or other biopharmaceutical or pharmaceutical companies, including our competitors or potential competitors, or from the intellectual contributions of company consultants, advisors, or independent contractors with current or previous relationships with such third parties. Therefore, these patents and applications may not be prepared, filed, prosecuted or enforced in a manner consistent with the best interests of our business. Furthermore, licenses from such third parties may be required or desirable but may not be available on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patents in the biotechnology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are successfully issued,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its claims. If the breadth or strength of protection provided by the patent applications we hold with respect to our product candidates is threatened, we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believe does not affect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will/will not be viewed in future and whether patent expiration dates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has and will continue to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(“UPC”). As the UPC is a new court system, it is still developing its case law,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for our proprietary rights is uncertain because legal means afford only limited protection and may not adequately protect our rights or permit us to gain or keep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or use compounds or cells that are similar to the biological compositions of our product candidates but that are not covered by the claims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active biological ingredients in our current product candidates will eventually become commercially available in biosimilar drug products, and no patent protection may be available with regard to formulation or method of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as the case may be, may fail to meet our obligations to the U.S. government in regards to any in-licensed patents and patent applications funded by U.S. government grants, leading to the loss of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as the case may be, might not have been the first to file patent applications for these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patent applications will not result in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prior public disclosures that could invalidate us or our licensors’ patents, as the case may be, or parts of ours or their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others may circumvent our owned or in-licensed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there are unpublished applications or patent applications maintained in secrecy that may later issue with claims covering our products or technology similar to our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foreign countries may not protect ours or our licensors’, as the case may be, proprietary rights to the same extent as the laws of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claims of our owned or in-licensed issued patents or patent applications, if and when issued, may not cover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owned or in-licensed issued patents may not provide us with any competitive advantages, may be narrowed in scope, or be held invalid or unenforceable as a result of legal challenges by third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 of our owned or in-licensed patents or patent applications may become involved with competitors, develop products or processes which design around our patents, or become hostile to us or the patents or patent applications on which they are named as inventors;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in scientific collaborations in the past, and will continue to do so in the future. Such collaborators may develop adjacent or competing products to ours that are outside the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for which we can obtain patent protection.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product candidates we develop may be covered by third parties’ patents or other exclusive rights;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We depend on intellectual property licensed from third parties and termination of any of these licenses could result in the loss of significant rights,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dependent on patents, know-how and proprietary technology, both our own and licensed from others including Harvard. Any termination of these licenses could result in the loss of significant rights and could harm our ability to commercialize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Disputes may also arise between us and our licensors regarding intellectual property subject to a license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whether and the extent to which our technology and processes infringe on intellectual property of the licensor that is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right to sublicense patent and other rights to third parties under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with respect to the use of the licensed technology in relation to our development and commercialization of our product candidates, and what activities satisfy those diligence obligations;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inventorship or ownership of inventions and know-how resulting from the joint creation or use of intellectual property by our licensors and us and our partners.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is described below. If we or our licensors fail to adequately protect this intellectual property, our ability to commercialize products could suffer.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our obligations under our patent licenses with a third party, we could lose license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party license agreements pursuant to which we in-license key patent and patent applications for our product candidates. These existing licenses impose various diligence, milestone payment, royalty, insurance and other obligations on us. If we fail to comply with these obligations, our licensors may have the right to terminate the license, in which event we would not be able to develop or market the products covered by such licensed intellectual property. Termination of these agreements or reduction or elimination of our rights under 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limited control over the maintenance and prosecution of these in-licensed patents and patent applications, activities or any other intellectual property that may be related to our in-licensed intellectual property. For example,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cannot be certain that such activities by our licensor have been or will be conducted in compliance with applicable laws and regulations or will result in valid and enforceable patents and other intellectual property rights.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protect the confidentiality of our proprietary information,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 protection, we rely upon know-how,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by an employee or third party with authorized access, provide adequate protection for our proprietary information. Our security measures may not prevent an employee or consultant from misappropriating our proprietary information and providing them to a competitor, and recourse we take against such misconduct may not provide an adequate remedy to protect our interests fully. Enforcing a claim that a party illegally disclosed or misappropriated proprietary information can be difficult, expensive, and time-consuming, and the outcome is unpredictable. In addition, proprietary information may be independently developed by others in a manner that could prevent legal recourse by us. If any of our confidential or proprietary information were to be disclosed or misappropriated, or if any such information was independently developed by a competitor, our competitive position could be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courts outside the United States are sometimes less willing to protect proprietary information. If we choose to go to court to stop a third party from using any of our proprietary information, we may incur substantial costs. These lawsuits may consume our time and other resources even if we are successful. Although we take steps to protect our proprietary information and techniques, including through contractual means with our employees and consultants, third parties may independently develop substantially equivalent proprietary information and techniques or otherwise gain access to, or disclose, our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Thus, we may not be able to meaningfully protect our proprietary information.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information by third parties. We have also adopted policies and conduct training that provides guidance on our expectations, and our advice for best practices, in protecting our proprietary information. </w:t>
      </w:r>
    </w:p>
    <w:p>
      <w:pPr>
        <w:pStyle w:val="TextBody"/>
        <w:bidi w:val="0"/>
        <w:spacing w:before="240" w:after="283"/>
        <w:jc w:val="left"/>
        <w:rPr>
          <w:rFonts w:ascii="Times New Roman" w:hAnsi="Times New Roman"/>
          <w:sz w:val="20"/>
        </w:rPr>
      </w:pPr>
      <w:r>
        <w:rPr>
          <w:rFonts w:ascii="Times New Roman" w:hAnsi="Times New Roman"/>
          <w:b/>
          <w:i/>
          <w:color w:val="000000"/>
          <w:sz w:val="20"/>
        </w:rPr>
        <w:t>Third-party claims of intellectual property infringement may prevent or delay our product discovery and development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hAnsi="Times New Roman"/>
          <w:i/>
          <w:color w:val="000000"/>
          <w:sz w:val="20"/>
        </w:rPr>
        <w:t xml:space="preserve">inter partes </w:t>
      </w:r>
      <w:r>
        <w:rPr>
          <w:rFonts w:ascii="Times New Roman" w:hAnsi="Times New Roman"/>
          <w:color w:val="000000"/>
          <w:sz w:val="20"/>
        </w:rPr>
        <w:t xml:space="preserve">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third-party claims that we infringe its intellectual property rights, we may face a number of issues,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infringement and other intellectual property claims which, regardless of merit, may be expensive and time-consuming to litigate and may divert our management’s attention from our core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court prohibiting us from developing, manufacturing, marketing or selling our product candidates, or from using our proprietary technologies, unless the third party licenses its intellectual property rights to us, which it is not required to do;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license is available from a third party, we may have to pay substantial royalties, upfront fees and other amounts, and/or grant cross-licenses to intellectual property rights for its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redesigning our product candidates or processes so they do not infringe, which may not be possible or may require substantial monetary expenditures and time;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assert that we are employing their proprietary technology without authorization. Generally, conducting clinical trials and other development activities in the United States is protected under the Safe Harbor exemption as set forth in 35 U.S.C. § 271. If and when TX45 or another one of our product candidates is approved by the FDA, certain third parties may seek to enforce their patents by filing a patent infringement lawsuit against us. While we do not believe that any claims of such patent that could otherwise materially adversely affect commercialization of our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Lastly, we may need to indemnify our customers and distributors against claims relating to the infringement of intellectual property rights of third parties related to our product candidates, including TX45. Third parties may assert infringement claims against our customers or distributors. These claims may require us to initiate or defend protracted and costly litigation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or services. </w:t>
      </w:r>
    </w:p>
    <w:p>
      <w:pPr>
        <w:pStyle w:val="TextBody"/>
        <w:bidi w:val="0"/>
        <w:spacing w:before="240" w:after="283"/>
        <w:jc w:val="left"/>
        <w:rPr>
          <w:rFonts w:ascii="Times New Roman" w:hAnsi="Times New Roman"/>
          <w:sz w:val="20"/>
        </w:rPr>
      </w:pPr>
      <w:r>
        <w:rPr>
          <w:rFonts w:ascii="Times New Roman" w:hAnsi="Times New Roman"/>
          <w:b/>
          <w:i/>
          <w:color w:val="000000"/>
          <w:sz w:val="20"/>
        </w:rPr>
        <w:t>Third parties may assert that our employees or consultants have wrongfully used or disclosed confidential information or misappropriated proprietary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common in the biotechnology and pharmaceutical industries, we employ individuals who were previously employed at universities or other biopharmaceutical or pharmaceutical companies, including our competitors or potential competitors. In addition, we have used and continue to use consultants, advisors, and/or independent contractors with relationships with third parties, including institutions and/or other companies. We try to ensure that our employees, consultants, advisors, and/or independent contractors have the right to assign to us intellectual property generated during their engagement with us, and that they do not use the proprietary information or know-how of others in their work for us. Although no claims against us are currently pending, there is no guarantee that in the future we may not be subject to claims that we or our employees, consultants, advisors, or independent contractors have inadvertently or otherwise used or disclosed intellectual property, including trade secrets or other proprietary information, of a former employer or other third parties, or improperly assign intellectual property rights to us.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Uncertainties resulting from the initiation and continuation of patent litigation or other intellectual property related proceedings could adversely affect our ability to compete in the marketplace.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obtaining or maintaining necessary rights to develop any future product candidates on acceptable terms.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our programs may involve additional product candidates that may require the use of proprietary rights held by third parties, the growth of our business may depend in part on our ability to acquire, in-license or use these proprietary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also require specific formulations to work effectively and efficiently and these rights may be held by others. We may develop products containing pre-existing 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it.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negotiations and ultimately acquire the rights to the intellectual property surrounding the additional product candidates that we may seek to acquire.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involved in lawsuits related to our patents or the patents of our licensors, which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its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proprietary or confidential information, particularly in countries where the laws may not protect those rights as fully as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Issued patents covering our product candidates could be found invalid or unenforceable if challenged in court or the USPTO.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patents included in our patent portfolio may expire before, or soon after, our first product achieves marketing approval in the United States or foreign jurisdictions.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or have exclusively in-licensed pending patent applications that relate to our proprietary technologies or our product candidates that if issued as patents are expected to expire from 2041 through 2044, without taking into account any possible patent term adjustments or extensions. However, we cannot be assured that the USPTO or relevant foreign patent offices will grant any of these patent applications.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patent law in the U.S. and in ex-U.S. jurisdictions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recently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Times New Roman" w:hAnsi="Times New Roman"/>
          <w:i/>
          <w:color w:val="000000"/>
          <w:sz w:val="20"/>
        </w:rPr>
        <w:t xml:space="preserve">Amgen Inc. v. Sanofi, </w:t>
      </w:r>
      <w:r>
        <w:rPr>
          <w:rFonts w:ascii="Times New Roman" w:hAnsi="Times New Roman"/>
          <w:color w:val="000000"/>
          <w:sz w:val="20"/>
        </w:rPr>
        <w:t xml:space="preserve">the Federal Circuit held that a well-characterized antigen is insufficient to satisfy the written description requirement of certain claims directed to a genus of antibodies that are solely defined by function; and in the case of </w:t>
      </w:r>
      <w:r>
        <w:rPr>
          <w:rFonts w:ascii="Times New Roman" w:hAnsi="Times New Roman"/>
          <w:i/>
          <w:color w:val="000000"/>
          <w:sz w:val="20"/>
        </w:rPr>
        <w:t>Assoc. for Molecular</w:t>
      </w:r>
      <w:r>
        <w:rPr>
          <w:rFonts w:ascii="Times New Roman" w:hAnsi="Times New Roman"/>
          <w:color w:val="000000"/>
          <w:sz w:val="20"/>
        </w:rPr>
        <w:t xml:space="preserve"> </w:t>
      </w:r>
      <w:r>
        <w:rPr>
          <w:rFonts w:ascii="Times New Roman" w:hAnsi="Times New Roman"/>
          <w:i/>
          <w:color w:val="000000"/>
          <w:sz w:val="20"/>
        </w:rPr>
        <w:t xml:space="preserve">Pathology v. Myriad Genetics, Inc., </w:t>
      </w:r>
      <w:r>
        <w:rPr>
          <w:rFonts w:ascii="Times New Roman" w:hAnsi="Times New Roman"/>
          <w:color w:val="000000"/>
          <w:sz w:val="20"/>
        </w:rPr>
        <w:t xml:space="preserve">the Supreme Court held that certain claims to DNA molecules are not patentable. We cannot predict how these decisions or any future decisions by the courts, the U.S. Congress or the USPTO may impact the value of our patents. Similarly, any adverse changes in the patent laws of other jurisdictions could have a material adverse effect on our business and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its business, our competitive position may be impaired, and our business, financial condition, results of operations and prospects may be adversely affected. Also, competitors may use our technologies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jurisdictions where we have not obtained patent protection to develop our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incur substantial costs as a result of litigation or other proceedings relating to patents, and we may be unable to protect our rights to our products and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also the risk that, even if the validity of these patents is upheld, the court will refuse to stop the third party on the ground that such third party’s activities do not infringe our owned or in-licensed patents. In 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another party questions the patentability of any of our claims in our owned or in-licensed U.S. patents, the third-party can request that the USPTO review the patent claims such as in an </w:t>
      </w:r>
      <w:r>
        <w:rPr>
          <w:rFonts w:ascii="Times New Roman" w:hAnsi="Times New Roman"/>
          <w:i/>
          <w:color w:val="000000"/>
          <w:sz w:val="20"/>
        </w:rPr>
        <w:t xml:space="preserve">inter partes </w:t>
      </w:r>
      <w:r>
        <w:rPr>
          <w:rFonts w:ascii="Times New Roman" w:hAnsi="Times New Roman"/>
          <w:color w:val="000000"/>
          <w:sz w:val="20"/>
        </w:rPr>
        <w:t xml:space="preserve">review, </w:t>
      </w:r>
      <w:r>
        <w:rPr>
          <w:rFonts w:ascii="Times New Roman" w:hAnsi="Times New Roman"/>
          <w:i/>
          <w:color w:val="000000"/>
          <w:sz w:val="20"/>
        </w:rPr>
        <w:t xml:space="preserve">ex parte </w:t>
      </w:r>
      <w:r>
        <w:rPr>
          <w:rFonts w:ascii="Times New Roman" w:hAnsi="Times New Roman"/>
          <w:color w:val="000000"/>
          <w:sz w:val="20"/>
        </w:rPr>
        <w:t xml:space="preserve">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the future, we may be involved in similar proceedings challenging the patent rights of others, and the outcome of such proceedings is highly uncertain. We may choose to challenge the patentability of claims in a third party’s U.S. patent by requesting that the USPTO review the patent claims in an </w:t>
      </w:r>
      <w:r>
        <w:rPr>
          <w:rFonts w:ascii="Times New Roman" w:hAnsi="Times New Roman"/>
          <w:i/>
          <w:color w:val="000000"/>
          <w:sz w:val="20"/>
        </w:rPr>
        <w:t xml:space="preserve">ex-parte </w:t>
      </w:r>
      <w:r>
        <w:rPr>
          <w:rFonts w:ascii="Times New Roman" w:hAnsi="Times New Roman"/>
          <w:color w:val="000000"/>
          <w:sz w:val="20"/>
        </w:rPr>
        <w:t xml:space="preserve">re-exam, </w:t>
      </w:r>
      <w:r>
        <w:rPr>
          <w:rFonts w:ascii="Times New Roman" w:hAnsi="Times New Roman"/>
          <w:i/>
          <w:color w:val="000000"/>
          <w:sz w:val="20"/>
        </w:rPr>
        <w:t xml:space="preserve">inter partes </w:t>
      </w:r>
      <w:r>
        <w:rPr>
          <w:rFonts w:ascii="Times New Roman" w:hAnsi="Times New Roman"/>
          <w:color w:val="000000"/>
          <w:sz w:val="20"/>
        </w:rPr>
        <w:t xml:space="preserve">review or post-grant review proceedings. These proceedings are expensive and may consume our time or other resources. We may choose to challenge a third party’s patent in patent opposition proceedings in the foreign patent offices. The costs of these opposition proceedings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 </w:t>
      </w:r>
    </w:p>
    <w:p>
      <w:pPr>
        <w:pStyle w:val="TextBody"/>
        <w:bidi w:val="0"/>
        <w:spacing w:before="24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currently rely and expect to rely in the future on the use of manufacturing suites in third-party facilities or on third parties to manufacture TX45, TX2100 and any other product candidates, and we may rely on third parties to produce and process our products, if approved. Our business could be adversely affected if we are unable to use third-party manufacturing suites or if the third-party manufacturers encounter difficulties in production.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lease or own any facility that may be used as our clinical-scale manufacturing and processing facility and currently rely on contract development and manufacturing organizations (“CDMO”), including WuXi Biologics (Hong Kong) Limited (“WuXi Biologics”), to manufacture TX45 for use in our Phase 1a, Phase 1b and the recently initiated Phase 2 clinical trials. We currently have a sole source relationship with WuXi Biologics for our supply of TX45. If there should be any disruption in such supply arrangement or the supply arrangement with our CDMO for TX2100, including any adverse events affecting our sole supplier for TX45, Wuxi Biologics, it could have a negative effect on the clinical development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and other operations while we work to identify and qualify an alternate supply source. We may not control the manufacturing process of, and may be completely dependent on, our contract manufacturing partners for compliance with CGMP requirements and any other regulatory requirements of the FDA or comparable foreign regulatory authorities for the manufacture of a product candidate. We perform periodic audits of each CDMO facility that supports our supply of TX45 and TX 2100 and reviews and approves all TX45 and TX2100 CGMP-related documentation. We also have quality agreements with our CDMOs that document our mutual agreement on compliance with CGMPs and expectations on quality-required communications to us. Beyond this, we have no control over the ability of our CDMOs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we may need to find alternative manufacturing facilities, which would require the incurrence of significant additional costs and materially and adversely affect our ability to develop, obtain regulatory approval for or market such product candidate, if approved. Similarly, our failure, or the failure of our CDMOs,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our business and results of operations. In addition, we have not yet caused any product candidates to be manufactured on a commercial scale and may not be able to do so for any of our product candidates, if approved. </w:t>
      </w:r>
    </w:p>
    <w:p>
      <w:pPr>
        <w:pStyle w:val="TextBody"/>
        <w:bidi w:val="0"/>
        <w:spacing w:before="120" w:after="283"/>
        <w:jc w:val="left"/>
        <w:rPr>
          <w:rFonts w:ascii="Times New Roman" w:hAnsi="Times New Roman"/>
          <w:sz w:val="20"/>
        </w:rPr>
      </w:pPr>
      <w:r>
        <w:rPr>
          <w:rFonts w:ascii="Times New Roman" w:hAnsi="Times New Roman"/>
          <w:color w:val="000000"/>
          <w:sz w:val="20"/>
        </w:rPr>
        <w:t>Moreover, our CDMOs may experience manufacturing difficulties due to resource constraints, governmental restrictions or as a result of labor disputes or unstable political environments. Supply chain issues, including those resulting from the a health pandemic and the ongoing military conflict between Russia and Ukraine, may affect our third-party vendors and cause delays. Furthermore, since we have engaged WuXi Biologics, a manufacturer located in China, we are exposed to the possibility of product supply disruption and increased costs in the event of changes in the policies of the United States or Chinese governments or political unrest or unstable economic conditions in China. For example, the U.S. House of Representatives of the prior Congress (the 118th Congress) passed the BIOSECURE Act, which proposed targeting U.S. government contracts, loans, and grants to entities that use biotechnology equipment or services from certain Chinese biotechnology companies, including Wuxi Biologics, and would authorize the U.S. government to name other Chinese biotechnology companies of concern. The version of the BIOSECURE Act passed by the prior House of Representatives included a grandfathering provision allowing biotechnology equipment and services provided or produced by WuXi Biologics and other named biotechnology companies of concern under a contract or agreement entered into before the effective date until January 1, 2032. The BIOSECURE Act did not become law in the 118</w:t>
      </w:r>
      <w:r>
        <w:rPr>
          <w:rFonts w:ascii="Times New Roman" w:hAnsi="Times New Roman"/>
          <w:color w:val="000000"/>
          <w:sz w:val="13"/>
        </w:rPr>
        <w:t xml:space="preserve">th </w:t>
      </w:r>
      <w:r>
        <w:rPr>
          <w:rFonts w:ascii="Times New Roman" w:hAnsi="Times New Roman"/>
          <w:color w:val="000000"/>
          <w:sz w:val="20"/>
        </w:rPr>
        <w:t>Congress. It is unclear whether the current Congress (the 119</w:t>
      </w:r>
      <w:r>
        <w:rPr>
          <w:rFonts w:ascii="Times New Roman" w:hAnsi="Times New Roman"/>
          <w:color w:val="000000"/>
          <w:sz w:val="13"/>
        </w:rPr>
        <w:t>th</w:t>
      </w:r>
      <w:r>
        <w:rPr>
          <w:rFonts w:ascii="Times New Roman" w:hAnsi="Times New Roman"/>
          <w:color w:val="000000"/>
          <w:sz w:val="20"/>
        </w:rPr>
        <w:t xml:space="preserve"> Congress) will introduce the BIOSECURE Act or similar legislation in this congressional session and, if so, how the scope, prohibitions, or designated biotechnology companies of concern may differ from the version of the BIOSECURE Act passed by the House in the prior 118</w:t>
      </w:r>
      <w:r>
        <w:rPr>
          <w:rFonts w:ascii="Times New Roman" w:hAnsi="Times New Roman"/>
          <w:color w:val="000000"/>
          <w:sz w:val="13"/>
        </w:rPr>
        <w:t>th</w:t>
      </w:r>
      <w:r>
        <w:rPr>
          <w:rFonts w:ascii="Times New Roman" w:hAnsi="Times New Roman"/>
          <w:color w:val="000000"/>
          <w:sz w:val="20"/>
        </w:rPr>
        <w:t xml:space="preserve"> Congress. In addition to the BIOSECURE Act, any additional U.S. executive action, legislative action, or potential sanctions with China could materially impact our work with WuXi Biologics. U.S. executive agencies have the ability to designate entities and individuals on various governmental prohibited and restricted parties lists. Depending on the designation, potential consequences can range from a comprehensive prohibition on all transactions or dealings with designated parties, or a limited prohibition on certain types of activities, such as exports and financing activities, with designated parties. If we are required to change manufacturers for any reason, we will be required to verify that the new manufacturer maintains facilities and procedures that comply with quality standards and with all applicable regulations and guidelines. For example, in the event that we need to transfer from WuXi Biologics, which is our sole manufacturing source for TX45, we anticipate that the complexity of the manufacturing process may materially impact the amount of time it would take to secure a replacement manufacturer. The delays associated with the verification of a new manufacturer, if we are able to identify an alternative source, could negatively affect our ability to supply product candidates, including TX45, in a timely manner or within budget. If any CDMO on which we will rely fails to manufacture quantities of a product candidate at quality levels necessary to meet regulatory requirements and at a scale sufficient to meet anticipated demand at a cost that allows us to achieve profitability, our business, financial condition, cash flows, and prospects could be materially and adversely affected. In addition, our CDMO and/or distribution partners are responsible for transporting temperature-controlled materials that can be inadvertently degraded during transport due to several factors, rendering certain batches unsuitable for trial use for failure to meet, among others, our integrity and purity specifications. We and our CDMO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relied upon and plan to continue to rely upon third parties, including independent clinical investigators, contracted laboratories and third-party CROs, to conduct our preclinical studies and clinical trials in accordance with applicable regulatory requirements, to validate our assays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CROs have the right to terminate their agreements with us in the event of an uncured material breach. In addition, some of our CROs have an ability to terminate their respective agreements with us if we can be reasonably demonstrated that the safety of the subjects participating in our clinical trials warrants such termination, if we make a general assignment for the benefit of our creditors or if we are liquidated.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could result in the delay or rejection by the FDA. Any such delay or rejection could prevent us from commercializing our clinical-stage product candidate or any future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future collaborations will be important to our business. If we are unable to enter into new collaborations, or if these collaborations are not successful,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collaborations we enter into may pose a number of risks,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discovered in collaboration with ours may be viewed by our collaborators as competitive with their own product candidates or products, which may cause collaborators to cease to devote resources to the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fail to comply with applicable regulatory requirements regarding the development, manufacture, distribution or marketing of a product candidate or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with marketing and distribution rights to one or more of our product candidates that achieve regulatory approval may not commit sufficient resources to the marketing and distribution of such product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collaborator of ours is involved in a business combination, the collaborator might deemphasize or terminate the development or commercialization of any product candidate licensed to it by 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by the collaborator, and, if terminated, we could be required to raise additional capital to pursue further development or commercialization of the applicable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Quarterly Report also apply to the activities of our therapeutic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one of our collaborators terminates its agreement with us, we may find it more difficult to attract new collaborators and our perception in the business and financial communities could be adversely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t>
      </w:r>
    </w:p>
    <w:p>
      <w:pPr>
        <w:pStyle w:val="TextBody"/>
        <w:bidi w:val="0"/>
        <w:spacing w:before="240" w:after="283"/>
        <w:jc w:val="left"/>
        <w:rPr>
          <w:rFonts w:ascii="Times New Roman" w:hAnsi="Times New Roman"/>
          <w:sz w:val="20"/>
        </w:rPr>
      </w:pPr>
      <w:r>
        <w:rPr>
          <w:rFonts w:ascii="Times New Roman" w:hAnsi="Times New Roman"/>
          <w:b/>
          <w:i/>
          <w:color w:val="000000"/>
          <w:sz w:val="20"/>
        </w:rPr>
        <w:t>Nonclinical research requires the use of Non-Human Primates (“NHP”), the supply of which could delay or prevent development of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Consistent with various rules, regulations and CGMP requirements, our ability to advance our pre-clinical programs and successfully develop our product candidates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our product candidates and this could result in significant harm to our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we are unable to obtain NHPs in sufficient quantities and in a timely manner to meet the needs of our pre-clinical research programs, if the price of NHPs that are available increases significantly, or if our suppliers are unable to ship the NHPs in their possession that are reserved for them, our ability to advance our pre-clinical programs and successfully develop our pre-clinical candidates may be materially adversely affected or significantly delayed.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Operations, Employee Matters and Managing Growth</w:t>
      </w:r>
    </w:p>
    <w:p>
      <w:pPr>
        <w:pStyle w:val="TextBody"/>
        <w:bidi w:val="0"/>
        <w:spacing w:before="240" w:after="283"/>
        <w:jc w:val="left"/>
        <w:rPr>
          <w:rFonts w:ascii="Times New Roman" w:hAnsi="Times New Roman"/>
          <w:sz w:val="20"/>
        </w:rPr>
      </w:pPr>
      <w:r>
        <w:rPr>
          <w:rFonts w:ascii="Times New Roman" w:hAnsi="Times New Roman"/>
          <w:b/>
          <w:i/>
          <w:color w:val="000000"/>
          <w:sz w:val="20"/>
        </w:rPr>
        <w:t>Our future success depends on our ability to retain key executives and to attract, retain and motivate qualified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management team, including Alise Reicin, M.D., our President and Chief Executive Officer, Daniel Lochner, our Chief Financial Officer, Peter McNamara, Ph.D., our Chief Scientific Officer and Marcella K. Ruddy, M.D.,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 </w:t>
      </w:r>
    </w:p>
    <w:p>
      <w:pPr>
        <w:pStyle w:val="TextBody"/>
        <w:bidi w:val="0"/>
        <w:spacing w:before="240" w:after="283"/>
        <w:jc w:val="left"/>
        <w:rPr>
          <w:rFonts w:ascii="Times New Roman" w:hAnsi="Times New Roman"/>
          <w:sz w:val="20"/>
        </w:rPr>
      </w:pPr>
      <w:r>
        <w:rPr>
          <w:rFonts w:ascii="Times New Roman" w:hAnsi="Times New Roman"/>
          <w:b/>
          <w:i/>
          <w:color w:val="000000"/>
          <w:sz w:val="20"/>
        </w:rPr>
        <w:t>Our estimates of market opportunity and forecasts of market growth may prove to be inaccurate, and even if the markets in which we compete achieve the forecasted growth, our business may not grow at similar rates,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exposed to costly and damaging liability claims, either when testing a product candidate in the clinical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240" w:after="283"/>
        <w:jc w:val="left"/>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and those of our CROs, CDMOs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 </w:t>
      </w:r>
    </w:p>
    <w:p>
      <w:pPr>
        <w:pStyle w:val="TextBody"/>
        <w:bidi w:val="0"/>
        <w:spacing w:before="240" w:after="283"/>
        <w:jc w:val="left"/>
        <w:rPr>
          <w:rFonts w:ascii="Times New Roman" w:hAnsi="Times New Roman"/>
          <w:sz w:val="20"/>
        </w:rPr>
      </w:pPr>
      <w:r>
        <w:rPr>
          <w:rFonts w:ascii="Times New Roman" w:hAnsi="Times New Roman"/>
          <w:b/>
          <w:i/>
          <w:color w:val="000000"/>
          <w:sz w:val="20"/>
        </w:rPr>
        <w:t>Failure to comply with health-related data protection laws and regulations could lead to government enforcement actions, including civil or criminal penalties, private litigation, and adverse publicity and could negatively affect our operating results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current and future collaborators are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privacy and security requirements under HIPAA, as amended by HITECH. Depending on the facts and circumstances, we could be subject to civil, criminal, and administrative penalties if we violate HIPAA.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information technology systems, or the information technology systems of our CROs, our CDMOs, service providers, our current and potential future partners or other third parties with whom we work fail or suffer security breaches, we could experience adverse consequences, including but not limited to material disruptions to our business operations and product development programs, regulatory investigations or actions, litigation, fines and penalties, reputational harm, loss of revenue or profits, or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collect, store, receive, process, generate, use, transfer, disclose, make accessible, protect, secure, dispose of, share, and transmit (collectively, process) proprietary, confidential and sensitive information, including personal information (such as health-related data of clinical trial participants and employee information), in the course of our business. Similarly, third-parties with whom we work process certain of that information on our behalf.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computer systems and those of our current and any future collaborators and other contractors or consultants are vulnerable to damage from cyber-attacks, malicious internet-based activity, online and offline fraud, and other similar activities that threaten the confidentiality, integrity, and availability of our sensitive information and information technology systems, and those of the third parties upon which we rely.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of misuse by personnel), credential stuffing, telecommunications failures, loss or theft of devices, data or other information technology assets, attacks enhanced or facilitated by AI, earthquakes, fires, floods and similar threats. Threats such as ransomware attacks, for example, are becoming increasingly prevalent and severe, and attackers are increasingly leveraging multiple attack methods to extort payment from victims, such as data theft and disabling systems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incidents may result from the actions of a wide variety of actors with a wide range of motives and expertise, including traditional hackers, our personnel or the personnel of the third parties with whom we work, organized criminal threat actors, hacktivists, sophisticated nation-states and nation-state-supported actors. During times of war and other major conflicts, we, the third parties upon which we rely, and our customers may be vulnerable to a heightened risk of these attacks, including retaliatory cyber- attacks, that could materially disrupt our systems and operations, supply chain, and ability to conduct our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functional areas of our workforce work remotely on a full- or part-time basis or otherwise utilize network connections, computers and devices outside of our premises or network, which imposes additional risks to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In the future we may be required to or choose to,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require us to implement and maintain certain security measures or industry-standard or reasonable security measures to protect our information technology systems and sensitive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we have been the target of unsuccessful phishing attempts in the past and expect such attempts will continue in the future. If our information systems or data, or that of the third parties on which we rely, are compromised, it could interrupt our operations, disrupt our development programs and have a material adverse effect on our business, financial condition and results of operations, whether due to a loss of our trade secrets or other proprietary information or similar disruptions. For example, the loss or corruption of clinical trial data from completed or future clinical trials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applicable federal and/or state breach notification laws and foreign law equivalents and otherwise subject us to liability under applicable laws and regulations that protect the privacy and security of personal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Likewise, we rely on third parties for the manufacture of TX45, to analyze clinical trial samples and to conduct clinical trials, and security incidents experienced by these third parties could have a material adverse effect on our business. Security incidents affecting us or the third parties we rely on or partners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our operations (including availability of data), financial loss and other liabilities and harms. Additionally, such incidents may trigger data privacy and security obligations requiring us to notify relevant stockholders, including affected individuals, customers, regulators, and investors. Such disclosures may be costly, and related requirements or the failure to comply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them could lead to adverse consequences. Even a perceived security incident or failure in compliance by us or a third-party partner may result in negative publicity, harm to our reputation, or other adverse effects.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 </w:t>
      </w:r>
    </w:p>
    <w:p>
      <w:pPr>
        <w:pStyle w:val="TextBody"/>
        <w:bidi w:val="0"/>
        <w:spacing w:before="240" w:after="283"/>
        <w:jc w:val="left"/>
        <w:rPr>
          <w:rFonts w:ascii="Times New Roman" w:hAnsi="Times New Roman"/>
          <w:sz w:val="20"/>
        </w:rPr>
      </w:pPr>
      <w:r>
        <w:rPr>
          <w:rFonts w:ascii="Times New Roman" w:hAnsi="Times New Roman"/>
          <w:b/>
          <w:i/>
          <w:color w:val="000000"/>
          <w:sz w:val="20"/>
        </w:rPr>
        <w:t>We, and the third parties with whom we work, are subject to rapidly changing and increasingly stringent U.S. and foreign laws, regulations, and rules, contractual obligations, industry standards, policies and other obligations relating to privacy, data protection and information security. Our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the third parties with whom we work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govern data privacy and security. For example, the European Union’s General Data Protection Regulation, (“EU GDPR”) and the United Kingdom’s GDPR (“UK 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including personal information from clinical trial participants and other individuals located in the EEA, the United Kingdom (the “UK”), or Switzerland Companies that violate the EU or UK GDPR can face private litigation, regulatory investigations and enforcement actions, prohibitions on data processing, other administrative measures, reputational damage and fines of up to the greater of 20 million Euros /17.5 million pounds sterling or 4% of their worldwide annual revenue, in either case, whichever is greater. Certain jurisdictions have enacted data localization restrictions or laws and regulations restricting cross-border transfers of personal information, except in limited circumstances where adequate safeguards are in place. In particular, regulators and courts in the EEA, the UK, and Switzerland have significantly restricted the transfer of personal information to the United States and other countries whose privacy laws they generally believe are inadequate. Other jurisdictions have in the past and may continue to adopt similarly stringent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for to relevant U.S.-based organizations who self-certify compliance and participate in the Framework), these mechanisms are subject to legal challenges and there is no assurance that we can satisfy or rely on these measures to lawfully transfer personal data to the United States. If we are unable to implement a valid compliance solution for cross-border transfers of personal information, or if the requirements for a legally-compliant transfer are too onerous, we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Depending on how these laws are interpreted, we may have to make changes to our business practices and products to comply with such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other countries have enacted or are considering enacting similar cross-border data transfer restrictions and laws requiring local data residency, which could increase the cost and complexity of delivering our services and operating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if we become subject to these laws. For example, the California Consumer Rights Act (“CCPA”), as amended by the California Privacy Rights Act of 2020 (“CPRA”)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CCPA provides fines for noncompliance and a limited private right of action in connection with certain data breaches. While the CCPA and other state privacy laws contain an exemption for certain personal information processed in connection with clinical trials, , these developments further complicate compliance efforts, and increase legal risk and compliance costs for us and the third parties with whom we work. Similar laws have been passed or are being considered in several other states, as well as at the federal and local levels. The evolving patchwork of differing state and federal privacy and data security laws increases the cost and complexity of operating our business and increases our exposure to liability, including from third party litigation and regulatory investigations, enforcement, fines, and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bound by contractual obligations and our efforts to comply with such obligations may not be successful. We publish privacy policies, marketing materials and other statements, such as compliance with certain certifications or self-regulatory principles, regarding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obligations related to data privacy and security (and consumers’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have in the past and may in the future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third parties with whom we work)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U.S. and certain foreign anti-corruption laws and regulations, export and import controls, sanctions and embargoes. We could face liability and other serious consequences for violations which can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anti-corruption laws and regulations, including the FCPA, the U.S. domestic bribery statute contained in 18 U.S.C. § 201, the U.S. Travel Act and other state and national anti-bribery laws in the countries in which we may conduct activities in the future. Anti-corruption laws are interpreted broadly and generally prohibit companies and their employees, agents, contractors and other third-party collaborators from offering, promising, giving, or authorizing others to give anything of value, either directly or indirectly through third parties, to any person in the public or private sector to obtain or retain business. The FCPA also requires public companies to make and keep books and records that accurately and fairly reflect the transactions of the corporation and to devise and maintain an adequate system of internal accounting controls. We may engage third parties to sell our products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no certainty that all of our employees, agents, suppliers, manufacturers, contractors or collaborators, or those of our affiliates, will comply with all applicable anti-corruption, export and import control, and sanctions laws and regulations.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We or the third parties upon whom we depend may be adversely affected by earthquakes, fires or other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earthquakes, fires, other natural disasters, terrorism and similar unforeseen events beyond our control prevent us from using all or a significant portion of our headquarters or other facilities,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could have a material adverse effect on our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our business. If such an event were to affect our supply chain, it could have a material adverse effect on our ability to conduct our clinical trials, our development plans and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Legislation or other changes in U.S. tax law could adversely affect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In recent years, many changes have been made to applicable tax laws and changes are likely to continue to occur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cannot be predicted whether, when, in what form, or with what effective dates, new tax laws may be enacted, or regulations and rulings may be enacted, promulgated or issued under existing or new tax laws, which could result in an increase in our tax liability or require changes in the manner in which we operate in order to minimize or mitigate any adverse effects of changes in tax law or in the interpretation thereof.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use our U.S. net operating loss carryforwards and certain other U.S.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we had U.S. federal net operating loss carryforwards of $399.3 million. The amount of net operating loss carryforwards that we are permitted to deduct is limited to 80% of taxable income in each such taxable year to which the net operating loss carryforwards are applied. In addition, our U.S. federal net operating losses and tax credits may be subject to limitations under Sections 382 and 383 of the Code, if we have undergone or undergo an “ownership change,” generally defined as a greater than 50 percentage point change (by value) in our equity ownership by certain stockholders over a rolling three-year period. We may have experienced such ownership changes in the past and may experience ownership changes in the future as a result of shifts in our stock ownership, some of which are outside our control. Our net operating losses and tax credits may also be impaired or restricted under state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utilize our net operating loss carryforwards could be limited by an “ownership change” as described above, which could result in increased tax liability to us. </w:t>
      </w:r>
    </w:p>
    <w:p>
      <w:pPr>
        <w:pStyle w:val="TextBody"/>
        <w:bidi w:val="0"/>
        <w:spacing w:before="240" w:after="283"/>
        <w:jc w:val="left"/>
        <w:rPr>
          <w:rFonts w:ascii="Times New Roman" w:hAnsi="Times New Roman"/>
          <w:sz w:val="20"/>
        </w:rPr>
      </w:pPr>
      <w:r>
        <w:rPr>
          <w:rFonts w:ascii="Times New Roman" w:hAnsi="Times New Roman"/>
          <w:b/>
          <w:i/>
          <w:color w:val="000000"/>
          <w:sz w:val="20"/>
        </w:rPr>
        <w:t>Unstable market and economic conditions may have serious adverse consequences on our business, financial condition and stock price.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any necessary debt or equity financing that we undertake may be more difficult, more costly and more dilutive than it would be otherwise. Failure to secure any necessary financing in a timely manner and on favorable terms could have a material adverse effect on our growth strategy and financial performance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regulatory uncertainty and to rules that may adversely affect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changes in financial accounting standards or practices may cause adverse and unexpected revenue fluctuations and adversely affect our reported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or any CDMOs and suppliers we engage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CDMOs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could also incur significant costs associated with civil or criminal fines and penalties.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comply with these laws, regulations and permitting requirements also may result in substantial fines, penalties or other sanctions or business disruption, which could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third-party CDMOs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incur significantly increased costs as a result of operating as a public company, and our management will be required to devote substantial time to new compliance initiatives.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incur significant legal, accounting and other expenses that Legacy Tectonic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costlier. For example, we expect these rules and regulations to make it more difficult and more expensive for us to obtain director and officer liability insurance and we may be required to incur substantial costs to maintain our current levels of such coverage. </w:t>
      </w:r>
    </w:p>
    <w:p>
      <w:pPr>
        <w:pStyle w:val="TextBody"/>
        <w:bidi w:val="0"/>
        <w:spacing w:before="240" w:after="283"/>
        <w:jc w:val="left"/>
        <w:rPr>
          <w:rFonts w:ascii="Times New Roman" w:hAnsi="Times New Roman"/>
          <w:sz w:val="20"/>
        </w:rPr>
      </w:pPr>
      <w:r>
        <w:rPr>
          <w:rFonts w:ascii="Times New Roman" w:hAnsi="Times New Roman"/>
          <w:b/>
          <w:i/>
          <w:color w:val="000000"/>
          <w:sz w:val="20"/>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currently qualify as a “smaller reporting company,” as such term is defined in Rule 12b-2 under the Exchange Act, which allows the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and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 </w:t>
      </w:r>
    </w:p>
    <w:p>
      <w:pPr>
        <w:pStyle w:val="TextBody"/>
        <w:bidi w:val="0"/>
        <w:spacing w:before="240" w:after="283"/>
        <w:jc w:val="left"/>
        <w:rPr>
          <w:rFonts w:ascii="Times New Roman" w:hAnsi="Times New Roman"/>
          <w:sz w:val="20"/>
        </w:rPr>
      </w:pPr>
      <w:r>
        <w:rPr>
          <w:rFonts w:ascii="Times New Roman" w:hAnsi="Times New Roman"/>
          <w:b/>
          <w:i/>
          <w:color w:val="000000"/>
          <w:sz w:val="20"/>
        </w:rPr>
        <w:t>Failure to build our finance infrastructure and improve our accounting systems and controls could impair our ability to comply with the financial reporting and internal controls requirements for publicly traded companies.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operate in an increasingly demanding regulatory environment, which requires us to comply with the Sarbanes-Oxley Act, the regulations of Nasdaq, the rules and regulations of the SEC, expanded disclosure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accelerated reporting requirements and more complex accounting rules. The Sarbanes-Oxley Act requires us to, among other things, establish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the year after the Merger is completed, we must perform system and process evaluation and testing of our internal controls over financial reporting to allow management to report on the effectiveness of our internal controls over financial reporting in our Annual Report on Form 10-K filing for that year, as required by Section 404 of the Sarbanes-Oxley Act. Prior to the closing of the Merger, we were never required to test our internal controls within a specified period and, as a result, we may experience difficulty in meeting these reporting requirements in a timely manner. 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240" w:after="283"/>
        <w:jc w:val="left"/>
        <w:rPr>
          <w:rFonts w:ascii="Times New Roman" w:hAnsi="Times New Roman"/>
          <w:sz w:val="20"/>
        </w:rPr>
      </w:pPr>
      <w:r>
        <w:rPr>
          <w:rFonts w:ascii="Times New Roman" w:hAnsi="Times New Roman"/>
          <w:b/>
          <w:i/>
          <w:color w:val="000000"/>
          <w:sz w:val="20"/>
        </w:rPr>
        <w:t>Stockholders previously filed lawsuits, which were subsequently dismissed, relating to the Merger; however, additional lawsuits could be filed.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Prior to the Merger, three actions were filed by purported stockholders of AVROBIO in connection with the Merger. One action has been filed in the United States District Court for the Southern District of New York captioned </w:t>
      </w:r>
      <w:r>
        <w:rPr>
          <w:rFonts w:ascii="Times New Roman" w:hAnsi="Times New Roman"/>
          <w:i/>
          <w:color w:val="000000"/>
          <w:sz w:val="20"/>
        </w:rPr>
        <w:t>Garofalo v. Avrobio, Inc. et al.</w:t>
      </w:r>
      <w:r>
        <w:rPr>
          <w:rFonts w:ascii="Times New Roman" w:hAnsi="Times New Roman"/>
          <w:color w:val="000000"/>
          <w:sz w:val="20"/>
        </w:rPr>
        <w:t xml:space="preserve">, 24-cv-1493 (filed February 27, 2024). Two actions have been filed in the Supreme Court of New York, captioned </w:t>
      </w:r>
      <w:r>
        <w:rPr>
          <w:rFonts w:ascii="Times New Roman" w:hAnsi="Times New Roman"/>
          <w:i/>
          <w:color w:val="000000"/>
          <w:sz w:val="20"/>
        </w:rPr>
        <w:t>Price v. Avrobio, Inc., et al.</w:t>
      </w:r>
      <w:r>
        <w:rPr>
          <w:rFonts w:ascii="Times New Roman" w:hAnsi="Times New Roman"/>
          <w:color w:val="000000"/>
          <w:sz w:val="20"/>
        </w:rPr>
        <w:t xml:space="preserve">, No. 652555/2024 (filed May 17, 2024) and </w:t>
      </w:r>
      <w:r>
        <w:rPr>
          <w:rFonts w:ascii="Times New Roman" w:hAnsi="Times New Roman"/>
          <w:i/>
          <w:color w:val="000000"/>
          <w:sz w:val="20"/>
        </w:rPr>
        <w:t>Keller v. Avrobio, Inc., et al.</w:t>
      </w:r>
      <w:r>
        <w:rPr>
          <w:rFonts w:ascii="Times New Roman" w:hAnsi="Times New Roman"/>
          <w:color w:val="000000"/>
          <w:sz w:val="20"/>
        </w:rPr>
        <w:t xml:space="preserve">, No. 652597/2024 (filed May 21, 2024). The foregoing actions are referred to as the “Merger Actions.”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Merger Actions generally allege that the Registration Statement misrepresents and/or omits certain purportedly material information in connection with the Merger, potential conflicts of interest of AVROBIO’s officers and directors, and the events that led to the signing of the Merger Agreement. The </w:t>
      </w:r>
      <w:r>
        <w:rPr>
          <w:rFonts w:ascii="Times New Roman" w:hAnsi="Times New Roman"/>
          <w:i/>
          <w:color w:val="000000"/>
          <w:sz w:val="20"/>
        </w:rPr>
        <w:t>Price</w:t>
      </w:r>
      <w:r>
        <w:rPr>
          <w:rFonts w:ascii="Times New Roman" w:hAnsi="Times New Roman"/>
          <w:color w:val="000000"/>
          <w:sz w:val="20"/>
        </w:rPr>
        <w:t xml:space="preserve"> and </w:t>
      </w:r>
      <w:r>
        <w:rPr>
          <w:rFonts w:ascii="Times New Roman" w:hAnsi="Times New Roman"/>
          <w:i/>
          <w:color w:val="000000"/>
          <w:sz w:val="20"/>
        </w:rPr>
        <w:t>Keller</w:t>
      </w:r>
      <w:r>
        <w:rPr>
          <w:rFonts w:ascii="Times New Roman" w:hAnsi="Times New Roman"/>
          <w:color w:val="000000"/>
          <w:sz w:val="20"/>
        </w:rPr>
        <w:t xml:space="preserve"> actions assert claims for breach of fiduciary duty against all defendants. The Merger Actions seek, among other things, an injunction enjoining the consummation of the Merger, rescission of the Merger if consummated, costs of the action, including plaintiff’s attorneys’ fees and experts’ fees and other relief the court may deem just and proper.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AVROBIO also received demand letters from eleven purported AVROBIO stockholders (the “Demands”). The Demands generally assert that the Registration Statement misrepresents and/or omits certain purportedly material information relating to the Merger.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and possible expense and business delays, and provide additional information to its stockholders, and without admitting any liability or wrongdoing, AVROBIO decided voluntarily to supplement certain disclosures in the Registration Statement (the “Supplemental Disclosures”). On June 4, 2024, AVROBIO made certain Supplemental Disclosures on Form 8-K filed with the Securities and Exchange Commission. Following the issuance of the Supplemental Disclosures, each of the Merger Actions was voluntarily dismissed and each of the Demands were withdrawn.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potential plaintiffs may file lawsuits challenging the Merger. 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material and adverse impact on us because of defense and settlement costs, diversion of management resources and other factors.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The market price of our common stock has been and is likely to continue to be volatile and fluctuate substantially.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stockholders may not be able to sell their shares at or above the price they paid for their shares. The market price of our common stock may be influenced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and preclinical studies of our product candidates, or those of our competitors or existing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financial and development projections we may provide to the public;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meet or exceed the financial and development projections of the investment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do not achieve the perceived benefits of the Merger as rapidly or to the extent anticipated by financial or industry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of significant acquisitions, strategic collaborations, joint ventures or capital commitments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taken by regulatory agencies with respect to our product candidates, clinical studies, manufacturing process or sales and marketing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or other developments relating to proprietary rights, including patents, litigation matters, and our ability to obtain patent protection for our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lawsuits, including patent or stockholder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securities or industry analysts do not publish research or reports about our business, or if they issue adverse or misleading opinions regarding our business and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market valuations of similar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market or macroeconomic conditions or 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securities by us, the selling stockholders or other securityholders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raise an adequate amount of capital to fund our operations or continued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trading volume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competitors of new commercial products, clinical progress or lack thereof, significant contracts, commercial relationships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relating to precision medicine product candidates, including with respect to other products in such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introduction of technological innovations or new therapies that compete with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period-to-period fluctuations in our financial results;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litigation, there could be negative public announcements of the results of hearings, motions or other interim proceedings or developments, which could have a negative effect on the market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Sales of our common stock or the perception of such sales, by us or selling stockholders, in the public market or otherwise, could cause the market price for our securities to decline, even though selling stockholders would still realize a profit on sales at lower prices. Resales of the securities offered may cause the market price of such securities to drop significantly, even if our business is doing well.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of our common stock in the public market or otherwise,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selling stockholders acquired securities at prices that are significantly less than the current trading price of our common stock. Accordingly, certain selling stockholders could still realize a profit on sales at lower prices. Even if the trading price of our common stock falls to or significantly below the current trading price, selling stockholders may still have an incentive to sell and profit due to the nominal purchase prices paid by such selling stockholders, which are significantly lower than the purchase prices paid by the public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Subscription Agreement, we filed a resale shelf registration statement covering the resale of up to an aggregate of 2,969,583 shares of our common stock, which was declared effective on July 30, 2024. In addition, in connection with the private placement we completed in February 2025 (the “Private Placement”), we intend to file a resale shelf registration statement covering the resale of up to an aggregate of 3,689,465 shares of our common stock. Given the substantial number of shares available for resale, the sale of shares by such stockholders, or the perception in the market that the stockholders of a large number of shares intend to sell shares, could increase the volatility of the market price of our common stock or result in a significant decline in the public trading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certain of our shares are subject to lock-up agreements in connection with the Private Placement. Following the expiration of these lock-up agreements, the relevant stockholders will not be restricted from selling shares our common stock held by them, other than by applicable securities laws. Stockholders not subject to these lock-up agreements will not be restricted from selling shares of our common stock held by them, other than by applicable securities laws. Common stock that is issued in connection with stock options and restricted stock units will also become eligible for sale in the public market, to the extent permitted by the provisions of various vesting agreements and Rules 144 and 701 under the Securities Act. If our stockholders sell, or indicate an intention to sell, substantial amounts of our common stock in the public market after any legal or contractual restrictions on resale lapse, the trading price of our common stock could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Our executive officers, directors and principal stockholders have the ability to control or significantly influence all matters submitted to our stockholders for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 number of shares outstanding as of March 31, 2025, our executive officers, directors and principal stockholders, in the aggregate, beneficially own approximately 63%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 </w:t>
      </w:r>
    </w:p>
    <w:p>
      <w:pPr>
        <w:pStyle w:val="TextBody"/>
        <w:bidi w:val="0"/>
        <w:spacing w:before="240" w:after="283"/>
        <w:jc w:val="left"/>
        <w:rPr>
          <w:rFonts w:ascii="Times New Roman" w:hAnsi="Times New Roman"/>
          <w:sz w:val="20"/>
        </w:rPr>
      </w:pPr>
      <w:r>
        <w:rPr>
          <w:rFonts w:ascii="Times New Roman" w:hAnsi="Times New Roman"/>
          <w:b/>
          <w:i/>
          <w:color w:val="000000"/>
          <w:sz w:val="20"/>
        </w:rPr>
        <w:t>If equity research analysts do not publish research or reports, or publish unfavorable research or reports, about us, our business or our market,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broad discretion in the use of our cash and cash equivalents and may invest or spend the proceeds in ways with which you do not agree and in ways that may not increase the value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broad discretion over the use of our cash and cash equivalents. You may not agree with our decisions, and our use of the proceeds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our cash resources. </w:t>
      </w:r>
    </w:p>
    <w:p>
      <w:pPr>
        <w:pStyle w:val="TextBody"/>
        <w:bidi w:val="0"/>
        <w:spacing w:before="240" w:after="283"/>
        <w:jc w:val="left"/>
        <w:rPr>
          <w:rFonts w:ascii="Times New Roman" w:hAnsi="Times New Roman"/>
          <w:sz w:val="20"/>
        </w:rPr>
      </w:pPr>
      <w:r>
        <w:rPr>
          <w:rFonts w:ascii="Times New Roman" w:hAnsi="Times New Roman"/>
          <w:b/>
          <w:i/>
          <w:color w:val="000000"/>
          <w:sz w:val="20"/>
        </w:rPr>
        <w:t>Because we do not anticipate paying any cash dividends on our share capital in the foreseeable future, capital appreciation, if any, will be your sole source of gain.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not rely on an investment in our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shares. </w:t>
      </w:r>
    </w:p>
    <w:p>
      <w:pPr>
        <w:pStyle w:val="TextBody"/>
        <w:bidi w:val="0"/>
        <w:spacing w:before="240" w:after="283"/>
        <w:jc w:val="left"/>
        <w:rPr>
          <w:rFonts w:ascii="Times New Roman" w:hAnsi="Times New Roman"/>
          <w:sz w:val="20"/>
        </w:rPr>
      </w:pPr>
      <w:r>
        <w:rPr>
          <w:rFonts w:ascii="Times New Roman" w:hAnsi="Times New Roman"/>
          <w:b/>
          <w:i/>
          <w:color w:val="000000"/>
          <w:sz w:val="20"/>
        </w:rPr>
        <w:t>Provisions in our charter and bylaws, as well as provisions of Delaware law, could make it more difficult for a third party to acquire us or increase the cost of acquiring us, even if doing so would benefit our stockholders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charter and bylaws and Delaware law contain provisions that may have the effect of delaying or preventing a change in control of the Company or changes in our management. Our charter and bylaws, include provisions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“blank check” preferred stock, which could be issued by the Board without stockholder approval and may contain voting, liquidation, dividend and other rights superior to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create a classified board of directors whose members serve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specify that special meetings of our stockholders can be called only by the Board, the chairperson of the Board, our Chief Executive Officer or our President;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 action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 advance notice procedure for stockholder approvals to be brought before an annual meeting of our stockholders, including proposed nominations of persons for election to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our directors may be removed only for cause;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the Board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specify that no stockholder is permitted to cumulate votes at any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expressly authorize the Board to modify, alter or repeal our amended and restated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votes of the holders of our common stock to amend specified provisions of our charter and bylaws.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provisions, alone or together, could delay or prevent hostile takeovers and changes in control or changes in our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we are incorporated in Delaware, we are governed by the provisions of Section 203 of the DGCL, which limits the ability of stockholders owning in excess of 15% of our outstanding voting stock to merge or combine with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charter,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Our bylaws contain exclusive forum provisions, which may limit a stockholder’s ability to bring a claim in a judicial forum it finds favorable and may discourage lawsuits with respect to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or former directors, officers, employees or stockholders arising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AVROBIO consents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Watertown,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 </w:t>
      </w:r>
    </w:p>
    <w:p>
      <w:pPr>
        <w:pStyle w:val="TextBody"/>
        <w:bidi w:val="0"/>
        <w:spacing w:before="120" w:after="120"/>
        <w:jc w:val="left"/>
        <w:rPr>
          <w:rFonts w:ascii="Times New Roman" w:hAnsi="Times New Roman"/>
          <w:sz w:val="20"/>
        </w:rPr>
      </w:pPr>
      <w:bookmarkStart w:id="15" w:name="item_2_unregistered_sales"/>
      <w:bookmarkEnd w:id="15"/>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0" w:after="120"/>
        <w:jc w:val="left"/>
        <w:rPr>
          <w:rFonts w:ascii="Times New Roman" w:hAnsi="Times New Roman"/>
          <w:sz w:val="20"/>
        </w:rPr>
      </w:pPr>
      <w:bookmarkStart w:id="16" w:name="item_3_defaults"/>
      <w:bookmarkEnd w:id="16"/>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0" w:after="120"/>
        <w:jc w:val="left"/>
        <w:rPr>
          <w:rFonts w:ascii="Times New Roman" w:hAnsi="Times New Roman"/>
          <w:sz w:val="20"/>
        </w:rPr>
      </w:pPr>
      <w:bookmarkStart w:id="17" w:name="item_4_mine_safety"/>
      <w:bookmarkEnd w:id="17"/>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Mine Safety Disclosures.</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120"/>
        <w:jc w:val="left"/>
        <w:rPr>
          <w:rFonts w:ascii="Times New Roman" w:hAnsi="Times New Roman"/>
          <w:sz w:val="20"/>
        </w:rPr>
      </w:pPr>
      <w:bookmarkStart w:id="18" w:name="item_5_othe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Rule 10b5-1 Trading Arrangements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the three months ended March 31, 2025, the following officers of the Company adopted a “Rule 10b5-1 trading arrangement” as that term is defined in Item 408(a) of Regulation S-K, all of which were entered into during an open trading window in accordance with the Company’s Insider Trading Policy and all of which were intended to satisfy Rule 10b5-1(c):</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rPr>
        <w:t>On February 18, 2025, Peter McNamara, our Chief Scientific Officer, adopted a Rule 10b5-1</w:t>
      </w:r>
      <w:r>
        <w:rPr>
          <w:color w:val="000000"/>
        </w:rPr>
        <w:t xml:space="preserve"> </w:t>
      </w:r>
      <w:r>
        <w:rPr>
          <w:rFonts w:ascii="Times New Roman" w:hAnsi="Times New Roman"/>
          <w:color w:val="000000"/>
          <w:sz w:val="20"/>
        </w:rPr>
        <w:t>trading plan that provides for the sale of up to 24,188</w:t>
      </w:r>
      <w:r>
        <w:rPr>
          <w:color w:val="000000"/>
        </w:rPr>
        <w:t xml:space="preserve"> </w:t>
      </w:r>
      <w:r>
        <w:rPr>
          <w:rFonts w:ascii="Times New Roman" w:hAnsi="Times New Roman"/>
          <w:color w:val="000000"/>
          <w:sz w:val="20"/>
        </w:rPr>
        <w:t>shares of common stock vested under outstanding stock options and RSUs. The plan will expire on December 31, 2025, subject to early termination for certain specified events set forth in the plan.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Except as set forth above, no director or officer of the Company adopted or terminated a “Rule 10b5-1 trading arrangement” or “non-rule 10b5-1 trading arrangement,” as each term is defined in item 408(a) of Regulation S-K, during the three months ended March 31, 2025.</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4"/>
        <w:gridCol w:w="146"/>
        <w:gridCol w:w="6062"/>
        <w:gridCol w:w="146"/>
        <w:gridCol w:w="529"/>
        <w:gridCol w:w="146"/>
        <w:gridCol w:w="747"/>
        <w:gridCol w:w="146"/>
        <w:gridCol w:w="644"/>
        <w:gridCol w:w="146"/>
        <w:gridCol w:w="709"/>
      </w:tblGrid>
      <w:tr>
        <w:trPr/>
        <w:tc>
          <w:tcPr>
            <w:tcW w:w="7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67"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Incorporation by Reference</w:t>
            </w:r>
            <w:r>
              <w:rPr>
                <w:rFonts w:ascii="Times New Roman" w:hAnsi="Times New Roman"/>
                <w:color w:val="000000"/>
                <w:sz w:val="16"/>
              </w:rPr>
              <w:t xml:space="preserve"> </w:t>
            </w:r>
          </w:p>
        </w:tc>
      </w:tr>
      <w:tr>
        <w:trPr/>
        <w:tc>
          <w:tcPr>
            <w:tcW w:w="784"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6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Form</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4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 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0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Filing Date</w:t>
            </w:r>
            <w:r>
              <w:rPr>
                <w:rFonts w:ascii="Times New Roman" w:hAnsi="Times New Roman"/>
                <w:color w:val="000000"/>
                <w:sz w:val="16"/>
              </w:rPr>
              <w:t xml:space="preserve"> </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Fourth Amended and Restated Certificate of Incorporation, as amended through June 20, 2024.</w:t>
              </w:r>
            </w:hyperlink>
            <w:hyperlink r:id="rId3">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001-38537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8/14/2024</w:t>
            </w:r>
          </w:p>
        </w:tc>
      </w:tr>
      <w:tr>
        <w:trPr/>
        <w:tc>
          <w:tcPr>
            <w:tcW w:w="7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as currently in effect.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001-38537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6/25/2018</w:t>
            </w:r>
          </w:p>
        </w:tc>
      </w:tr>
      <w:tr>
        <w:trP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hyperlink w:anchor="tec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hyperlink w:anchor="tecx-ex31_1.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hyperlink w:anchor="tec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hyperlink w:anchor="tecx-ex31_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pPr>
            <w:hyperlink w:anchor="tecx-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Taxonomy Extension Schema Document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This certification is deemed not filed for purposes of Section 18 of the Securities Exchange Act of 1934, as amended, or otherwise subject to the liability of that section, nor shall it be deemed incorporated by reference into any filing by the registrant under the Securities Act of 1933, as amended, or the Securities Exchange Act of 1934, as amended, whether made before or after the date hereof, regardless of any general incorporation language in such filing.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0" w:name="signatures"/>
      <w:bookmarkEnd w:id="20"/>
      <w:r>
        <w:rPr>
          <w:rFonts w:ascii="Times New Roman" w:hAnsi="Times New Roman"/>
          <w:b/>
          <w:caps/>
          <w:color w:val="000000"/>
          <w:sz w:val="20"/>
        </w:rPr>
        <w:t>Signatures</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5834" w:type="dxa"/>
        <w:jc w:val="left"/>
        <w:tblInd w:w="0" w:type="dxa"/>
        <w:tblLayout w:type="fixed"/>
        <w:tblCellMar>
          <w:top w:w="28" w:type="dxa"/>
          <w:left w:w="28" w:type="dxa"/>
          <w:bottom w:w="28" w:type="dxa"/>
          <w:right w:w="28" w:type="dxa"/>
        </w:tblCellMar>
      </w:tblPr>
      <w:tblGrid>
        <w:gridCol w:w="1636"/>
        <w:gridCol w:w="146"/>
        <w:gridCol w:w="406"/>
        <w:gridCol w:w="364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5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TECTONIC THERAPEUTIC,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Alise Reicin, M.D.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Alise Reicin, M.D.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6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/s/ Daniel Lochner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Daniel Lochner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jc w:val="center"/>
              <w:rPr>
                <w:rFonts w:ascii="Times New Roman" w:hAnsi="Times New Roman"/>
                <w:i/>
                <w:color w:val="000000"/>
                <w:sz w:val="20"/>
              </w:rPr>
            </w:pPr>
            <w:r>
              <w:rPr>
                <w:rFonts w:ascii="Times New Roman" w:hAnsi="Times New Roman"/>
                <w:i/>
                <w:color w:val="000000"/>
                <w:sz w:val="20"/>
              </w:rPr>
              <w:t>(Principal Financial Officer and Principal</w:t>
            </w:r>
          </w:p>
          <w:p>
            <w:pPr>
              <w:pStyle w:val="TableContents"/>
              <w:bidi w:val="0"/>
              <w:spacing w:before="0" w:after="20"/>
              <w:jc w:val="center"/>
              <w:rPr>
                <w:rFonts w:ascii="Times New Roman" w:hAnsi="Times New Roman"/>
                <w:i/>
                <w:color w:val="000000"/>
                <w:sz w:val="20"/>
              </w:rPr>
            </w:pPr>
            <w:r>
              <w:rPr>
                <w:rFonts w:ascii="Times New Roman" w:hAnsi="Times New Roman"/>
                <w:i/>
                <w:color w:val="000000"/>
                <w:sz w:val="20"/>
              </w:rPr>
              <w:t>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bookmarkStart w:id="21" w:name="tecx-ex31_1.htm"/>
      <w:bookmarkStart w:id="22" w:name="kstecxex31_1"/>
      <w:bookmarkEnd w:id="21"/>
      <w:bookmarkEnd w:id="2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Alise Reicin,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Form 10-Q of Tectonic Therapeutic,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8, 2025</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Alise Reicin, M.D.</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Alise Reicin, M.D.</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1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tecx-ex31_2.htm"/>
      <w:bookmarkStart w:id="24" w:name="kstecxex31_2"/>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Daniel Lochner,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Form 10-Q of Tectonic Therapeutic,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May 8, 2025 </w:t>
      </w:r>
    </w:p>
    <w:p>
      <w:pPr>
        <w:pStyle w:val="TextBody"/>
        <w:bidi w:val="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283"/>
              <w:jc w:val="left"/>
              <w:rPr>
                <w:sz w:val="4"/>
                <w:szCs w:val="4"/>
              </w:rPr>
            </w:pPr>
            <w:r>
              <w:rPr>
                <w:sz w:val="4"/>
                <w:szCs w:val="4"/>
              </w:rPr>
            </w:r>
          </w:p>
        </w:tc>
      </w:tr>
      <w:tr>
        <w:trPr/>
        <w:tc>
          <w:tcPr>
            <w:tcW w:w="25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Lochner</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Lochner</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spacing w:before="1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tecx-ex32_1.htm"/>
      <w:bookmarkStart w:id="26" w:name="kstecx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 set forth in Rule 13a-14(b) of the Securities Exchange Act of 1934, as amended, (the “Exchange Act”) and Section 1350 of Chapter 63 of Title 18 of the United States Code (18 U.S.C. §1350), Alise Reicin, President and Chief Executive Officer of Tectonic Therapeutic, Inc. (the “Company”), and Daniel Lochner, Chief Financial Officer of the Company, each hereby certifies that, to the best of his or her knowledge: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Quarterly Report on Form 10-Q for the period ended March 31, 2025, to which this Certification is attached as Exhibit 32.1 (the “Periodic Report”), fully complies with the requirements of Section 13(a) or Section 15(d) of the Exchange Act;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Periodic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May 8, 2025</w:t>
      </w:r>
    </w:p>
    <w:p>
      <w:pPr>
        <w:pStyle w:val="TextBody"/>
        <w:bidi w:val="0"/>
        <w:spacing w:before="240" w:after="283"/>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xml:space="preserve">, the undersigned have set their hands hereto as of the 8th day of May, 2025. </w:t>
      </w:r>
    </w:p>
    <w:p>
      <w:pPr>
        <w:pStyle w:val="TextBody"/>
        <w:bidi w:val="0"/>
        <w:jc w:val="left"/>
        <w:rPr/>
      </w:pPr>
      <w:r>
        <w:rPr/>
        <w:t> </w:t>
      </w:r>
    </w:p>
    <w:tbl>
      <w:tblPr>
        <w:tblW w:w="5338" w:type="dxa"/>
        <w:jc w:val="left"/>
        <w:tblInd w:w="0" w:type="dxa"/>
        <w:tblLayout w:type="fixed"/>
        <w:tblCellMar>
          <w:top w:w="28" w:type="dxa"/>
          <w:left w:w="28" w:type="dxa"/>
          <w:bottom w:w="28" w:type="dxa"/>
          <w:right w:w="28" w:type="dxa"/>
        </w:tblCellMar>
      </w:tblPr>
      <w:tblGrid>
        <w:gridCol w:w="3181"/>
        <w:gridCol w:w="146"/>
        <w:gridCol w:w="201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Alise Reicin,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Daniel Lochner</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Alise Reicin,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Lochner</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certification accompanies the Form 10-Q to which it relates, is not deemed filed with the Securities and Exchange Commission and is not to be incorporated by reference into any filing of Tectonic Therapeutic, Inc. under the Securities Act of 1933, as amended, or the Securities Exchange Act of 1934, as amended (whether made before or after the date of the Form 10-Q), irrespective of any general incorporation language contained in such filing.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1087/000119312524200609/d878693dex31.htm" TargetMode="External"/><Relationship Id="rId3" Type="http://schemas.openxmlformats.org/officeDocument/2006/relationships/hyperlink" Target="https://www.sec.gov/Archives/edgar/data/1681087/000119312524200609/d878693dex31.htm" TargetMode="External"/><Relationship Id="rId4" Type="http://schemas.openxmlformats.org/officeDocument/2006/relationships/hyperlink" Target="https://www.sec.gov/Archives/edgar/data/1681087/000119312518202460/d153924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56462</Words>
  <Characters>316720</Characters>
  <CharactersWithSpaces>373706</CharactersWithSpaces>
  <Paragraphs>4546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