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48536d424b5.htm"/>
      <w:bookmarkStart w:id="1" w:name="ksd48536d424b5"/>
      <w:bookmarkEnd w:id="0"/>
      <w:bookmarkEnd w:id="1"/>
      <w:r>
        <w:rPr>
          <w:rFonts w:ascii="Times New Roman" w:hAnsi="Times New Roman"/>
          <w:b/>
          <w:sz w:val="20"/>
        </w:rPr>
        <w:t xml:space="preserve">Filed Pursuant to Rule 424(b)(5) </w:t>
        <w:br/>
        <w:t xml:space="preserve">Registration No. 333-280909 </w:t>
      </w:r>
    </w:p>
    <w:p>
      <w:pPr>
        <w:pStyle w:val="TextBody"/>
        <w:bidi w:val="0"/>
        <w:spacing w:before="24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rFonts w:ascii="Times New Roman" w:hAnsi="Times New Roman"/>
          <w:b/>
          <w:sz w:val="20"/>
        </w:rPr>
      </w:pPr>
      <w:r>
        <w:rPr>
          <w:rFonts w:ascii="Times New Roman" w:hAnsi="Times New Roman"/>
          <w:b/>
          <w:sz w:val="20"/>
        </w:rPr>
        <w:t xml:space="preserve">(To Prospectus dated April 3, 2025) </w:t>
      </w:r>
    </w:p>
    <w:p>
      <w:pPr>
        <w:pStyle w:val="TextBody"/>
        <w:bidi w:val="0"/>
        <w:spacing w:before="0" w:after="0"/>
        <w:jc w:val="left"/>
        <w:rPr/>
      </w:pPr>
      <w:r>
        <w:rPr/>
        <w:t> </w:t>
      </w:r>
    </w:p>
    <w:p>
      <w:pPr>
        <w:pStyle w:val="TextBody"/>
        <w:bidi w:val="0"/>
        <w:spacing w:before="0" w:after="0"/>
        <w:jc w:val="center"/>
        <w:rPr/>
      </w:pPr>
      <w:r>
        <w:rPr/>
        <w:drawing>
          <wp:inline distT="0" distB="0" distL="0" distR="0">
            <wp:extent cx="1409700" cy="381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09700" cy="3810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Tectonic Therapeutic, Inc. </w:t>
      </w:r>
    </w:p>
    <w:p>
      <w:pPr>
        <w:pStyle w:val="TextBody"/>
        <w:bidi w:val="0"/>
        <w:spacing w:before="480" w:after="0"/>
        <w:jc w:val="center"/>
        <w:rPr>
          <w:rFonts w:ascii="Times New Roman" w:hAnsi="Times New Roman"/>
          <w:b/>
          <w:sz w:val="28"/>
        </w:rPr>
      </w:pPr>
      <w:r>
        <w:rPr>
          <w:rFonts w:ascii="Times New Roman" w:hAnsi="Times New Roman"/>
          <w:b/>
          <w:sz w:val="28"/>
        </w:rPr>
        <w:t xml:space="preserve">Up to 2,969,583 Shares of 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supplements the prospectus dated April 3, 2025 (the Prospectus), which forms a part of our registration statement on Form S-1 (No. 333-280909), as amended. This prospectus supplement is being filed to update and supplement the information in the Prospectus with certain information contained in our Quarterly Report on Form 8-K, filed with the Securities and Exchange Commission on June 6, 2025 (the Current Report). Accordingly, we have attached the Current Report in relevant part to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and this prospectus supplement relate to the proposed offer and resale or other disposition from time to time by the selling stockholders identified in this prospectus of up to an aggregate of 2,969,583 shares of common stock, par value $0.0001 per share (the Common Stock), of Tectonic Therapeutic, Inc.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Market under the ticker symbol TECX. On June 10, 2025, the last reported sales price of our Common Stock was $25.16 per share.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should be read in conjunction with the Prospectus, including any amendments or supplements thereto, which is to be delivered with this prospectus supplement. This prospectus supplement is qualified by reference to the Prospectus, including any amendments or supplements thereto, except to the extent that the information in this prospectus supplement updates and supersedes the information contained therein.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is not complete without, and may not be delivered or utilized except in connection with, the Prospectus, including any amendments or supplements thereto.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sz w:val="24"/>
        </w:rPr>
      </w:pPr>
      <w:r>
        <w:rPr>
          <w:rFonts w:ascii="Times New Roman" w:hAnsi="Times New Roman"/>
          <w:b/>
          <w:sz w:val="24"/>
        </w:rPr>
        <w:t xml:space="preserve">Investing in our securities involves a high degree of risk. You should review carefully the risks and uncertainties described in the section titled Risk Factors beginning on page 9 of the Prospectus, and under similar headings in any amendments or supplements to the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accuracy or adequacy of this prospectus supplement or the Prospectus.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supplement is June 11, 2025 </w:t>
      </w:r>
      <w:r>
        <w:br w:type="page"/>
      </w:r>
    </w:p>
    <w:p>
      <w:pPr>
        <w:pStyle w:val="HorizontalLine"/>
        <w:pBdr>
          <w:bottom w:val="double" w:sz="6" w:space="0" w:color="808080"/>
        </w:pBdr>
        <w:bidi w:val="0"/>
        <w:jc w:val="left"/>
        <w:rPr/>
      </w:pPr>
      <w:r>
        <w:rPr/>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 xml:space="preserve">FORM 8-K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 xml:space="preserve">CURRENT REPORT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160" w:after="0"/>
        <w:jc w:val="center"/>
        <w:rPr>
          <w:rFonts w:ascii="Times New Roman" w:hAnsi="Times New Roman"/>
          <w:b/>
          <w:sz w:val="24"/>
        </w:rPr>
      </w:pPr>
      <w:r>
        <w:rPr>
          <w:rFonts w:ascii="Times New Roman" w:hAnsi="Times New Roman"/>
          <w:b/>
          <w:sz w:val="24"/>
        </w:rPr>
        <w:t xml:space="preserve">Date of Report (Date of earliest event reported): June 6, 2025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01"/>
        <w:gridCol w:w="3266"/>
        <w:gridCol w:w="101"/>
        <w:gridCol w:w="3266"/>
      </w:tblGrid>
      <w:tr>
        <w:trPr/>
        <w:tc>
          <w:tcPr>
            <w:tcW w:w="3471"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center"/>
              <w:rPr>
                <w:b/>
              </w:rPr>
            </w:pPr>
            <w:r>
              <w:rPr>
                <w:b/>
              </w:rPr>
              <w:t>Delaware</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001-38537</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81-0710585</w:t>
            </w:r>
          </w:p>
        </w:tc>
      </w:tr>
      <w:tr>
        <w:trPr/>
        <w:tc>
          <w:tcPr>
            <w:tcW w:w="3471"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rHeight w:val="240" w:hRule="atLeast"/>
        </w:trPr>
        <w:tc>
          <w:tcPr>
            <w:tcW w:w="6838" w:type="dxa"/>
            <w:gridSpan w:val="3"/>
            <w:tcBorders/>
            <w:vAlign w:val="center"/>
          </w:tcPr>
          <w:p>
            <w:pPr>
              <w:pStyle w:val="TableContents"/>
              <w:bidi w:val="0"/>
              <w:spacing w:before="0" w:after="283"/>
              <w:jc w:val="left"/>
              <w:rPr>
                <w:sz w:val="4"/>
                <w:szCs w:val="4"/>
              </w:rPr>
            </w:pPr>
            <w:r>
              <w:rPr>
                <w:sz w:val="4"/>
                <w:szCs w:val="4"/>
              </w:rPr>
            </w:r>
          </w:p>
        </w:tc>
        <w:tc>
          <w:tcPr>
            <w:tcW w:w="3367" w:type="dxa"/>
            <w:gridSpan w:val="2"/>
            <w:tcBorders/>
            <w:vAlign w:val="center"/>
          </w:tcPr>
          <w:p>
            <w:pPr>
              <w:pStyle w:val="TableContents"/>
              <w:bidi w:val="0"/>
              <w:spacing w:before="0" w:after="283"/>
              <w:jc w:val="left"/>
              <w:rPr>
                <w:sz w:val="4"/>
                <w:szCs w:val="4"/>
              </w:rPr>
            </w:pPr>
            <w:r>
              <w:rPr>
                <w:sz w:val="4"/>
                <w:szCs w:val="4"/>
              </w:rPr>
            </w:r>
          </w:p>
        </w:tc>
      </w:tr>
      <w:tr>
        <w:trPr/>
        <w:tc>
          <w:tcPr>
            <w:tcW w:w="6838" w:type="dxa"/>
            <w:gridSpan w:val="3"/>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490 Arsenal Way, Suite 210</w:t>
            </w:r>
          </w:p>
          <w:p>
            <w:pPr>
              <w:pStyle w:val="TableContents"/>
              <w:bidi w:val="0"/>
              <w:spacing w:before="0" w:after="20"/>
              <w:jc w:val="center"/>
              <w:rPr>
                <w:rFonts w:ascii="Times New Roman" w:hAnsi="Times New Roman"/>
                <w:b/>
                <w:sz w:val="20"/>
              </w:rPr>
            </w:pPr>
            <w:r>
              <w:rPr>
                <w:rFonts w:ascii="Times New Roman" w:hAnsi="Times New Roman"/>
                <w:b/>
                <w:sz w:val="20"/>
              </w:rPr>
              <w:t>Watertown, Massachusetts</w:t>
            </w:r>
          </w:p>
        </w:tc>
        <w:tc>
          <w:tcPr>
            <w:tcW w:w="101" w:type="dxa"/>
            <w:tcBorders/>
            <w:vAlign w:val="bottom"/>
          </w:tcPr>
          <w:p>
            <w:pPr>
              <w:pStyle w:val="TableContents"/>
              <w:bidi w:val="0"/>
              <w:spacing w:before="0" w:after="283"/>
              <w:jc w:val="left"/>
              <w:rPr/>
            </w:pPr>
            <w:r>
              <w:rPr/>
              <w:t> </w:t>
            </w:r>
          </w:p>
        </w:tc>
        <w:tc>
          <w:tcPr>
            <w:tcW w:w="3266" w:type="dxa"/>
            <w:tcBorders/>
            <w:vAlign w:val="bottom"/>
          </w:tcPr>
          <w:p>
            <w:pPr>
              <w:pStyle w:val="TableContents"/>
              <w:bidi w:val="0"/>
              <w:spacing w:before="0" w:after="283"/>
              <w:jc w:val="center"/>
              <w:rPr>
                <w:b/>
              </w:rPr>
            </w:pPr>
            <w:r>
              <w:rPr>
                <w:b/>
              </w:rPr>
              <w:t>02472</w:t>
            </w:r>
          </w:p>
        </w:tc>
      </w:tr>
      <w:tr>
        <w:trPr/>
        <w:tc>
          <w:tcPr>
            <w:tcW w:w="6838" w:type="dxa"/>
            <w:gridSpan w:val="3"/>
            <w:tcBorders/>
          </w:tcPr>
          <w:p>
            <w:pPr>
              <w:pStyle w:val="TableContents"/>
              <w:bidi w:val="0"/>
              <w:spacing w:before="0" w:after="283"/>
              <w:jc w:val="center"/>
              <w:rPr>
                <w:b/>
              </w:rPr>
            </w:pPr>
            <w:r>
              <w:rPr>
                <w:b/>
              </w:rPr>
              <w:t>(Address of principal executive offices)</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(Zip Code)</w:t>
            </w:r>
          </w:p>
        </w:tc>
      </w:tr>
    </w:tbl>
    <w:p>
      <w:pPr>
        <w:pStyle w:val="TextBody"/>
        <w:bidi w:val="0"/>
        <w:spacing w:before="160" w:after="0"/>
        <w:jc w:val="center"/>
        <w:rPr>
          <w:rFonts w:ascii="Times New Roman" w:hAnsi="Times New Roman"/>
          <w:b/>
          <w:sz w:val="20"/>
        </w:rPr>
      </w:pPr>
      <w:r>
        <w:rPr>
          <w:rFonts w:ascii="Times New Roman" w:hAnsi="Times New Roman"/>
          <w:b/>
          <w:sz w:val="20"/>
        </w:rPr>
        <w:t xml:space="preserve">(Registrants telephone number, including area code): (339) 666-3320 </w:t>
      </w:r>
    </w:p>
    <w:p>
      <w:pPr>
        <w:pStyle w:val="TextBody"/>
        <w:bidi w:val="0"/>
        <w:spacing w:before="160" w:after="0"/>
        <w:jc w:val="center"/>
        <w:rPr>
          <w:rFonts w:ascii="Times New Roman" w:hAnsi="Times New Roman"/>
          <w:b/>
          <w:sz w:val="20"/>
        </w:rPr>
      </w:pPr>
      <w:r>
        <w:rPr>
          <w:rFonts w:ascii="Times New Roman" w:hAnsi="Times New Roman"/>
          <w:b/>
          <w:sz w:val="20"/>
        </w:rPr>
        <w:t xml:space="preserve">Not Applicable </w:t>
      </w:r>
    </w:p>
    <w:p>
      <w:pPr>
        <w:pStyle w:val="TextBody"/>
        <w:bidi w:val="0"/>
        <w:spacing w:before="0" w:after="0"/>
        <w:jc w:val="center"/>
        <w:rPr>
          <w:rFonts w:ascii="Times New Roman" w:hAnsi="Times New Roman"/>
          <w:b/>
          <w:sz w:val="16"/>
        </w:rPr>
      </w:pPr>
      <w:r>
        <w:rPr>
          <w:rFonts w:ascii="Times New Roman" w:hAnsi="Times New Roman"/>
          <w:b/>
          <w:sz w:val="16"/>
        </w:rPr>
        <w:t xml:space="preserve">(Former name or former address, if changed since last report)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(see General Instruction A.2.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bidi w:val="0"/>
        <w:spacing w:before="160" w:after="0"/>
        <w:jc w:val="center"/>
        <w:rPr>
          <w:rFonts w:ascii="Times New Roman" w:hAnsi="Times New Roman"/>
          <w:b/>
          <w:sz w:val="20"/>
        </w:rPr>
      </w:pPr>
      <w:r>
        <w:rPr>
          <w:rFonts w:ascii="Times New Roman" w:hAnsi="Times New Roman"/>
          <w:b/>
          <w:sz w:val="20"/>
        </w:rPr>
        <w:t xml:space="preserve">Securities registered pursuant to Section 12(b) of the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2"/>
        <w:gridCol w:w="3266"/>
        <w:gridCol w:w="102"/>
        <w:gridCol w:w="3266"/>
      </w:tblGrid>
      <w:tr>
        <w:trPr/>
        <w:tc>
          <w:tcPr>
            <w:tcW w:w="346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6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102" w:type="dxa"/>
            <w:tcBorders/>
            <w:vAlign w:val="bottom"/>
          </w:tcPr>
          <w:p>
            <w:pPr>
              <w:pStyle w:val="TableContents"/>
              <w:bidi w:val="0"/>
              <w:spacing w:before="0" w:after="283"/>
              <w:jc w:val="left"/>
              <w:rPr/>
            </w:pPr>
            <w:r>
              <w:rPr/>
              <w:t> </w:t>
            </w:r>
          </w:p>
        </w:tc>
        <w:tc>
          <w:tcPr>
            <w:tcW w:w="3266"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w:t>
            </w:r>
          </w:p>
        </w:tc>
        <w:tc>
          <w:tcPr>
            <w:tcW w:w="102" w:type="dxa"/>
            <w:tcBorders/>
            <w:vAlign w:val="bottom"/>
          </w:tcPr>
          <w:p>
            <w:pPr>
              <w:pStyle w:val="TableContents"/>
              <w:bidi w:val="0"/>
              <w:spacing w:before="0" w:after="283"/>
              <w:jc w:val="left"/>
              <w:rPr/>
            </w:pPr>
            <w:r>
              <w:rPr/>
              <w:t> </w:t>
            </w:r>
          </w:p>
        </w:tc>
        <w:tc>
          <w:tcPr>
            <w:tcW w:w="32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469" w:type="dxa"/>
            <w:tcBorders/>
          </w:tcPr>
          <w:p>
            <w:pPr>
              <w:pStyle w:val="TableContents"/>
              <w:bidi w:val="0"/>
              <w:spacing w:before="0" w:after="283"/>
              <w:jc w:val="center"/>
              <w:rPr/>
            </w:pPr>
            <w:r>
              <w:rPr/>
              <w:t>Common Stock, $0.0001 par value per share</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TECX</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The Nasdaq Stock Market LLC</w:t>
            </w:r>
          </w:p>
        </w:tc>
      </w:tr>
    </w:tbl>
    <w:p>
      <w:pPr>
        <w:pStyle w:val="TextBody"/>
        <w:bidi w:val="0"/>
        <w:spacing w:before="16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160" w:after="0"/>
        <w:jc w:val="left"/>
        <w:rPr>
          <w:rFonts w:ascii="Times New Roman" w:hAnsi="Times New Roman"/>
          <w:sz w:val="20"/>
        </w:rPr>
      </w:pPr>
      <w:r>
        <w:rPr>
          <w:rFonts w:ascii="Times New Roman" w:hAnsi="Times New Roman"/>
          <w:sz w:val="20"/>
        </w:rPr>
        <w:t xml:space="preserve">Emerging growth company ☐ </w:t>
      </w:r>
    </w:p>
    <w:p>
      <w:pPr>
        <w:pStyle w:val="TextBody"/>
        <w:bidi w:val="0"/>
        <w:spacing w:before="16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121"/>
        <w:gridCol w:w="9084"/>
      </w:tblGrid>
      <w:tr>
        <w:trPr/>
        <w:tc>
          <w:tcPr>
            <w:tcW w:w="1121" w:type="dxa"/>
            <w:tcBorders/>
          </w:tcPr>
          <w:p>
            <w:pPr>
              <w:pStyle w:val="TableContents"/>
              <w:bidi w:val="0"/>
              <w:spacing w:before="0" w:after="283"/>
              <w:jc w:val="left"/>
              <w:rPr>
                <w:b/>
              </w:rPr>
            </w:pPr>
            <w:r>
              <w:rPr>
                <w:b/>
              </w:rPr>
              <w:t>Item 5.07</w:t>
            </w:r>
          </w:p>
        </w:tc>
        <w:tc>
          <w:tcPr>
            <w:tcW w:w="9084"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Submission of Matters to a Vote of Security Holders.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June 6, 2025, Tectonic Therapeutic, Inc. (the Company) held its 2025 Annual General Meeting of Stockholders (the Annual General Meeting). As of April 14, 2025, the record date for the Annual General Meeting, 18,671,229 shares of common stock were outstanding and entitled to vote at the Annual General Meeting. A summary of the matters voted upon by stockholders at the Annual General Meeting is set forth below. </w:t>
      </w:r>
    </w:p>
    <w:p>
      <w:pPr>
        <w:pStyle w:val="TextBody"/>
        <w:bidi w:val="0"/>
        <w:spacing w:before="360" w:after="0"/>
        <w:jc w:val="left"/>
        <w:rPr>
          <w:rFonts w:ascii="Times New Roman" w:hAnsi="Times New Roman"/>
          <w:i/>
          <w:sz w:val="20"/>
        </w:rPr>
      </w:pPr>
      <w:r>
        <w:rPr>
          <w:rFonts w:ascii="Times New Roman" w:hAnsi="Times New Roman"/>
          <w:i/>
          <w:sz w:val="20"/>
        </w:rPr>
        <w:t xml:space="preserve">Proposal 1: Election of Directors </w:t>
      </w:r>
    </w:p>
    <w:p>
      <w:pPr>
        <w:pStyle w:val="TextBody"/>
        <w:bidi w:val="0"/>
        <w:spacing w:before="120" w:after="0"/>
        <w:jc w:val="left"/>
        <w:rPr>
          <w:rFonts w:ascii="Times New Roman" w:hAnsi="Times New Roman"/>
          <w:sz w:val="20"/>
        </w:rPr>
      </w:pPr>
      <w:r>
        <w:rPr>
          <w:rFonts w:ascii="Times New Roman" w:hAnsi="Times New Roman"/>
          <w:sz w:val="20"/>
        </w:rPr>
        <w:t xml:space="preserve">Alise Reicin, M.D. and Praveen Tipirneni, M.D. were elected as a Class I directors, to hold office until the 2028 Annual General Meeting of Stockholders and their successors are duly elected and qualified, or until their earlier death, resignation or removal. The final voting results are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310"/>
        <w:gridCol w:w="335"/>
        <w:gridCol w:w="60"/>
        <w:gridCol w:w="1100"/>
        <w:gridCol w:w="60"/>
        <w:gridCol w:w="335"/>
        <w:gridCol w:w="111"/>
        <w:gridCol w:w="1496"/>
        <w:gridCol w:w="60"/>
        <w:gridCol w:w="335"/>
        <w:gridCol w:w="109"/>
        <w:gridCol w:w="1829"/>
        <w:gridCol w:w="65"/>
      </w:tblGrid>
      <w:tr>
        <w:trPr/>
        <w:tc>
          <w:tcPr>
            <w:tcW w:w="4310" w:type="dxa"/>
            <w:tcBorders/>
            <w:vAlign w:val="center"/>
          </w:tcPr>
          <w:p>
            <w:pPr>
              <w:pStyle w:val="TableContents"/>
              <w:bidi w:val="0"/>
              <w:spacing w:before="0" w:after="283"/>
              <w:jc w:val="left"/>
              <w:rPr>
                <w:sz w:val="4"/>
                <w:szCs w:val="4"/>
              </w:rPr>
            </w:pPr>
            <w:r>
              <w:rPr>
                <w:sz w:val="4"/>
                <w:szCs w:val="4"/>
              </w:rPr>
            </w:r>
          </w:p>
        </w:tc>
        <w:tc>
          <w:tcPr>
            <w:tcW w:w="33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bottom"/>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bottom"/>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31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Director Elected</w:t>
            </w:r>
          </w:p>
        </w:tc>
        <w:tc>
          <w:tcPr>
            <w:tcW w:w="335"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Votes For</w:t>
            </w:r>
          </w:p>
        </w:tc>
        <w:tc>
          <w:tcPr>
            <w:tcW w:w="6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16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Votes Withheld</w:t>
            </w:r>
          </w:p>
        </w:tc>
        <w:tc>
          <w:tcPr>
            <w:tcW w:w="6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19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Broker Non-Votes</w:t>
            </w:r>
          </w:p>
        </w:tc>
        <w:tc>
          <w:tcPr>
            <w:tcW w:w="65" w:type="dxa"/>
            <w:tcBorders/>
            <w:vAlign w:val="bottom"/>
          </w:tcPr>
          <w:p>
            <w:pPr>
              <w:pStyle w:val="TableContents"/>
              <w:bidi w:val="0"/>
              <w:spacing w:before="0" w:after="283"/>
              <w:jc w:val="left"/>
              <w:rPr/>
            </w:pPr>
            <w:r>
              <w:rPr/>
              <w:t> </w:t>
            </w:r>
          </w:p>
        </w:tc>
      </w:tr>
      <w:tr>
        <w:trPr/>
        <w:tc>
          <w:tcPr>
            <w:tcW w:w="4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Alise Reicin, M.D.</w:t>
            </w:r>
          </w:p>
        </w:tc>
        <w:tc>
          <w:tcPr>
            <w:tcW w:w="3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14,469,766</w:t>
            </w:r>
          </w:p>
        </w:tc>
        <w:tc>
          <w:tcPr>
            <w:tcW w:w="6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496" w:type="dxa"/>
            <w:tcBorders/>
            <w:shd w:fill="CCEEFF" w:val="clear"/>
            <w:vAlign w:val="bottom"/>
          </w:tcPr>
          <w:p>
            <w:pPr>
              <w:pStyle w:val="TableContents"/>
              <w:bidi w:val="0"/>
              <w:spacing w:before="0" w:after="283"/>
              <w:jc w:val="right"/>
              <w:rPr/>
            </w:pPr>
            <w:r>
              <w:rPr/>
              <w:t>432,093</w:t>
            </w:r>
          </w:p>
        </w:tc>
        <w:tc>
          <w:tcPr>
            <w:tcW w:w="6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829" w:type="dxa"/>
            <w:tcBorders/>
            <w:shd w:fill="CCEEFF" w:val="clear"/>
            <w:vAlign w:val="bottom"/>
          </w:tcPr>
          <w:p>
            <w:pPr>
              <w:pStyle w:val="TableContents"/>
              <w:bidi w:val="0"/>
              <w:spacing w:before="0" w:after="283"/>
              <w:jc w:val="right"/>
              <w:rPr/>
            </w:pPr>
            <w:r>
              <w:rPr/>
              <w:t>1,351,739</w:t>
            </w:r>
          </w:p>
        </w:tc>
        <w:tc>
          <w:tcPr>
            <w:tcW w:w="65" w:type="dxa"/>
            <w:tcBorders/>
            <w:shd w:fill="CCEEFF" w:val="clear"/>
            <w:vAlign w:val="bottom"/>
          </w:tcPr>
          <w:p>
            <w:pPr>
              <w:pStyle w:val="TableContents"/>
              <w:bidi w:val="0"/>
              <w:spacing w:before="0" w:after="283"/>
              <w:jc w:val="left"/>
              <w:rPr/>
            </w:pPr>
            <w:r>
              <w:rPr/>
              <w:t> </w:t>
            </w:r>
          </w:p>
        </w:tc>
      </w:tr>
      <w:tr>
        <w:trPr/>
        <w:tc>
          <w:tcPr>
            <w:tcW w:w="4310" w:type="dxa"/>
            <w:tcBorders/>
          </w:tcPr>
          <w:p>
            <w:pPr>
              <w:pStyle w:val="TableContents"/>
              <w:bidi w:val="0"/>
              <w:spacing w:before="0" w:after="0"/>
              <w:jc w:val="left"/>
              <w:rPr>
                <w:rFonts w:ascii="Times New Roman" w:hAnsi="Times New Roman"/>
                <w:sz w:val="20"/>
              </w:rPr>
            </w:pPr>
            <w:r>
              <w:rPr>
                <w:rFonts w:ascii="Times New Roman" w:hAnsi="Times New Roman"/>
                <w:sz w:val="20"/>
              </w:rPr>
              <w:t>Praveen Tipirneni, M.D.</w:t>
            </w:r>
          </w:p>
        </w:tc>
        <w:tc>
          <w:tcPr>
            <w:tcW w:w="3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14,452,647</w:t>
            </w:r>
          </w:p>
        </w:tc>
        <w:tc>
          <w:tcPr>
            <w:tcW w:w="6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96" w:type="dxa"/>
            <w:tcBorders/>
            <w:vAlign w:val="bottom"/>
          </w:tcPr>
          <w:p>
            <w:pPr>
              <w:pStyle w:val="TableContents"/>
              <w:bidi w:val="0"/>
              <w:spacing w:before="0" w:after="283"/>
              <w:jc w:val="right"/>
              <w:rPr/>
            </w:pPr>
            <w:r>
              <w:rPr/>
              <w:t>449,212</w:t>
            </w:r>
          </w:p>
        </w:tc>
        <w:tc>
          <w:tcPr>
            <w:tcW w:w="6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829" w:type="dxa"/>
            <w:tcBorders/>
            <w:vAlign w:val="bottom"/>
          </w:tcPr>
          <w:p>
            <w:pPr>
              <w:pStyle w:val="TableContents"/>
              <w:bidi w:val="0"/>
              <w:spacing w:before="0" w:after="283"/>
              <w:jc w:val="right"/>
              <w:rPr/>
            </w:pPr>
            <w:r>
              <w:rPr/>
              <w:t>1,351,739</w:t>
            </w:r>
          </w:p>
        </w:tc>
        <w:tc>
          <w:tcPr>
            <w:tcW w:w="65"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Proposal 2: Ratification of Appointment of the Companys Independent Registered Public Accounting Firm </w:t>
      </w:r>
    </w:p>
    <w:p>
      <w:pPr>
        <w:pStyle w:val="TextBody"/>
        <w:bidi w:val="0"/>
        <w:spacing w:before="120" w:after="0"/>
        <w:jc w:val="left"/>
        <w:rPr>
          <w:rFonts w:ascii="Times New Roman" w:hAnsi="Times New Roman"/>
          <w:sz w:val="20"/>
        </w:rPr>
      </w:pPr>
      <w:r>
        <w:rPr>
          <w:rFonts w:ascii="Times New Roman" w:hAnsi="Times New Roman"/>
          <w:sz w:val="20"/>
        </w:rPr>
        <w:t xml:space="preserve">The Companys stockholders ratified the appointment by the Audit Committee of the Companys Board of Directors of Deloitte &amp; Touche LLP as the Companys independent registered public accounting firm for the fiscal year ending December 31, 2025. The final voting results are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49"/>
        <w:gridCol w:w="102"/>
        <w:gridCol w:w="2450"/>
        <w:gridCol w:w="101"/>
        <w:gridCol w:w="2551"/>
        <w:gridCol w:w="102"/>
        <w:gridCol w:w="2450"/>
      </w:tblGrid>
      <w:tr>
        <w:trPr/>
        <w:tc>
          <w:tcPr>
            <w:tcW w:w="244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r>
      <w:tr>
        <w:trPr/>
        <w:tc>
          <w:tcPr>
            <w:tcW w:w="244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Votes For</w:t>
            </w:r>
          </w:p>
        </w:tc>
        <w:tc>
          <w:tcPr>
            <w:tcW w:w="102" w:type="dxa"/>
            <w:tcBorders/>
            <w:vAlign w:val="bottom"/>
          </w:tcPr>
          <w:p>
            <w:pPr>
              <w:pStyle w:val="TableContents"/>
              <w:bidi w:val="0"/>
              <w:spacing w:before="0" w:after="283"/>
              <w:jc w:val="left"/>
              <w:rPr/>
            </w:pPr>
            <w:r>
              <w:rPr/>
              <w:t> </w:t>
            </w:r>
          </w:p>
        </w:tc>
        <w:tc>
          <w:tcPr>
            <w:tcW w:w="245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Votes Against</w:t>
            </w:r>
          </w:p>
        </w:tc>
        <w:tc>
          <w:tcPr>
            <w:tcW w:w="101" w:type="dxa"/>
            <w:tcBorders/>
            <w:vAlign w:val="bottom"/>
          </w:tcPr>
          <w:p>
            <w:pPr>
              <w:pStyle w:val="TableContents"/>
              <w:bidi w:val="0"/>
              <w:spacing w:before="0" w:after="283"/>
              <w:jc w:val="left"/>
              <w:rPr/>
            </w:pPr>
            <w:r>
              <w:rPr/>
              <w:t> </w:t>
            </w:r>
          </w:p>
        </w:tc>
        <w:tc>
          <w:tcPr>
            <w:tcW w:w="255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Abstentions</w:t>
            </w:r>
          </w:p>
        </w:tc>
        <w:tc>
          <w:tcPr>
            <w:tcW w:w="102" w:type="dxa"/>
            <w:tcBorders/>
            <w:vAlign w:val="bottom"/>
          </w:tcPr>
          <w:p>
            <w:pPr>
              <w:pStyle w:val="TableContents"/>
              <w:bidi w:val="0"/>
              <w:spacing w:before="0" w:after="283"/>
              <w:jc w:val="left"/>
              <w:rPr/>
            </w:pPr>
            <w:r>
              <w:rPr/>
              <w:t> </w:t>
            </w:r>
          </w:p>
        </w:tc>
        <w:tc>
          <w:tcPr>
            <w:tcW w:w="245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Broker Non-Votes</w:t>
            </w:r>
          </w:p>
        </w:tc>
      </w:tr>
      <w:tr>
        <w:trPr/>
        <w:tc>
          <w:tcPr>
            <w:tcW w:w="2449" w:type="dxa"/>
            <w:tcBorders/>
            <w:shd w:fill="CCEEFF" w:val="clear"/>
          </w:tcPr>
          <w:p>
            <w:pPr>
              <w:pStyle w:val="TableContents"/>
              <w:bidi w:val="0"/>
              <w:spacing w:before="0" w:after="283"/>
              <w:jc w:val="center"/>
              <w:rPr/>
            </w:pPr>
            <w:r>
              <w:rPr/>
              <w:t>16,249,011</w:t>
            </w:r>
          </w:p>
        </w:tc>
        <w:tc>
          <w:tcPr>
            <w:tcW w:w="102" w:type="dxa"/>
            <w:tcBorders/>
            <w:shd w:fill="CCEEFF" w:val="clear"/>
            <w:vAlign w:val="bottom"/>
          </w:tcPr>
          <w:p>
            <w:pPr>
              <w:pStyle w:val="TableContents"/>
              <w:bidi w:val="0"/>
              <w:spacing w:before="0" w:after="283"/>
              <w:jc w:val="left"/>
              <w:rPr/>
            </w:pPr>
            <w:r>
              <w:rPr/>
              <w:t> </w:t>
            </w:r>
          </w:p>
        </w:tc>
        <w:tc>
          <w:tcPr>
            <w:tcW w:w="2450" w:type="dxa"/>
            <w:tcBorders/>
            <w:shd w:fill="CCEEFF" w:val="clear"/>
          </w:tcPr>
          <w:p>
            <w:pPr>
              <w:pStyle w:val="TableContents"/>
              <w:bidi w:val="0"/>
              <w:spacing w:before="0" w:after="283"/>
              <w:jc w:val="center"/>
              <w:rPr/>
            </w:pPr>
            <w:r>
              <w:rPr/>
              <w:t>3,867</w:t>
            </w:r>
          </w:p>
        </w:tc>
        <w:tc>
          <w:tcPr>
            <w:tcW w:w="101" w:type="dxa"/>
            <w:tcBorders/>
            <w:shd w:fill="CCEEFF" w:val="clear"/>
            <w:vAlign w:val="bottom"/>
          </w:tcPr>
          <w:p>
            <w:pPr>
              <w:pStyle w:val="TableContents"/>
              <w:bidi w:val="0"/>
              <w:spacing w:before="0" w:after="283"/>
              <w:jc w:val="left"/>
              <w:rPr/>
            </w:pPr>
            <w:r>
              <w:rPr/>
              <w:t> </w:t>
            </w:r>
          </w:p>
        </w:tc>
        <w:tc>
          <w:tcPr>
            <w:tcW w:w="2551" w:type="dxa"/>
            <w:tcBorders/>
            <w:shd w:fill="CCEEFF" w:val="clear"/>
          </w:tcPr>
          <w:p>
            <w:pPr>
              <w:pStyle w:val="TableContents"/>
              <w:bidi w:val="0"/>
              <w:spacing w:before="0" w:after="283"/>
              <w:jc w:val="center"/>
              <w:rPr/>
            </w:pPr>
            <w:r>
              <w:rPr/>
              <w:t>720</w:t>
            </w:r>
          </w:p>
        </w:tc>
        <w:tc>
          <w:tcPr>
            <w:tcW w:w="102" w:type="dxa"/>
            <w:tcBorders/>
            <w:shd w:fill="CCEEFF" w:val="clear"/>
            <w:vAlign w:val="bottom"/>
          </w:tcPr>
          <w:p>
            <w:pPr>
              <w:pStyle w:val="TableContents"/>
              <w:bidi w:val="0"/>
              <w:spacing w:before="0" w:after="283"/>
              <w:jc w:val="left"/>
              <w:rPr/>
            </w:pPr>
            <w:r>
              <w:rPr/>
              <w:t> </w:t>
            </w:r>
          </w:p>
        </w:tc>
        <w:tc>
          <w:tcPr>
            <w:tcW w:w="2450" w:type="dxa"/>
            <w:tcBorders/>
            <w:shd w:fill="CCEEFF" w:val="clear"/>
          </w:tcPr>
          <w:p>
            <w:pPr>
              <w:pStyle w:val="TableContents"/>
              <w:bidi w:val="0"/>
              <w:spacing w:before="0" w:after="283"/>
              <w:jc w:val="center"/>
              <w:rPr/>
            </w:pPr>
            <w:r>
              <w:rPr/>
              <w:t>0</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Proposal 3: Advisory Approval on the Compensation of the Companys Named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On an advisory basis, the stockholders approved the compensation of the Companys named executive officers, as disclosed in the Companys proxy statement for the Annual General Meeting. The voting results are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49"/>
        <w:gridCol w:w="102"/>
        <w:gridCol w:w="2449"/>
        <w:gridCol w:w="102"/>
        <w:gridCol w:w="2551"/>
        <w:gridCol w:w="102"/>
        <w:gridCol w:w="2450"/>
      </w:tblGrid>
      <w:tr>
        <w:trPr/>
        <w:tc>
          <w:tcPr>
            <w:tcW w:w="244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r>
      <w:tr>
        <w:trPr/>
        <w:tc>
          <w:tcPr>
            <w:tcW w:w="244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Votes For</w:t>
            </w:r>
          </w:p>
        </w:tc>
        <w:tc>
          <w:tcPr>
            <w:tcW w:w="102" w:type="dxa"/>
            <w:tcBorders/>
            <w:vAlign w:val="bottom"/>
          </w:tcPr>
          <w:p>
            <w:pPr>
              <w:pStyle w:val="TableContents"/>
              <w:bidi w:val="0"/>
              <w:spacing w:before="0" w:after="283"/>
              <w:jc w:val="left"/>
              <w:rPr/>
            </w:pPr>
            <w:r>
              <w:rPr/>
              <w:t> </w:t>
            </w:r>
          </w:p>
        </w:tc>
        <w:tc>
          <w:tcPr>
            <w:tcW w:w="244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Votes Against</w:t>
            </w:r>
          </w:p>
        </w:tc>
        <w:tc>
          <w:tcPr>
            <w:tcW w:w="102" w:type="dxa"/>
            <w:tcBorders/>
            <w:vAlign w:val="bottom"/>
          </w:tcPr>
          <w:p>
            <w:pPr>
              <w:pStyle w:val="TableContents"/>
              <w:bidi w:val="0"/>
              <w:spacing w:before="0" w:after="283"/>
              <w:jc w:val="left"/>
              <w:rPr/>
            </w:pPr>
            <w:r>
              <w:rPr/>
              <w:t> </w:t>
            </w:r>
          </w:p>
        </w:tc>
        <w:tc>
          <w:tcPr>
            <w:tcW w:w="255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Abstentions</w:t>
            </w:r>
          </w:p>
        </w:tc>
        <w:tc>
          <w:tcPr>
            <w:tcW w:w="102" w:type="dxa"/>
            <w:tcBorders/>
            <w:vAlign w:val="bottom"/>
          </w:tcPr>
          <w:p>
            <w:pPr>
              <w:pStyle w:val="TableContents"/>
              <w:bidi w:val="0"/>
              <w:spacing w:before="0" w:after="283"/>
              <w:jc w:val="left"/>
              <w:rPr/>
            </w:pPr>
            <w:r>
              <w:rPr/>
              <w:t> </w:t>
            </w:r>
          </w:p>
        </w:tc>
        <w:tc>
          <w:tcPr>
            <w:tcW w:w="245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Broker Non-Votes</w:t>
            </w:r>
          </w:p>
        </w:tc>
      </w:tr>
      <w:tr>
        <w:trPr/>
        <w:tc>
          <w:tcPr>
            <w:tcW w:w="2449" w:type="dxa"/>
            <w:tcBorders/>
            <w:shd w:fill="CCEEFF" w:val="clear"/>
          </w:tcPr>
          <w:p>
            <w:pPr>
              <w:pStyle w:val="TableContents"/>
              <w:bidi w:val="0"/>
              <w:spacing w:before="0" w:after="283"/>
              <w:jc w:val="center"/>
              <w:rPr/>
            </w:pPr>
            <w:r>
              <w:rPr/>
              <w:t>14,819,757</w:t>
            </w:r>
          </w:p>
        </w:tc>
        <w:tc>
          <w:tcPr>
            <w:tcW w:w="102" w:type="dxa"/>
            <w:tcBorders/>
            <w:shd w:fill="CCEEFF" w:val="clear"/>
            <w:vAlign w:val="bottom"/>
          </w:tcPr>
          <w:p>
            <w:pPr>
              <w:pStyle w:val="TableContents"/>
              <w:bidi w:val="0"/>
              <w:spacing w:before="0" w:after="283"/>
              <w:jc w:val="left"/>
              <w:rPr/>
            </w:pPr>
            <w:r>
              <w:rPr/>
              <w:t> </w:t>
            </w:r>
          </w:p>
        </w:tc>
        <w:tc>
          <w:tcPr>
            <w:tcW w:w="2449" w:type="dxa"/>
            <w:tcBorders/>
            <w:shd w:fill="CCEEFF" w:val="clear"/>
          </w:tcPr>
          <w:p>
            <w:pPr>
              <w:pStyle w:val="TableContents"/>
              <w:bidi w:val="0"/>
              <w:spacing w:before="0" w:after="283"/>
              <w:jc w:val="center"/>
              <w:rPr/>
            </w:pPr>
            <w:r>
              <w:rPr/>
              <w:t>66,777</w:t>
            </w:r>
          </w:p>
        </w:tc>
        <w:tc>
          <w:tcPr>
            <w:tcW w:w="102" w:type="dxa"/>
            <w:tcBorders/>
            <w:shd w:fill="CCEEFF" w:val="clear"/>
            <w:vAlign w:val="bottom"/>
          </w:tcPr>
          <w:p>
            <w:pPr>
              <w:pStyle w:val="TableContents"/>
              <w:bidi w:val="0"/>
              <w:spacing w:before="0" w:after="283"/>
              <w:jc w:val="left"/>
              <w:rPr/>
            </w:pPr>
            <w:r>
              <w:rPr/>
              <w:t> </w:t>
            </w:r>
          </w:p>
        </w:tc>
        <w:tc>
          <w:tcPr>
            <w:tcW w:w="2551" w:type="dxa"/>
            <w:tcBorders/>
            <w:shd w:fill="CCEEFF" w:val="clear"/>
          </w:tcPr>
          <w:p>
            <w:pPr>
              <w:pStyle w:val="TableContents"/>
              <w:bidi w:val="0"/>
              <w:spacing w:before="0" w:after="283"/>
              <w:jc w:val="center"/>
              <w:rPr/>
            </w:pPr>
            <w:r>
              <w:rPr/>
              <w:t>15,325</w:t>
            </w:r>
          </w:p>
        </w:tc>
        <w:tc>
          <w:tcPr>
            <w:tcW w:w="102" w:type="dxa"/>
            <w:tcBorders/>
            <w:shd w:fill="CCEEFF" w:val="clear"/>
            <w:vAlign w:val="bottom"/>
          </w:tcPr>
          <w:p>
            <w:pPr>
              <w:pStyle w:val="TableContents"/>
              <w:bidi w:val="0"/>
              <w:spacing w:before="0" w:after="283"/>
              <w:jc w:val="left"/>
              <w:rPr/>
            </w:pPr>
            <w:r>
              <w:rPr/>
              <w:t> </w:t>
            </w:r>
          </w:p>
        </w:tc>
        <w:tc>
          <w:tcPr>
            <w:tcW w:w="2450" w:type="dxa"/>
            <w:tcBorders/>
            <w:shd w:fill="CCEEFF" w:val="clear"/>
          </w:tcPr>
          <w:p>
            <w:pPr>
              <w:pStyle w:val="TableContents"/>
              <w:bidi w:val="0"/>
              <w:spacing w:before="0" w:after="283"/>
              <w:jc w:val="center"/>
              <w:rPr/>
            </w:pPr>
            <w:r>
              <w:rPr/>
              <w:t>1,351,739</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Proposal 4: Advisory Vote on the Frequency of Stockholder Advisory Votes on Executive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stockholders indicated, on an advisory basis, that the preferred frequency of the advisory vote on the compensation of the Companys named executive officers (Say on Frequency) occur every year. The voting results were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38"/>
        <w:gridCol w:w="101"/>
        <w:gridCol w:w="1940"/>
        <w:gridCol w:w="101"/>
        <w:gridCol w:w="2041"/>
        <w:gridCol w:w="101"/>
        <w:gridCol w:w="2042"/>
        <w:gridCol w:w="101"/>
        <w:gridCol w:w="1940"/>
      </w:tblGrid>
      <w:tr>
        <w:trPr/>
        <w:tc>
          <w:tcPr>
            <w:tcW w:w="183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r>
      <w:tr>
        <w:trPr/>
        <w:tc>
          <w:tcPr>
            <w:tcW w:w="183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1 Year</w:t>
            </w:r>
          </w:p>
        </w:tc>
        <w:tc>
          <w:tcPr>
            <w:tcW w:w="101" w:type="dxa"/>
            <w:tcBorders/>
            <w:vAlign w:val="bottom"/>
          </w:tcPr>
          <w:p>
            <w:pPr>
              <w:pStyle w:val="TableContents"/>
              <w:bidi w:val="0"/>
              <w:spacing w:before="0" w:after="283"/>
              <w:jc w:val="left"/>
              <w:rPr/>
            </w:pPr>
            <w:r>
              <w:rPr/>
              <w:t> </w:t>
            </w:r>
          </w:p>
        </w:tc>
        <w:tc>
          <w:tcPr>
            <w:tcW w:w="194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2 Years</w:t>
            </w:r>
          </w:p>
        </w:tc>
        <w:tc>
          <w:tcPr>
            <w:tcW w:w="101" w:type="dxa"/>
            <w:tcBorders/>
            <w:vAlign w:val="bottom"/>
          </w:tcPr>
          <w:p>
            <w:pPr>
              <w:pStyle w:val="TableContents"/>
              <w:bidi w:val="0"/>
              <w:spacing w:before="0" w:after="283"/>
              <w:jc w:val="left"/>
              <w:rPr/>
            </w:pPr>
            <w:r>
              <w:rPr/>
              <w:t> </w:t>
            </w:r>
          </w:p>
        </w:tc>
        <w:tc>
          <w:tcPr>
            <w:tcW w:w="204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3 Years</w:t>
            </w:r>
          </w:p>
        </w:tc>
        <w:tc>
          <w:tcPr>
            <w:tcW w:w="101" w:type="dxa"/>
            <w:tcBorders/>
            <w:vAlign w:val="bottom"/>
          </w:tcPr>
          <w:p>
            <w:pPr>
              <w:pStyle w:val="TableContents"/>
              <w:bidi w:val="0"/>
              <w:spacing w:before="0" w:after="283"/>
              <w:jc w:val="left"/>
              <w:rPr/>
            </w:pPr>
            <w:r>
              <w:rPr/>
              <w:t> </w:t>
            </w:r>
          </w:p>
        </w:tc>
        <w:tc>
          <w:tcPr>
            <w:tcW w:w="204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Abstentions</w:t>
            </w:r>
          </w:p>
        </w:tc>
        <w:tc>
          <w:tcPr>
            <w:tcW w:w="101" w:type="dxa"/>
            <w:tcBorders/>
            <w:vAlign w:val="bottom"/>
          </w:tcPr>
          <w:p>
            <w:pPr>
              <w:pStyle w:val="TableContents"/>
              <w:bidi w:val="0"/>
              <w:spacing w:before="0" w:after="283"/>
              <w:jc w:val="left"/>
              <w:rPr/>
            </w:pPr>
            <w:r>
              <w:rPr/>
              <w:t> </w:t>
            </w:r>
          </w:p>
        </w:tc>
        <w:tc>
          <w:tcPr>
            <w:tcW w:w="194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Broker Non-Votes</w:t>
            </w:r>
          </w:p>
        </w:tc>
      </w:tr>
      <w:tr>
        <w:trPr/>
        <w:tc>
          <w:tcPr>
            <w:tcW w:w="1838" w:type="dxa"/>
            <w:tcBorders/>
            <w:shd w:fill="CCEEFF" w:val="clear"/>
          </w:tcPr>
          <w:p>
            <w:pPr>
              <w:pStyle w:val="TableContents"/>
              <w:bidi w:val="0"/>
              <w:spacing w:before="0" w:after="283"/>
              <w:jc w:val="center"/>
              <w:rPr/>
            </w:pPr>
            <w:r>
              <w:rPr/>
              <w:t>14,878,746</w:t>
            </w:r>
          </w:p>
        </w:tc>
        <w:tc>
          <w:tcPr>
            <w:tcW w:w="101" w:type="dxa"/>
            <w:tcBorders/>
            <w:shd w:fill="CCEEFF" w:val="clear"/>
            <w:vAlign w:val="bottom"/>
          </w:tcPr>
          <w:p>
            <w:pPr>
              <w:pStyle w:val="TableContents"/>
              <w:bidi w:val="0"/>
              <w:spacing w:before="0" w:after="283"/>
              <w:jc w:val="left"/>
              <w:rPr/>
            </w:pPr>
            <w:r>
              <w:rPr/>
              <w:t> </w:t>
            </w:r>
          </w:p>
        </w:tc>
        <w:tc>
          <w:tcPr>
            <w:tcW w:w="1940" w:type="dxa"/>
            <w:tcBorders/>
            <w:shd w:fill="CCEEFF" w:val="clear"/>
          </w:tcPr>
          <w:p>
            <w:pPr>
              <w:pStyle w:val="TableContents"/>
              <w:bidi w:val="0"/>
              <w:spacing w:before="0" w:after="283"/>
              <w:jc w:val="center"/>
              <w:rPr/>
            </w:pPr>
            <w:r>
              <w:rPr/>
              <w:t>2,679</w:t>
            </w:r>
          </w:p>
        </w:tc>
        <w:tc>
          <w:tcPr>
            <w:tcW w:w="101" w:type="dxa"/>
            <w:tcBorders/>
            <w:shd w:fill="CCEEFF" w:val="clear"/>
            <w:vAlign w:val="bottom"/>
          </w:tcPr>
          <w:p>
            <w:pPr>
              <w:pStyle w:val="TableContents"/>
              <w:bidi w:val="0"/>
              <w:spacing w:before="0" w:after="283"/>
              <w:jc w:val="left"/>
              <w:rPr/>
            </w:pPr>
            <w:r>
              <w:rPr/>
              <w:t> </w:t>
            </w:r>
          </w:p>
        </w:tc>
        <w:tc>
          <w:tcPr>
            <w:tcW w:w="2041" w:type="dxa"/>
            <w:tcBorders/>
            <w:shd w:fill="CCEEFF" w:val="clear"/>
          </w:tcPr>
          <w:p>
            <w:pPr>
              <w:pStyle w:val="TableContents"/>
              <w:bidi w:val="0"/>
              <w:spacing w:before="0" w:after="283"/>
              <w:jc w:val="center"/>
              <w:rPr/>
            </w:pPr>
            <w:r>
              <w:rPr/>
              <w:t>19,029</w:t>
            </w:r>
          </w:p>
        </w:tc>
        <w:tc>
          <w:tcPr>
            <w:tcW w:w="101" w:type="dxa"/>
            <w:tcBorders/>
            <w:shd w:fill="CCEEFF" w:val="clear"/>
            <w:vAlign w:val="bottom"/>
          </w:tcPr>
          <w:p>
            <w:pPr>
              <w:pStyle w:val="TableContents"/>
              <w:bidi w:val="0"/>
              <w:spacing w:before="0" w:after="283"/>
              <w:jc w:val="left"/>
              <w:rPr/>
            </w:pPr>
            <w:r>
              <w:rPr/>
              <w:t> </w:t>
            </w:r>
          </w:p>
        </w:tc>
        <w:tc>
          <w:tcPr>
            <w:tcW w:w="2042" w:type="dxa"/>
            <w:tcBorders/>
            <w:shd w:fill="CCEEFF" w:val="clear"/>
          </w:tcPr>
          <w:p>
            <w:pPr>
              <w:pStyle w:val="TableContents"/>
              <w:bidi w:val="0"/>
              <w:spacing w:before="0" w:after="283"/>
              <w:jc w:val="center"/>
              <w:rPr/>
            </w:pPr>
            <w:r>
              <w:rPr/>
              <w:t>1,405</w:t>
            </w:r>
          </w:p>
        </w:tc>
        <w:tc>
          <w:tcPr>
            <w:tcW w:w="101" w:type="dxa"/>
            <w:tcBorders/>
            <w:shd w:fill="CCEEFF" w:val="clear"/>
            <w:vAlign w:val="bottom"/>
          </w:tcPr>
          <w:p>
            <w:pPr>
              <w:pStyle w:val="TableContents"/>
              <w:bidi w:val="0"/>
              <w:spacing w:before="0" w:after="283"/>
              <w:jc w:val="left"/>
              <w:rPr/>
            </w:pPr>
            <w:r>
              <w:rPr/>
              <w:t> </w:t>
            </w:r>
          </w:p>
        </w:tc>
        <w:tc>
          <w:tcPr>
            <w:tcW w:w="1940" w:type="dxa"/>
            <w:tcBorders/>
            <w:shd w:fill="CCEEFF" w:val="clear"/>
          </w:tcPr>
          <w:p>
            <w:pPr>
              <w:pStyle w:val="TableContents"/>
              <w:bidi w:val="0"/>
              <w:spacing w:before="0" w:after="283"/>
              <w:jc w:val="center"/>
              <w:rPr/>
            </w:pPr>
            <w:r>
              <w:rPr/>
              <w:t>1,351,739</w:t>
            </w:r>
          </w:p>
        </w:tc>
      </w:tr>
    </w:tbl>
    <w:p>
      <w:pPr>
        <w:pStyle w:val="TextBody"/>
        <w:bidi w:val="0"/>
        <w:spacing w:before="240" w:after="0"/>
        <w:jc w:val="left"/>
        <w:rPr>
          <w:rFonts w:ascii="Times New Roman" w:hAnsi="Times New Roman"/>
          <w:sz w:val="20"/>
        </w:rPr>
      </w:pPr>
      <w:r>
        <w:rPr>
          <w:rFonts w:ascii="Times New Roman" w:hAnsi="Times New Roman"/>
          <w:sz w:val="20"/>
        </w:rPr>
        <w:t xml:space="preserve">Consistent with the recommendation of the Companys Board of Directors, as set forth in the Companys proxy statement for the Annual General Meeting, and based on the results of this non-binding advisory vote, it is the Companys intent that future advisory stockholder votes on the compensation of the Companys named executive officers will be held annually and included in the Companys proxy materials for each annual meeting until the next required vote on Say on Frequency.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12"/>
        <w:gridCol w:w="110"/>
        <w:gridCol w:w="395"/>
        <w:gridCol w:w="110"/>
        <w:gridCol w:w="372"/>
        <w:gridCol w:w="110"/>
        <w:gridCol w:w="4596"/>
      </w:tblGrid>
      <w:tr>
        <w:trPr/>
        <w:tc>
          <w:tcPr>
            <w:tcW w:w="4512"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4596" w:type="dxa"/>
            <w:tcBorders/>
            <w:vAlign w:val="center"/>
          </w:tcPr>
          <w:p>
            <w:pPr>
              <w:pStyle w:val="TableContents"/>
              <w:bidi w:val="0"/>
              <w:spacing w:before="0" w:after="283"/>
              <w:jc w:val="left"/>
              <w:rPr>
                <w:sz w:val="4"/>
                <w:szCs w:val="4"/>
              </w:rPr>
            </w:pPr>
            <w:r>
              <w:rPr>
                <w:sz w:val="4"/>
                <w:szCs w:val="4"/>
              </w:rPr>
            </w:r>
          </w:p>
        </w:tc>
      </w:tr>
      <w:tr>
        <w:trPr/>
        <w:tc>
          <w:tcPr>
            <w:tcW w:w="4512"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5078" w:type="dxa"/>
            <w:gridSpan w:val="3"/>
            <w:tcBorders/>
            <w:vAlign w:val="bottom"/>
          </w:tcPr>
          <w:p>
            <w:pPr>
              <w:pStyle w:val="TableContents"/>
              <w:bidi w:val="0"/>
              <w:spacing w:before="0" w:after="283"/>
              <w:jc w:val="left"/>
              <w:rPr>
                <w:b/>
              </w:rPr>
            </w:pPr>
            <w:r>
              <w:rPr>
                <w:b/>
              </w:rPr>
              <w:t>Tectonic Therapeutic, Inc.</w:t>
            </w:r>
          </w:p>
        </w:tc>
      </w:tr>
      <w:tr>
        <w:trPr>
          <w:trHeight w:val="240" w:hRule="atLeast"/>
        </w:trPr>
        <w:tc>
          <w:tcPr>
            <w:tcW w:w="4512" w:type="dxa"/>
            <w:tcBorders/>
            <w:vAlign w:val="center"/>
          </w:tcPr>
          <w:p>
            <w:pPr>
              <w:pStyle w:val="TableContents"/>
              <w:bidi w:val="0"/>
              <w:spacing w:before="0" w:after="283"/>
              <w:jc w:val="left"/>
              <w:rPr>
                <w:sz w:val="4"/>
                <w:szCs w:val="4"/>
              </w:rPr>
            </w:pPr>
            <w:r>
              <w:rPr>
                <w:sz w:val="4"/>
                <w:szCs w:val="4"/>
              </w:rPr>
            </w:r>
          </w:p>
        </w:tc>
        <w:tc>
          <w:tcPr>
            <w:tcW w:w="505" w:type="dxa"/>
            <w:gridSpan w:val="2"/>
            <w:tcBorders/>
            <w:vAlign w:val="center"/>
          </w:tcPr>
          <w:p>
            <w:pPr>
              <w:pStyle w:val="TableContents"/>
              <w:bidi w:val="0"/>
              <w:spacing w:before="0" w:after="283"/>
              <w:jc w:val="left"/>
              <w:rPr>
                <w:sz w:val="4"/>
                <w:szCs w:val="4"/>
              </w:rPr>
            </w:pPr>
            <w:r>
              <w:rPr>
                <w:sz w:val="4"/>
                <w:szCs w:val="4"/>
              </w:rPr>
            </w:r>
          </w:p>
        </w:tc>
        <w:tc>
          <w:tcPr>
            <w:tcW w:w="482" w:type="dxa"/>
            <w:gridSpan w:val="2"/>
            <w:tcBorders/>
            <w:vAlign w:val="center"/>
          </w:tcPr>
          <w:p>
            <w:pPr>
              <w:pStyle w:val="TableContents"/>
              <w:bidi w:val="0"/>
              <w:spacing w:before="0" w:after="283"/>
              <w:jc w:val="left"/>
              <w:rPr>
                <w:sz w:val="4"/>
                <w:szCs w:val="4"/>
              </w:rPr>
            </w:pPr>
            <w:r>
              <w:rPr>
                <w:sz w:val="4"/>
                <w:szCs w:val="4"/>
              </w:rPr>
            </w:r>
          </w:p>
        </w:tc>
        <w:tc>
          <w:tcPr>
            <w:tcW w:w="4706" w:type="dxa"/>
            <w:gridSpan w:val="2"/>
            <w:tcBorders/>
            <w:vAlign w:val="center"/>
          </w:tcPr>
          <w:p>
            <w:pPr>
              <w:pStyle w:val="TableContents"/>
              <w:bidi w:val="0"/>
              <w:spacing w:before="0" w:after="283"/>
              <w:jc w:val="left"/>
              <w:rPr>
                <w:sz w:val="4"/>
                <w:szCs w:val="4"/>
              </w:rPr>
            </w:pPr>
            <w:r>
              <w:rPr>
                <w:sz w:val="4"/>
                <w:szCs w:val="4"/>
              </w:rPr>
            </w:r>
          </w:p>
        </w:tc>
      </w:tr>
      <w:tr>
        <w:trPr/>
        <w:tc>
          <w:tcPr>
            <w:tcW w:w="4512" w:type="dxa"/>
            <w:tcBorders/>
            <w:vAlign w:val="bottom"/>
          </w:tcPr>
          <w:p>
            <w:pPr>
              <w:pStyle w:val="TableContents"/>
              <w:bidi w:val="0"/>
              <w:spacing w:before="0" w:after="283"/>
              <w:jc w:val="left"/>
              <w:rPr/>
            </w:pPr>
            <w:r>
              <w:rPr/>
              <w:t>Date: June 6, 2025</w:t>
            </w:r>
          </w:p>
        </w:tc>
        <w:tc>
          <w:tcPr>
            <w:tcW w:w="11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72" w:type="dxa"/>
            <w:tcBorders/>
          </w:tcPr>
          <w:p>
            <w:pPr>
              <w:pStyle w:val="TableContents"/>
              <w:bidi w:val="0"/>
              <w:spacing w:before="0" w:after="283"/>
              <w:jc w:val="left"/>
              <w:rPr/>
            </w:pPr>
            <w:r>
              <w:rPr/>
              <w:t>By:</w:t>
            </w:r>
          </w:p>
        </w:tc>
        <w:tc>
          <w:tcPr>
            <w:tcW w:w="110" w:type="dxa"/>
            <w:tcBorders/>
            <w:vAlign w:val="bottom"/>
          </w:tcPr>
          <w:p>
            <w:pPr>
              <w:pStyle w:val="TableContents"/>
              <w:bidi w:val="0"/>
              <w:spacing w:before="0" w:after="283"/>
              <w:jc w:val="left"/>
              <w:rPr/>
            </w:pPr>
            <w:r>
              <w:rPr/>
              <w:t> </w:t>
            </w:r>
          </w:p>
        </w:tc>
        <w:tc>
          <w:tcPr>
            <w:tcW w:w="4596"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Daniel Lochner</w:t>
            </w:r>
          </w:p>
        </w:tc>
      </w:tr>
      <w:tr>
        <w:trPr/>
        <w:tc>
          <w:tcPr>
            <w:tcW w:w="4512"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72"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4596" w:type="dxa"/>
            <w:tcBorders/>
            <w:vAlign w:val="bottom"/>
          </w:tcPr>
          <w:p>
            <w:pPr>
              <w:pStyle w:val="TableContents"/>
              <w:bidi w:val="0"/>
              <w:spacing w:before="0" w:after="283"/>
              <w:jc w:val="left"/>
              <w:rPr/>
            </w:pPr>
            <w:r>
              <w:rPr/>
              <w:t>Daniel Lochner</w:t>
            </w:r>
          </w:p>
        </w:tc>
      </w:tr>
      <w:tr>
        <w:trPr/>
        <w:tc>
          <w:tcPr>
            <w:tcW w:w="4512"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72"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4596" w:type="dxa"/>
            <w:tcBorders/>
            <w:vAlign w:val="bottom"/>
          </w:tcPr>
          <w:p>
            <w:pPr>
              <w:pStyle w:val="TableContents"/>
              <w:bidi w:val="0"/>
              <w:spacing w:before="0" w:after="283"/>
              <w:jc w:val="left"/>
              <w:rPr/>
            </w:pPr>
            <w:r>
              <w:rPr/>
              <w:t>Chief Financial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1193</Words>
  <Characters>6391</Characters>
  <CharactersWithSpaces>7574</CharactersWithSpaces>
  <Paragraphs>217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