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Ruddy Marcella 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09/25/2025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5,370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55,311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9,750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14.71</w:t>
            </w: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09/25/2025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9,750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09/24/2035</w:t>
            </w: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9,750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September 25, 2026, September 25, 2027 and September 25, 2028,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October 25, 2025, subject to the Reporting Person's continued service to the Issuer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Lochner,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09/29/2025</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849"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2025-09-29T16:03:06Z</dcterms:created>
  <dcterms:modified xsi:type="dcterms:W3CDTF">2025-09-29T16:03:06Z</dcterms:modified>
</cp:coreProperties>
</file>