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7"/>
          <w:szCs w:val="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UNITED STATES</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0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37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64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to</w:t>
            </w:r>
          </w:p>
        </w:tc>
      </w:tr>
      <w:tr>
        <w:trPr>
          <w:trHeight w:val="298"/>
        </w:trPr>
        <w:tc>
          <w:tcPr>
            <w:tcW w:w="3100" w:type="dxa"/>
            <w:vAlign w:val="bottom"/>
            <w:gridSpan w:val="3"/>
          </w:tcPr>
          <w:p>
            <w:pPr>
              <w:ind w:left="540"/>
              <w:spacing w:after="0"/>
              <w:rPr>
                <w:sz w:val="20"/>
                <w:szCs w:val="20"/>
                <w:color w:val="auto"/>
              </w:rPr>
            </w:pPr>
            <w:r>
              <w:rPr>
                <w:rFonts w:ascii="Arial" w:cs="Arial" w:eastAsia="Arial" w:hAnsi="Arial"/>
                <w:sz w:val="16"/>
                <w:szCs w:val="16"/>
                <w:b w:val="1"/>
                <w:bCs w:val="1"/>
                <w:color w:val="auto"/>
                <w:w w:val="90"/>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329565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1600" w:type="dxa"/>
        <w:tblCellMar>
          <w:top w:w="0" w:type="dxa"/>
          <w:left w:w="0" w:type="dxa"/>
          <w:bottom w:w="0" w:type="dxa"/>
          <w:right w:w="0" w:type="dxa"/>
        </w:tblCellMar>
      </w:tblPr>
      <w:tr>
        <w:trPr>
          <w:trHeight w:val="497"/>
        </w:trPr>
        <w:tc>
          <w:tcPr>
            <w:tcW w:w="6080" w:type="dxa"/>
            <w:vAlign w:val="bottom"/>
            <w:gridSpan w:val="3"/>
          </w:tcPr>
          <w:p>
            <w:pPr>
              <w:ind w:left="2480"/>
              <w:spacing w:after="0"/>
              <w:rPr>
                <w:sz w:val="20"/>
                <w:szCs w:val="20"/>
                <w:color w:val="auto"/>
              </w:rPr>
            </w:pPr>
            <w:r>
              <w:rPr>
                <w:rFonts w:ascii="Arial" w:cs="Arial" w:eastAsia="Arial" w:hAnsi="Arial"/>
                <w:sz w:val="41"/>
                <w:szCs w:val="41"/>
                <w:b w:val="1"/>
                <w:bCs w:val="1"/>
                <w:color w:val="auto"/>
              </w:rPr>
              <w:t>AVROBIO,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gridSpan w:val="3"/>
          </w:tcPr>
          <w:p>
            <w:pPr>
              <w:ind w:left="2140"/>
              <w:spacing w:after="0"/>
              <w:rPr>
                <w:sz w:val="20"/>
                <w:szCs w:val="20"/>
                <w:color w:val="auto"/>
              </w:rPr>
            </w:pPr>
            <w:r>
              <w:rPr>
                <w:rFonts w:ascii="Arial" w:cs="Arial" w:eastAsia="Arial" w:hAnsi="Arial"/>
                <w:sz w:val="16"/>
                <w:szCs w:val="16"/>
                <w:b w:val="1"/>
                <w:bCs w:val="1"/>
                <w:color w:val="auto"/>
                <w:w w:val="96"/>
              </w:rPr>
              <w:t>(Exact Name of Registrant as Specified in its Charter)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60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3"/>
              </w:rPr>
              <w:t>Delaware</w:t>
            </w:r>
          </w:p>
        </w:tc>
        <w:tc>
          <w:tcPr>
            <w:tcW w:w="1340" w:type="dxa"/>
            <w:vAlign w:val="bottom"/>
          </w:tcPr>
          <w:p>
            <w:pPr>
              <w:jc w:val="right"/>
              <w:ind w:right="84"/>
              <w:spacing w:after="0"/>
              <w:rPr>
                <w:sz w:val="20"/>
                <w:szCs w:val="20"/>
                <w:color w:val="auto"/>
              </w:rPr>
            </w:pPr>
            <w:r>
              <w:rPr>
                <w:rFonts w:ascii="Arial" w:cs="Arial" w:eastAsia="Arial" w:hAnsi="Arial"/>
                <w:sz w:val="16"/>
                <w:szCs w:val="16"/>
                <w:b w:val="1"/>
                <w:bCs w:val="1"/>
                <w:color w:val="auto"/>
              </w:rPr>
              <w:t>81-0710585</w:t>
            </w:r>
          </w:p>
        </w:tc>
        <w:tc>
          <w:tcPr>
            <w:tcW w:w="0" w:type="dxa"/>
            <w:vAlign w:val="bottom"/>
          </w:tcPr>
          <w:p>
            <w:pPr>
              <w:spacing w:after="0"/>
              <w:rPr>
                <w:sz w:val="1"/>
                <w:szCs w:val="1"/>
                <w:color w:val="auto"/>
              </w:rPr>
            </w:pPr>
          </w:p>
        </w:tc>
      </w:tr>
      <w:tr>
        <w:trPr>
          <w:trHeight w:val="159"/>
        </w:trPr>
        <w:tc>
          <w:tcPr>
            <w:tcW w:w="6080" w:type="dxa"/>
            <w:vAlign w:val="bottom"/>
            <w:gridSpan w:val="3"/>
          </w:tcPr>
          <w:p>
            <w:pPr>
              <w:jc w:val="center"/>
              <w:ind w:right="3700"/>
              <w:spacing w:after="0" w:line="159" w:lineRule="exact"/>
              <w:rPr>
                <w:sz w:val="20"/>
                <w:szCs w:val="20"/>
                <w:color w:val="auto"/>
              </w:rPr>
            </w:pPr>
            <w:r>
              <w:rPr>
                <w:rFonts w:ascii="Arial" w:cs="Arial" w:eastAsia="Arial" w:hAnsi="Arial"/>
                <w:sz w:val="14"/>
                <w:szCs w:val="14"/>
                <w:b w:val="1"/>
                <w:bCs w:val="1"/>
                <w:color w:val="auto"/>
                <w:w w:val="92"/>
              </w:rPr>
              <w:t>(State or other jurisdiction of</w:t>
            </w:r>
          </w:p>
        </w:tc>
        <w:tc>
          <w:tcPr>
            <w:tcW w:w="1340" w:type="dxa"/>
            <w:vAlign w:val="bottom"/>
          </w:tcPr>
          <w:p>
            <w:pPr>
              <w:jc w:val="center"/>
              <w:ind w:left="144"/>
              <w:spacing w:after="0" w:line="15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3"/>
              </w:rPr>
              <w:t>incorporation or organization)</w:t>
            </w:r>
          </w:p>
        </w:tc>
        <w:tc>
          <w:tcPr>
            <w:tcW w:w="1340" w:type="dxa"/>
            <w:vAlign w:val="bottom"/>
          </w:tcPr>
          <w:p>
            <w:pPr>
              <w:jc w:val="center"/>
              <w:ind w:left="14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60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0"/>
              </w:rPr>
              <w:t>100 Technology Square</w:t>
            </w:r>
          </w:p>
        </w:tc>
        <w:tc>
          <w:tcPr>
            <w:tcW w:w="1340" w:type="dxa"/>
            <w:vAlign w:val="bottom"/>
            <w:vMerge w:val="restart"/>
          </w:tcPr>
          <w:p>
            <w:pPr>
              <w:jc w:val="right"/>
              <w:ind w:right="284"/>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75"/>
        </w:trPr>
        <w:tc>
          <w:tcPr>
            <w:tcW w:w="6080" w:type="dxa"/>
            <w:vAlign w:val="bottom"/>
            <w:gridSpan w:val="3"/>
          </w:tcPr>
          <w:p>
            <w:pPr>
              <w:jc w:val="center"/>
              <w:ind w:right="3700"/>
              <w:spacing w:after="0" w:line="175" w:lineRule="exact"/>
              <w:rPr>
                <w:sz w:val="20"/>
                <w:szCs w:val="20"/>
                <w:color w:val="auto"/>
              </w:rPr>
            </w:pPr>
            <w:r>
              <w:rPr>
                <w:rFonts w:ascii="Arial" w:cs="Arial" w:eastAsia="Arial" w:hAnsi="Arial"/>
                <w:sz w:val="16"/>
                <w:szCs w:val="16"/>
                <w:b w:val="1"/>
                <w:bCs w:val="1"/>
                <w:color w:val="auto"/>
                <w:w w:val="93"/>
              </w:rPr>
              <w:t>Sixth Floor</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7"/>
              </w:rPr>
              <w:t>Cambridge, MA</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160655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8"/>
        </w:trPr>
        <w:tc>
          <w:tcPr>
            <w:tcW w:w="42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6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5"/>
              </w:rPr>
              <w:t>AVRO</w:t>
            </w:r>
          </w:p>
        </w:tc>
        <w:tc>
          <w:tcPr>
            <w:tcW w:w="120" w:type="dxa"/>
            <w:vAlign w:val="bottom"/>
          </w:tcPr>
          <w:p>
            <w:pPr>
              <w:spacing w:after="0"/>
              <w:rPr>
                <w:sz w:val="22"/>
                <w:szCs w:val="22"/>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w:t>
      </w:r>
    </w:p>
    <w:p>
      <w:pPr>
        <w:spacing w:after="0" w:line="3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28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right="26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2022, the registrant had 43,774,088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18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03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31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94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8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Statements o</w:t>
      </w:r>
      <w:r>
        <w:rPr>
          <w:rFonts w:ascii="Arial" w:cs="Arial" w:eastAsia="Arial" w:hAnsi="Arial"/>
          <w:sz w:val="21"/>
          <w:szCs w:val="21"/>
          <w:u w:val="single" w:color="auto"/>
          <w:color w:val="0000FF"/>
        </w:rPr>
        <w:t>f</w:t>
      </w:r>
      <w:r>
        <w:rPr>
          <w:rFonts w:ascii="Arial" w:cs="Arial" w:eastAsia="Arial" w:hAnsi="Arial"/>
          <w:sz w:val="18"/>
          <w:szCs w:val="18"/>
          <w:u w:val="single" w:color="auto"/>
          <w:color w:val="0000FF"/>
        </w:rPr>
        <w:t xml:space="preserve">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57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8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spacing w:after="0" w:line="3" w:lineRule="exact"/>
        <w:rPr>
          <w:sz w:val="20"/>
          <w:szCs w:val="20"/>
          <w:color w:val="auto"/>
        </w:rPr>
      </w:pPr>
    </w:p>
    <w:p>
      <w:pPr>
        <w:ind w:right="1960"/>
        <w:spacing w:after="0" w:line="266" w:lineRule="auto"/>
        <w:rPr>
          <w:sz w:val="20"/>
          <w:szCs w:val="20"/>
          <w:color w:val="auto"/>
        </w:rPr>
      </w:pPr>
      <w:r>
        <w:rPr>
          <w:rFonts w:ascii="Arial" w:cs="Arial" w:eastAsia="Arial" w:hAnsi="Arial"/>
          <w:sz w:val="18"/>
          <w:szCs w:val="18"/>
          <w:u w:val="single" w:color="auto"/>
          <w:color w:val="0000FF"/>
        </w:rPr>
        <w:t>Management’s Discussion and Analysis of Financial Condition and Results of Operations Quantitative and Qualitative Disclosures About Market Risk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100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00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2766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1123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2833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470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60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75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23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343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81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82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15240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ectPr>
          <w:pgSz w:w="11900" w:h="16838" w:orient="portrait"/>
          <w:cols w:equalWidth="0" w:num="3">
            <w:col w:w="740" w:space="720"/>
            <w:col w:w="8420" w:space="720"/>
            <w:col w:w="380"/>
          </w:cols>
          <w:pgMar w:left="460" w:top="12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143" w:lineRule="exact"/>
        <w:rPr>
          <w:sz w:val="20"/>
          <w:szCs w:val="20"/>
          <w:color w:val="auto"/>
        </w:rPr>
      </w:pPr>
    </w:p>
    <w:p>
      <w:pPr>
        <w:ind w:left="900" w:right="6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143"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43" w:lineRule="exact"/>
        <w:rPr>
          <w:rFonts w:ascii="Arial" w:cs="Arial" w:eastAsia="Arial" w:hAnsi="Arial"/>
          <w:sz w:val="18"/>
          <w:szCs w:val="18"/>
          <w:color w:val="auto"/>
        </w:rPr>
      </w:pPr>
    </w:p>
    <w:p>
      <w:pPr>
        <w:ind w:left="900" w:right="40" w:hanging="383"/>
        <w:spacing w:after="0" w:line="24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180" w:lineRule="exact"/>
        <w:rPr>
          <w:rFonts w:ascii="Arial" w:cs="Arial" w:eastAsia="Arial" w:hAnsi="Arial"/>
          <w:sz w:val="18"/>
          <w:szCs w:val="18"/>
          <w:color w:val="auto"/>
        </w:rPr>
      </w:pPr>
    </w:p>
    <w:p>
      <w:pPr>
        <w:ind w:left="900" w:right="12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ongoing coronavirus disease or COVID-19 pandemic or similar public health crises have caused and may continue to cause a disruption of the development of our product candidates and adversely impact our business.</w:t>
      </w:r>
    </w:p>
    <w:p>
      <w:pPr>
        <w:spacing w:after="0" w:line="146" w:lineRule="exact"/>
        <w:rPr>
          <w:rFonts w:ascii="Arial" w:cs="Arial" w:eastAsia="Arial" w:hAnsi="Arial"/>
          <w:sz w:val="17"/>
          <w:szCs w:val="17"/>
          <w:color w:val="auto"/>
        </w:rPr>
      </w:pPr>
    </w:p>
    <w:p>
      <w:pPr>
        <w:ind w:left="900" w:right="16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hematopoietic stem cell, or HSC gene therapy product candidates are based on a novel technology, which makes it difficult to predict the time and cost of product candidate development and of subsequently obtaining regulatory approval.</w:t>
      </w:r>
    </w:p>
    <w:p>
      <w:pPr>
        <w:spacing w:after="0" w:line="170" w:lineRule="exact"/>
        <w:rPr>
          <w:rFonts w:ascii="Arial" w:cs="Arial" w:eastAsia="Arial" w:hAnsi="Arial"/>
          <w:sz w:val="18"/>
          <w:szCs w:val="18"/>
          <w:color w:val="auto"/>
        </w:rPr>
      </w:pPr>
    </w:p>
    <w:p>
      <w:pPr>
        <w:ind w:left="900" w:right="140" w:hanging="383"/>
        <w:spacing w:after="0" w:line="24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8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98" w:lineRule="exact"/>
        <w:rPr>
          <w:rFonts w:ascii="Arial" w:cs="Arial" w:eastAsia="Arial" w:hAnsi="Arial"/>
          <w:sz w:val="18"/>
          <w:szCs w:val="18"/>
          <w:color w:val="auto"/>
        </w:rPr>
      </w:pPr>
    </w:p>
    <w:p>
      <w:pPr>
        <w:ind w:left="900" w:right="5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143"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143" w:lineRule="exact"/>
        <w:rPr>
          <w:rFonts w:ascii="Arial" w:cs="Arial" w:eastAsia="Arial" w:hAnsi="Arial"/>
          <w:sz w:val="18"/>
          <w:szCs w:val="18"/>
          <w:color w:val="auto"/>
        </w:rPr>
      </w:pPr>
    </w:p>
    <w:p>
      <w:pPr>
        <w:ind w:left="900" w:right="7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148"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one of our clinical trials utilizes our plato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w:t>
      </w:r>
    </w:p>
    <w:p>
      <w:pPr>
        <w:spacing w:after="0" w:line="164" w:lineRule="exact"/>
        <w:rPr>
          <w:rFonts w:ascii="Arial" w:cs="Arial" w:eastAsia="Arial" w:hAnsi="Arial"/>
          <w:sz w:val="18"/>
          <w:szCs w:val="18"/>
          <w:color w:val="auto"/>
        </w:rPr>
      </w:pPr>
    </w:p>
    <w:p>
      <w:pPr>
        <w:ind w:left="900" w:right="40" w:hanging="383"/>
        <w:spacing w:after="0" w:line="27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44" w:lineRule="exact"/>
        <w:rPr>
          <w:rFonts w:ascii="Arial" w:cs="Arial" w:eastAsia="Arial" w:hAnsi="Arial"/>
          <w:sz w:val="17"/>
          <w:szCs w:val="17"/>
          <w:color w:val="auto"/>
        </w:rPr>
      </w:pPr>
    </w:p>
    <w:p>
      <w:pPr>
        <w:ind w:left="900" w:right="74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170"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70" w:lineRule="exact"/>
        <w:rPr>
          <w:rFonts w:ascii="Arial" w:cs="Arial" w:eastAsia="Arial" w:hAnsi="Arial"/>
          <w:sz w:val="18"/>
          <w:szCs w:val="18"/>
          <w:color w:val="auto"/>
        </w:rPr>
      </w:pPr>
    </w:p>
    <w:p>
      <w:pPr>
        <w:ind w:left="900" w:right="60" w:hanging="383"/>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1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211" w:lineRule="exact"/>
        <w:rPr>
          <w:rFonts w:ascii="Arial" w:cs="Arial" w:eastAsia="Arial" w:hAnsi="Arial"/>
          <w:sz w:val="18"/>
          <w:szCs w:val="18"/>
          <w:color w:val="auto"/>
        </w:rPr>
      </w:pPr>
    </w:p>
    <w:p>
      <w:pPr>
        <w:ind w:left="900" w:right="3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ind w:left="900" w:right="120" w:hanging="383"/>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6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meet Nasdaq’s continued listing requirements could result in a delisting of our common stock.</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212"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This Quarterly Report on Form 10-Q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53" w:lineRule="exact"/>
        <w:rPr>
          <w:sz w:val="20"/>
          <w:szCs w:val="20"/>
          <w:color w:val="auto"/>
        </w:rPr>
      </w:pPr>
    </w:p>
    <w:p>
      <w:pPr>
        <w:jc w:val="both"/>
        <w:ind w:left="900" w:right="80" w:hanging="383"/>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66" w:lineRule="exact"/>
        <w:rPr>
          <w:rFonts w:ascii="Arial" w:cs="Arial" w:eastAsia="Arial" w:hAnsi="Arial"/>
          <w:sz w:val="18"/>
          <w:szCs w:val="18"/>
          <w:color w:val="auto"/>
        </w:rPr>
      </w:pPr>
    </w:p>
    <w:p>
      <w:pPr>
        <w:ind w:left="900" w:right="280" w:hanging="383"/>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6" w:lineRule="exact"/>
        <w:rPr>
          <w:rFonts w:ascii="Arial" w:cs="Arial" w:eastAsia="Arial" w:hAnsi="Arial"/>
          <w:sz w:val="18"/>
          <w:szCs w:val="18"/>
          <w:color w:val="auto"/>
        </w:rPr>
      </w:pPr>
    </w:p>
    <w:p>
      <w:pPr>
        <w:ind w:left="900" w:right="380" w:hanging="383"/>
        <w:spacing w:after="0" w:line="32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900" w:hanging="383"/>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66"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 or HSC gene therapy companies;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the terms of our term loan agreement;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17"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continued listing requirements of the Nasdaq Global Select Market, including a minimum bid price, and to maintain our common stock listing on Nasdaq or any stock exchange;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320"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32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All brand names or trademarks appearing in this Quarterly Report are the property of their respective holders. Unless the context requires otherwise, references in this Quarterly Report to the “Company,” “we,” “us,” and “our” refer to AVROBIO,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147"/>
        </w:trPr>
        <w:tc>
          <w:tcPr>
            <w:tcW w:w="7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440" w:type="dxa"/>
            <w:vAlign w:val="bottom"/>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115,968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199,145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 net of current portion</w:t>
            </w:r>
          </w:p>
        </w:tc>
        <w:tc>
          <w:tcPr>
            <w:tcW w:w="2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payable, net of discount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Deferred rent, net of current portion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00" w:type="dxa"/>
            <w:vAlign w:val="bottom"/>
          </w:tcPr>
          <w:p>
            <w:pPr>
              <w:ind w:left="200"/>
              <w:spacing w:after="0" w:line="175" w:lineRule="exact"/>
              <w:rPr>
                <w:sz w:val="20"/>
                <w:szCs w:val="20"/>
                <w:color w:val="auto"/>
              </w:rPr>
            </w:pPr>
            <w:r>
              <w:rPr>
                <w:rFonts w:ascii="Arial" w:cs="Arial" w:eastAsia="Arial" w:hAnsi="Arial"/>
                <w:sz w:val="18"/>
                <w:szCs w:val="18"/>
                <w:color w:val="auto"/>
                <w:w w:val="92"/>
              </w:rPr>
              <w:t>Common stock, $0.0001 par value; 150,000 shares authorized; 43,773 and 43,652 shares issued and</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553,014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(464,398 )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(383,542 )</w:t>
            </w: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-2553970</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-1130935</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276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50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15,919</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23,043</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54,049</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64,114</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80,177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90,879</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(80,177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(544 )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(95 )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(135 )</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0"/>
        </w:trPr>
        <w:tc>
          <w:tcPr>
            <w:tcW w:w="5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(22,969 )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(32,613 )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(80,856 )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(90,899 )</w:t>
            </w: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 basic and diluted</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(0.52</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75"/>
        </w:trPr>
        <w:tc>
          <w:tcPr>
            <w:tcW w:w="5000" w:type="dxa"/>
            <w:vAlign w:val="bottom"/>
          </w:tcPr>
          <w:p>
            <w:pPr>
              <w:ind w:left="20"/>
              <w:spacing w:after="0" w:line="175" w:lineRule="exact"/>
              <w:rPr>
                <w:sz w:val="20"/>
                <w:szCs w:val="20"/>
                <w:color w:val="auto"/>
              </w:rPr>
            </w:pPr>
            <w:r>
              <w:rPr>
                <w:rFonts w:ascii="Arial" w:cs="Arial" w:eastAsia="Arial" w:hAnsi="Arial"/>
                <w:sz w:val="18"/>
                <w:szCs w:val="18"/>
                <w:color w:val="auto"/>
                <w:w w:val="92"/>
              </w:rPr>
              <w:t>Weighted-average number of common shares outstanding — basic</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43,773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43,722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42,588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-1422400</wp:posOffset>
            </wp:positionV>
            <wp:extent cx="7747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-1422400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-1422400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-1130935</wp:posOffset>
            </wp:positionV>
            <wp:extent cx="7747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-1130935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-1130935</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-565150</wp:posOffset>
            </wp:positionV>
            <wp:extent cx="7747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-565150</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-565150</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8"/>
                <w:szCs w:val="18"/>
                <w:b w:val="1"/>
                <w:bCs w:val="1"/>
                <w:color w:val="auto"/>
                <w:w w:val="91"/>
              </w:rPr>
              <w:t>Three Months Ended September 30, 2021</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560" w:type="dxa"/>
            <w:vAlign w:val="bottom"/>
            <w:gridSpan w:val="3"/>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0"/>
              <w:spacing w:after="0" w:line="164"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Additional</w:t>
            </w:r>
          </w:p>
        </w:tc>
        <w:tc>
          <w:tcPr>
            <w:tcW w:w="14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line="164" w:lineRule="exact"/>
              <w:rPr>
                <w:sz w:val="20"/>
                <w:szCs w:val="20"/>
                <w:color w:val="auto"/>
              </w:rPr>
            </w:pPr>
            <w:r>
              <w:rPr>
                <w:rFonts w:ascii="Arial" w:cs="Arial" w:eastAsia="Arial" w:hAnsi="Arial"/>
                <w:sz w:val="18"/>
                <w:szCs w:val="18"/>
                <w:b w:val="1"/>
                <w:bCs w:val="1"/>
                <w:color w:val="auto"/>
                <w:w w:val="93"/>
              </w:rPr>
              <w:t>Paid-in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20"/>
                <w:szCs w:val="20"/>
                <w:color w:val="auto"/>
              </w:rPr>
            </w:pPr>
          </w:p>
        </w:tc>
        <w:tc>
          <w:tcPr>
            <w:tcW w:w="124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43,623</w:t>
            </w:r>
          </w:p>
        </w:tc>
        <w:tc>
          <w:tcPr>
            <w:tcW w:w="13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543,690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(322,702 )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220,992</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 of stock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(32,613 )</w:t>
            </w: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(32,613 )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43,632</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548,880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(355,315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193,569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September 30, 2021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560" w:type="dxa"/>
            <w:vAlign w:val="bottom"/>
            <w:gridSpan w:val="3"/>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0"/>
              <w:spacing w:after="0" w:line="164"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Additional</w:t>
            </w:r>
          </w:p>
        </w:tc>
        <w:tc>
          <w:tcPr>
            <w:tcW w:w="14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line="164" w:lineRule="exact"/>
              <w:rPr>
                <w:sz w:val="20"/>
                <w:szCs w:val="20"/>
                <w:color w:val="auto"/>
              </w:rPr>
            </w:pPr>
            <w:r>
              <w:rPr>
                <w:rFonts w:ascii="Arial" w:cs="Arial" w:eastAsia="Arial" w:hAnsi="Arial"/>
                <w:sz w:val="18"/>
                <w:szCs w:val="18"/>
                <w:b w:val="1"/>
                <w:bCs w:val="1"/>
                <w:color w:val="auto"/>
                <w:w w:val="93"/>
              </w:rPr>
              <w:t>Paid-in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18"/>
                <w:szCs w:val="18"/>
                <w:color w:val="auto"/>
              </w:rPr>
            </w:pPr>
          </w:p>
        </w:tc>
        <w:tc>
          <w:tcPr>
            <w:tcW w:w="124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41,569</w:t>
            </w: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518,756</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(264,416 )</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254,344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common stock under ATM</w:t>
            </w:r>
          </w:p>
        </w:tc>
        <w:tc>
          <w:tcPr>
            <w:tcW w:w="1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facility, net of offering costs of $67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line="175" w:lineRule="exact"/>
              <w:rPr>
                <w:sz w:val="20"/>
                <w:szCs w:val="20"/>
                <w:color w:val="auto"/>
              </w:rPr>
            </w:pPr>
            <w:r>
              <w:rPr>
                <w:rFonts w:ascii="Arial" w:cs="Arial" w:eastAsia="Arial" w:hAnsi="Arial"/>
                <w:sz w:val="18"/>
                <w:szCs w:val="18"/>
                <w:color w:val="auto"/>
              </w:rPr>
              <w:t>Issuance of common stock under the 2018</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(90,899 )</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(90,899 )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43,632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548,880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(355,315 )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193,569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8"/>
                <w:szCs w:val="18"/>
                <w:b w:val="1"/>
                <w:bCs w:val="1"/>
                <w:color w:val="auto"/>
                <w:w w:val="91"/>
              </w:rPr>
              <w:t>Three Months Ended September 30, 2022</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560" w:type="dxa"/>
            <w:vAlign w:val="bottom"/>
            <w:gridSpan w:val="3"/>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0"/>
              <w:spacing w:after="0" w:line="164"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Additional</w:t>
            </w:r>
          </w:p>
        </w:tc>
        <w:tc>
          <w:tcPr>
            <w:tcW w:w="14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line="164" w:lineRule="exact"/>
              <w:rPr>
                <w:sz w:val="20"/>
                <w:szCs w:val="20"/>
                <w:color w:val="auto"/>
              </w:rPr>
            </w:pPr>
            <w:r>
              <w:rPr>
                <w:rFonts w:ascii="Arial" w:cs="Arial" w:eastAsia="Arial" w:hAnsi="Arial"/>
                <w:sz w:val="18"/>
                <w:szCs w:val="18"/>
                <w:b w:val="1"/>
                <w:bCs w:val="1"/>
                <w:color w:val="auto"/>
                <w:w w:val="93"/>
              </w:rPr>
              <w:t>Paid-in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20"/>
                <w:szCs w:val="20"/>
                <w:color w:val="auto"/>
              </w:rPr>
            </w:pPr>
          </w:p>
        </w:tc>
        <w:tc>
          <w:tcPr>
            <w:tcW w:w="124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43,696</w:t>
            </w:r>
          </w:p>
        </w:tc>
        <w:tc>
          <w:tcPr>
            <w:tcW w:w="13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559,768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(441,429 )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118,343</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common stock under the 2018</w:t>
            </w:r>
          </w:p>
        </w:tc>
        <w:tc>
          <w:tcPr>
            <w:tcW w:w="1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employee stock purchase plan</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(22,969 )</w:t>
            </w: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(22,969 )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43,773</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562,484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(464,398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98,090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-4354195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-4337050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-4354195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-4337050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-4354195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-4337050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-4354195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-4337050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-4354195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-4337050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-2331085</wp:posOffset>
            </wp:positionV>
            <wp:extent cx="7683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-2331085</wp:posOffset>
            </wp:positionV>
            <wp:extent cx="7747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-2331085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-2331085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-2331085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-530860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-513715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-530860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-513715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-530860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-513715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-530860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-513715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-530860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-513715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2"/>
              </w:rPr>
              <w:t>September 30, 2022</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560" w:type="dxa"/>
            <w:vAlign w:val="bottom"/>
            <w:gridSpan w:val="3"/>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0"/>
              <w:spacing w:after="0" w:line="164"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700" w:type="dxa"/>
            <w:vAlign w:val="bottom"/>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Additional</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line="164" w:lineRule="exact"/>
              <w:rPr>
                <w:sz w:val="20"/>
                <w:szCs w:val="20"/>
                <w:color w:val="auto"/>
              </w:rPr>
            </w:pPr>
            <w:r>
              <w:rPr>
                <w:rFonts w:ascii="Arial" w:cs="Arial" w:eastAsia="Arial" w:hAnsi="Arial"/>
                <w:sz w:val="18"/>
                <w:szCs w:val="18"/>
                <w:b w:val="1"/>
                <w:bCs w:val="1"/>
                <w:color w:val="auto"/>
                <w:w w:val="93"/>
              </w:rPr>
              <w:t>Paid-in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43,652</w:t>
            </w: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553,014</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(383,542 )</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169,476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0"/>
              <w:spacing w:after="0" w:line="175" w:lineRule="exact"/>
              <w:rPr>
                <w:sz w:val="20"/>
                <w:szCs w:val="20"/>
                <w:color w:val="auto"/>
              </w:rPr>
            </w:pPr>
            <w:r>
              <w:rPr>
                <w:rFonts w:ascii="Arial" w:cs="Arial" w:eastAsia="Arial" w:hAnsi="Arial"/>
                <w:sz w:val="18"/>
                <w:szCs w:val="18"/>
                <w:color w:val="auto"/>
              </w:rPr>
              <w:t>Issuance of common stock under the 2018</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(80,856 )</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(80,856 )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43,773</w:t>
            </w:r>
          </w:p>
        </w:tc>
        <w:tc>
          <w:tcPr>
            <w:tcW w:w="3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562,484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(464,398 )</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98,090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-1362075</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7683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7747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 w:right="479" w:bottom="1440" w:gutter="0" w:footer="0" w:header="0"/>
        </w:sectPr>
      </w:pPr>
    </w:p>
    <w:bookmarkStart w:id="10" w:name="page11"/>
    <w:bookmarkEnd w:id="10"/>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(80,856 )</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(90,899 )</w:t>
            </w: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9,267</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200"/>
              <w:spacing w:after="0"/>
              <w:rPr>
                <w:sz w:val="20"/>
                <w:szCs w:val="20"/>
                <w:color w:val="auto"/>
              </w:rPr>
            </w:pPr>
            <w:r>
              <w:rPr>
                <w:rFonts w:ascii="Arial" w:cs="Arial" w:eastAsia="Arial" w:hAnsi="Arial"/>
                <w:sz w:val="18"/>
                <w:szCs w:val="18"/>
                <w:color w:val="auto"/>
              </w:rPr>
              <w:t>Deferred rent expense</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(231 )</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(195 )</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(2,729 )</w:t>
            </w:r>
          </w:p>
        </w:tc>
      </w:tr>
      <w:tr>
        <w:trPr>
          <w:trHeight w:val="21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(1,672 )</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(1,305 )</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FF0FC"/>
          </w:tcPr>
          <w:p>
            <w:pPr>
              <w:spacing w:after="0"/>
              <w:rPr>
                <w:sz w:val="18"/>
                <w:szCs w:val="18"/>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4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(73,535 )</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(72,128 )</w:t>
            </w:r>
          </w:p>
        </w:tc>
      </w:tr>
      <w:tr>
        <w:trPr>
          <w:trHeight w:val="209"/>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(267 )</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(1,611 )</w:t>
            </w:r>
          </w:p>
        </w:tc>
      </w:tr>
      <w:tr>
        <w:trPr>
          <w:trHeight w:val="210"/>
        </w:trPr>
        <w:tc>
          <w:tcPr>
            <w:tcW w:w="7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Proceeds from issuance of common shares under ATM facility, net of offering costs paid</w:t>
            </w:r>
          </w:p>
        </w:tc>
        <w:tc>
          <w:tcPr>
            <w:tcW w:w="108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offering costs</w:t>
            </w: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(204 )</w:t>
            </w: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Proceeds from issuance of ESPP shares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0"/>
        </w:trPr>
        <w:tc>
          <w:tcPr>
            <w:tcW w:w="7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0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(73,599 )</w:t>
            </w:r>
          </w:p>
        </w:tc>
        <w:tc>
          <w:tcPr>
            <w:tcW w:w="10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(58,313 )</w:t>
            </w:r>
          </w:p>
        </w:tc>
      </w:tr>
      <w:tr>
        <w:trPr>
          <w:trHeight w:val="216"/>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190,059</w:t>
            </w: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260,174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116,460</w:t>
            </w:r>
          </w:p>
        </w:tc>
        <w:tc>
          <w:tcPr>
            <w:tcW w:w="320" w:type="dxa"/>
            <w:vAlign w:val="bottom"/>
          </w:tcPr>
          <w:p>
            <w:pPr>
              <w:spacing w:after="0"/>
              <w:rPr>
                <w:sz w:val="18"/>
                <w:szCs w:val="18"/>
                <w:color w:val="auto"/>
              </w:rPr>
            </w:pP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201,861</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7340" w:type="dxa"/>
            <w:vAlign w:val="bottom"/>
          </w:tcPr>
          <w:p>
            <w:pPr>
              <w:ind w:left="20"/>
              <w:spacing w:after="0" w:line="175" w:lineRule="exact"/>
              <w:rPr>
                <w:sz w:val="20"/>
                <w:szCs w:val="20"/>
                <w:color w:val="auto"/>
              </w:rPr>
            </w:pPr>
            <w:r>
              <w:rPr>
                <w:rFonts w:ascii="Arial" w:cs="Arial" w:eastAsia="Arial" w:hAnsi="Arial"/>
                <w:sz w:val="18"/>
                <w:szCs w:val="18"/>
                <w:color w:val="auto"/>
              </w:rPr>
              <w:t>Purchases of property and equipment included in accounts payable and</w:t>
            </w: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paid</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171"/>
        </w:trPr>
        <w:tc>
          <w:tcPr>
            <w:tcW w:w="7340" w:type="dxa"/>
            <w:vAlign w:val="bottom"/>
          </w:tcPr>
          <w:p>
            <w:pPr>
              <w:ind w:left="20"/>
              <w:spacing w:after="0" w:line="170" w:lineRule="exact"/>
              <w:rPr>
                <w:sz w:val="20"/>
                <w:szCs w:val="20"/>
                <w:color w:val="auto"/>
              </w:rPr>
            </w:pPr>
            <w:r>
              <w:rPr>
                <w:rFonts w:ascii="Arial" w:cs="Arial" w:eastAsia="Arial" w:hAnsi="Arial"/>
                <w:sz w:val="18"/>
                <w:szCs w:val="18"/>
                <w:b w:val="1"/>
                <w:bCs w:val="1"/>
                <w:color w:val="auto"/>
                <w:w w:val="93"/>
              </w:rPr>
              <w:t>Reconciliation of cash, cash equivalents and restricted cash reported within the condensed</w:t>
            </w: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80" w:type="dxa"/>
            <w:vAlign w:val="bottom"/>
            <w:shd w:val="clear" w:color="auto" w:fill="CFF0FC"/>
          </w:tcPr>
          <w:p>
            <w:pPr>
              <w:jc w:val="right"/>
              <w:ind w:right="89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115,968</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201,369</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Borders>
              <w:bottom w:val="single" w:sz="8" w:color="auto"/>
            </w:tcBorders>
            <w:shd w:val="clear" w:color="auto" w:fill="CFF0FC"/>
          </w:tcPr>
          <w:p>
            <w:pPr>
              <w:jc w:val="right"/>
              <w:ind w:right="8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116,460</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201,861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-3102610</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-2527935</wp:posOffset>
            </wp:positionV>
            <wp:extent cx="685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-1687830</wp:posOffset>
            </wp:positionV>
            <wp:extent cx="6858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-1405255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ind w:left="49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980" w:firstLine="509"/>
        <w:spacing w:after="0" w:line="291" w:lineRule="auto"/>
        <w:rPr>
          <w:sz w:val="20"/>
          <w:szCs w:val="20"/>
          <w:color w:val="auto"/>
        </w:rPr>
      </w:pPr>
      <w:r>
        <w:rPr>
          <w:rFonts w:ascii="Arial" w:cs="Arial" w:eastAsia="Arial" w:hAnsi="Arial"/>
          <w:sz w:val="17"/>
          <w:szCs w:val="17"/>
          <w:color w:val="auto"/>
        </w:rPr>
        <w:t>AVROBIO, Inc. (the “Company” or “AVROBIO”) is a clinical-stage gene therapy company focused on developing potentially curative hematopoietic stem cell (</w:t>
      </w:r>
      <w:r>
        <w:rPr>
          <w:rFonts w:ascii="Arial" w:cs="Arial" w:eastAsia="Arial" w:hAnsi="Arial"/>
          <w:sz w:val="15"/>
          <w:szCs w:val="15"/>
          <w:color w:val="auto"/>
        </w:rPr>
        <w:t>“</w:t>
      </w:r>
      <w:r>
        <w:rPr>
          <w:rFonts w:ascii="Arial" w:cs="Arial" w:eastAsia="Arial" w:hAnsi="Arial"/>
          <w:sz w:val="17"/>
          <w:szCs w:val="17"/>
          <w:color w:val="auto"/>
        </w:rPr>
        <w:t>HSC”) gene therapies to treat rare diseases following a single dose treatment regimen.</w:t>
      </w:r>
    </w:p>
    <w:p>
      <w:pPr>
        <w:spacing w:after="0" w:line="160"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risks associated with completing preclinical studies and clinical trials, developing and scaling a clinical and commercial supply chain,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incurred recurring losses since its inception, including net losses of $80,856 and $90,899 for the nine months ended September</w:t>
      </w:r>
    </w:p>
    <w:p>
      <w:pPr>
        <w:spacing w:after="0" w:line="4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30, 2022 and 2021, respectively. In addition, as of September 30, 2022, the Company had an accumulated deficit of $464,398. The Company has primarily funded these losses through the proceeds from sales of common and preferred stock. In addition, in November 2021 the Company entered into the Loan Agreement (as defined below). Although the Company has incurred recurring losses and expects to continue to incur losses for the foreseeable future, the Company expects that its existing cash and cash equivalents on hand as of September 30, 2022 of $115,968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terms acceptable to the Company, or at all.</w:t>
      </w:r>
    </w:p>
    <w:p>
      <w:pPr>
        <w:spacing w:after="0" w:line="342" w:lineRule="exact"/>
        <w:rPr>
          <w:sz w:val="20"/>
          <w:szCs w:val="20"/>
          <w:color w:val="auto"/>
        </w:rPr>
      </w:pPr>
    </w:p>
    <w:p>
      <w:pPr>
        <w:ind w:right="7660" w:firstLine="8"/>
        <w:spacing w:after="0" w:line="362"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66"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2021, and, in the opinion of management, reflect all adjustments, consisting of normal recurring adjustments, necessary for the fair presentation of the Company’s financial position as of September 30, 2022, and the results of its operations for the three and nine months ended September 30, 2022 and 2021, its statements of stockholders’ equity for the three and nine months ended September 30, 2022 and 2021 and its statement of cash flows for the nine months ended September 30, 2022 and 2021.</w:t>
      </w:r>
    </w:p>
    <w:p>
      <w:pPr>
        <w:spacing w:after="0" w:line="16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results for the three and nine months ended September 30,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for the year ended December 31, 2021, filed with the SEC on March 17, 2022.</w:t>
      </w:r>
    </w:p>
    <w:p>
      <w:pPr>
        <w:spacing w:after="0" w:line="181" w:lineRule="exact"/>
        <w:rPr>
          <w:sz w:val="20"/>
          <w:szCs w:val="20"/>
          <w:color w:val="auto"/>
        </w:rPr>
      </w:pPr>
    </w:p>
    <w:p>
      <w:pPr>
        <w:ind w:right="120" w:firstLine="509"/>
        <w:spacing w:after="0" w:line="303" w:lineRule="auto"/>
        <w:rPr>
          <w:sz w:val="20"/>
          <w:szCs w:val="20"/>
          <w:color w:val="auto"/>
        </w:rPr>
      </w:pPr>
      <w:r>
        <w:rPr>
          <w:rFonts w:ascii="Arial" w:cs="Arial" w:eastAsia="Arial" w:hAnsi="Arial"/>
          <w:sz w:val="16"/>
          <w:szCs w:val="16"/>
          <w:color w:val="auto"/>
        </w:rPr>
        <w:t>The unaudited condensed consolidated financial statements reflect the application of certain significant accounting policies as described below and elsewhere in these notes to the unaudited condensed consolidated financial statements. As of September 30, 2022, there have been no changes to the Company’s significant accounting policies as described in the Company’s Annual Report on Form 10-K for the fiscal year ended December 31, 2021.</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 w:name="page13"/>
    <w:bookmarkEnd w:id="12"/>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5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1" w:lineRule="exact"/>
        <w:rPr>
          <w:sz w:val="20"/>
          <w:szCs w:val="20"/>
          <w:color w:val="auto"/>
        </w:rPr>
      </w:pPr>
    </w:p>
    <w:p>
      <w:pPr>
        <w:ind w:right="180" w:firstLine="509"/>
        <w:spacing w:after="0" w:line="28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5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8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2021, the Company determined the volatility for awards granted up through December 31, 2021 based on an analysis of reported data for a group of guideline companies that issued options with substantially similar terms. Beginning with options granted in 2022,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applicable to other public companies, which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04" w:lineRule="exact"/>
        <w:rPr>
          <w:sz w:val="20"/>
          <w:szCs w:val="20"/>
          <w:color w:val="auto"/>
        </w:rPr>
      </w:pPr>
    </w:p>
    <w:p>
      <w:pPr>
        <w:ind w:right="560" w:firstLine="509"/>
        <w:spacing w:after="0" w:line="256"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(Topic 842) Leases,</w:t>
      </w:r>
      <w:r>
        <w:rPr>
          <w:rFonts w:ascii="Arial" w:cs="Arial" w:eastAsia="Arial" w:hAnsi="Arial"/>
          <w:sz w:val="17"/>
          <w:szCs w:val="17"/>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 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p>
    <w:p>
      <w:pPr>
        <w:spacing w:after="0" w:line="46"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Instruments</w:t>
      </w:r>
      <w:r>
        <w:rPr>
          <w:rFonts w:ascii="Arial" w:cs="Arial" w:eastAsia="Arial" w:hAnsi="Arial"/>
          <w:sz w:val="16"/>
          <w:szCs w:val="16"/>
          <w:color w:val="auto"/>
        </w:rPr>
        <w:t>, or ASU 2016-13. ASU 2016-13 requires that credit losses be reported as an allowance using an expected losses model, representing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expects an immaterial impact to its financial statements.</w:t>
      </w:r>
    </w:p>
    <w:p>
      <w:pPr>
        <w:spacing w:after="0" w:line="1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1" w:lineRule="exact"/>
        <w:rPr>
          <w:sz w:val="20"/>
          <w:szCs w:val="20"/>
          <w:color w:val="auto"/>
        </w:rPr>
      </w:pPr>
    </w:p>
    <w:p>
      <w:pPr>
        <w:ind w:right="240" w:firstLine="509"/>
        <w:spacing w:after="0" w:line="24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As consideration for the MPSII License Agreement, the Company agreed to pay UoM an upfront, one-time fee of $8,000, which was recognized as research and development expense during the year ended December 31, 2020.</w:t>
      </w:r>
    </w:p>
    <w:p>
      <w:pPr>
        <w:spacing w:after="0" w:line="171"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regulatory approval of the clinical trial application for the investigator-sponsored Phase 1/2 clinical trial sponsored by UoM, and the next anticipated payment milestone under the agreement is $4,000, upon the dosing of the first patient in the investigator-sponsored Phase 1/2 clinical trial sponsored by UoM.</w:t>
      </w:r>
    </w:p>
    <w:p>
      <w:pPr>
        <w:spacing w:after="0" w:line="17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99" w:lineRule="exact"/>
        <w:rPr>
          <w:sz w:val="20"/>
          <w:szCs w:val="20"/>
          <w:color w:val="auto"/>
        </w:rPr>
      </w:pPr>
    </w:p>
    <w:p>
      <w:pPr>
        <w:jc w:val="both"/>
        <w:ind w:right="440" w:firstLine="509"/>
        <w:spacing w:after="0" w:line="281" w:lineRule="auto"/>
        <w:rPr>
          <w:sz w:val="20"/>
          <w:szCs w:val="20"/>
          <w:color w:val="auto"/>
        </w:rPr>
      </w:pPr>
      <w:r>
        <w:rPr>
          <w:rFonts w:ascii="Arial" w:cs="Arial" w:eastAsia="Arial" w:hAnsi="Arial"/>
          <w:sz w:val="16"/>
          <w:szCs w:val="16"/>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£10,013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aggregate.</w:t>
      </w:r>
    </w:p>
    <w:p>
      <w:pPr>
        <w:spacing w:after="0" w:line="225"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For the three months ended September 30, 2022 and 2021 the Company incurred $590 and $1,031, respectively, related to the CRFA. For the nine months ended September 30, 2022 and 2021 the Company incurred $1,970 and $1,832, respectively, related to the CRFA.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basis of a low to mid-single-digit percentage of annual net sales of licensed products and a lower single-digit royalty percentage in certain circumstances.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has agreed to pay a low double-digit royalty percentage of all sublicensing revenue.</w:t>
      </w:r>
    </w:p>
    <w:p>
      <w:pPr>
        <w:spacing w:after="0" w:line="197"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5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2" w:lineRule="exact"/>
        <w:rPr>
          <w:sz w:val="20"/>
          <w:szCs w:val="20"/>
          <w:color w:val="auto"/>
        </w:rPr>
      </w:pPr>
    </w:p>
    <w:p>
      <w:pPr>
        <w:jc w:val="both"/>
        <w:ind w:right="80" w:firstLine="509"/>
        <w:spacing w:after="0" w:line="245" w:lineRule="auto"/>
        <w:rPr>
          <w:sz w:val="20"/>
          <w:szCs w:val="20"/>
          <w:color w:val="auto"/>
        </w:rPr>
      </w:pPr>
      <w:r>
        <w:rPr>
          <w:rFonts w:ascii="Arial" w:cs="Arial" w:eastAsia="Arial" w:hAnsi="Arial"/>
          <w:sz w:val="18"/>
          <w:szCs w:val="18"/>
          <w:color w:val="auto"/>
        </w:rPr>
        <w:t>For the three months ended September 30, 2022 and 2021, the Company recorded research and development expense related to this agreement with UHN of $82 and $102, respectively, which consists of reimbursable funded study trial costs. For the nine months ended September 30, 2022 and 2021 the Company recorded research and development expense related to this agreement with UHN of $106 and $175, respectively, which consists of reimbursable funded study trial costs. No milestone or maintenance fees were incurred related to this agreement in the three and nine months ended September 30, 2022 and 2021.</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 $264. In addition, as part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 $50 on each anniversary of the effective date of the license agreement prior to expiration or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 $19,275 upon the achievement of specified clinical and regulatory milestones.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196"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68" w:lineRule="exact"/>
        <w:rPr>
          <w:sz w:val="20"/>
          <w:szCs w:val="20"/>
          <w:color w:val="auto"/>
        </w:rPr>
      </w:pPr>
    </w:p>
    <w:p>
      <w:pPr>
        <w:jc w:val="both"/>
        <w:ind w:right="220" w:firstLine="509"/>
        <w:spacing w:after="0" w:line="303" w:lineRule="auto"/>
        <w:rPr>
          <w:sz w:val="20"/>
          <w:szCs w:val="20"/>
          <w:color w:val="auto"/>
        </w:rPr>
      </w:pPr>
      <w:r>
        <w:rPr>
          <w:rFonts w:ascii="Arial" w:cs="Arial" w:eastAsia="Arial" w:hAnsi="Arial"/>
          <w:sz w:val="16"/>
          <w:szCs w:val="16"/>
          <w:color w:val="auto"/>
        </w:rPr>
        <w:t>For the three months ended September 30, 2022 and 2021 the Company recorded no research and development expense related to this agreement with UHN. For the nine months ended September 30, 2022 and 2021 the Company recorded $39 for both periods, which consists of license maintenance fees. No milestone fees were incurred related to this agreement in the three and nine months ended September 30,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the license for the three and nine months ended September 30, 2022 and 2021.</w:t>
      </w:r>
    </w:p>
    <w:p>
      <w:pPr>
        <w:spacing w:after="0" w:line="225"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Papillon Therapeutics, Inc. (previously GenStem Therapeutics, Inc.)</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On October 2, 2017, the Company entered into a license agreement with GenStem Therapeutics, Inc.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Therapeutics, Inc. (“Papillon”).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recognized no expenses related to this agreement for the three and nine months ended September 30, 2022 and 2021.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recognized no expenses related to this agreement for the three and nine months ended September 30, 2022 and 2021.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08"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2022 and December 31, 2021:</w:t>
      </w:r>
    </w:p>
    <w:p>
      <w:pPr>
        <w:ind w:left="6920"/>
        <w:spacing w:after="0"/>
        <w:rPr>
          <w:sz w:val="20"/>
          <w:szCs w:val="20"/>
          <w:color w:val="auto"/>
        </w:rPr>
      </w:pPr>
      <w:r>
        <w:rPr>
          <w:rFonts w:ascii="Arial" w:cs="Arial" w:eastAsia="Arial" w:hAnsi="Arial"/>
          <w:sz w:val="14"/>
          <w:szCs w:val="14"/>
          <w:b w:val="1"/>
          <w:bCs w:val="1"/>
          <w:color w:val="auto"/>
        </w:rPr>
        <w:t>Fair Value Measurements as of September 30,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 — 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114,674</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114,674</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114,674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5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 — 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189,332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-848360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-831215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-848360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-831215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-848360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-831215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2022, there were no transfers between levels.</w:t>
      </w:r>
    </w:p>
    <w:p>
      <w:pPr>
        <w:spacing w:after="0" w:line="302" w:lineRule="exact"/>
        <w:rPr>
          <w:sz w:val="20"/>
          <w:szCs w:val="20"/>
          <w:color w:val="auto"/>
        </w:rPr>
      </w:pPr>
    </w:p>
    <w:p>
      <w:pPr>
        <w:ind w:right="7880" w:firstLine="8"/>
        <w:spacing w:after="0" w:line="390"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Balance Sheet Information </w:t>
      </w:r>
      <w:r>
        <w:rPr>
          <w:rFonts w:ascii="Arial" w:cs="Arial" w:eastAsia="Arial" w:hAnsi="Arial"/>
          <w:sz w:val="16"/>
          <w:szCs w:val="16"/>
          <w:b w:val="1"/>
          <w:bCs w:val="1"/>
          <w:i w:val="1"/>
          <w:iCs w:val="1"/>
          <w:color w:val="auto"/>
        </w:rPr>
        <w:t>Prepaid expenses and other current assets</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r>
      <w:tr>
        <w:trPr>
          <w:trHeight w:val="171"/>
        </w:trPr>
        <w:tc>
          <w:tcPr>
            <w:tcW w:w="7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Tax incentive refund</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Prepaid compensation benefits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9,773</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and office equipment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(3,455 )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(3,820 )</w:t>
            </w:r>
          </w:p>
        </w:tc>
      </w:tr>
      <w:tr>
        <w:trPr>
          <w:trHeight w:val="209"/>
        </w:trPr>
        <w:tc>
          <w:tcPr>
            <w:tcW w:w="768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-454025</wp:posOffset>
            </wp:positionV>
            <wp:extent cx="685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7" w:lineRule="exact"/>
        <w:rPr>
          <w:sz w:val="20"/>
          <w:szCs w:val="20"/>
          <w:color w:val="auto"/>
        </w:rPr>
      </w:pPr>
    </w:p>
    <w:p>
      <w:pPr>
        <w:ind w:right="280" w:firstLine="509"/>
        <w:spacing w:after="0" w:line="274" w:lineRule="auto"/>
        <w:rPr>
          <w:sz w:val="20"/>
          <w:szCs w:val="20"/>
          <w:color w:val="auto"/>
        </w:rPr>
      </w:pPr>
      <w:r>
        <w:rPr>
          <w:rFonts w:ascii="Arial" w:cs="Arial" w:eastAsia="Arial" w:hAnsi="Arial"/>
          <w:sz w:val="17"/>
          <w:szCs w:val="17"/>
          <w:color w:val="auto"/>
        </w:rPr>
        <w:t>Depreciation and amortization expense was $336 and $374, respectively, for the three months ended September 30, 2022 and 2021. Depreciation and amortization expense was $1,105 and $963, respectively, for the nine months ended September 30, 2022 and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jc w:val="both"/>
        <w:ind w:right="120" w:firstLine="509"/>
        <w:spacing w:after="0" w:line="249" w:lineRule="auto"/>
        <w:rPr>
          <w:sz w:val="20"/>
          <w:szCs w:val="20"/>
          <w:color w:val="auto"/>
        </w:rPr>
      </w:pPr>
      <w:r>
        <w:rPr>
          <w:rFonts w:ascii="Arial" w:cs="Arial" w:eastAsia="Arial" w:hAnsi="Arial"/>
          <w:sz w:val="18"/>
          <w:szCs w:val="18"/>
          <w:color w:val="auto"/>
        </w:rPr>
        <w:t>As of September 30, 2022 and December 31, 2021, the Company had restricted cash of $492. $283 consists of cash used to secure a letter of credit for the benefit of the landlord in connection with the Company’s lease agreements. The cash will be restricted until the termination or modification of the lease arrangement. $209 consists of cash to be released within 60 days following the termination of a lease arrangement that was terminated on September 23,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Compensation and benefit costs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Consulting and professional fees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nine months ended September 30, 2022 and 2021 and to the best of the Company’s knowledge, no material legal proceedings are currently pending or threatened.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 xml:space="preserve">The Company is also party to various agreements, principally relating to licensed technology, that require future payments relating to milestones not met at September 30, 2022 and December 31, 2021, or royalties on future sales. No milestone or royalty payments under these agreements are expected to be payable in the immediate future, except as disclosed in Note 3 </w:t>
      </w:r>
      <w:r>
        <w:rPr>
          <w:rFonts w:ascii="Arial" w:cs="Arial" w:eastAsia="Arial" w:hAnsi="Arial"/>
          <w:sz w:val="18"/>
          <w:szCs w:val="18"/>
          <w:i w:val="1"/>
          <w:iCs w:val="1"/>
          <w:color w:val="auto"/>
        </w:rPr>
        <w:t>“License Agreements.”</w:t>
      </w:r>
    </w:p>
    <w:p>
      <w:pPr>
        <w:spacing w:after="0" w:line="175"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September 30, 2022. The Company does not anticipate recognizing any significant losses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0" w:lineRule="exact"/>
        <w:rPr>
          <w:sz w:val="20"/>
          <w:szCs w:val="20"/>
          <w:color w:val="auto"/>
        </w:rPr>
      </w:pPr>
    </w:p>
    <w:p>
      <w:pPr>
        <w:jc w:val="both"/>
        <w:ind w:right="660"/>
        <w:spacing w:after="0" w:line="303" w:lineRule="auto"/>
        <w:rPr>
          <w:sz w:val="20"/>
          <w:szCs w:val="20"/>
          <w:color w:val="auto"/>
        </w:rPr>
      </w:pPr>
      <w:r>
        <w:rPr>
          <w:rFonts w:ascii="Arial" w:cs="Arial" w:eastAsia="Arial" w:hAnsi="Arial"/>
          <w:sz w:val="16"/>
          <w:szCs w:val="16"/>
          <w:color w:val="auto"/>
        </w:rPr>
        <w:t>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108" w:lineRule="exact"/>
        <w:rPr>
          <w:sz w:val="20"/>
          <w:szCs w:val="20"/>
          <w:color w:val="auto"/>
        </w:rPr>
      </w:pPr>
    </w:p>
    <w:p>
      <w:pPr>
        <w:ind w:right="40" w:firstLine="618"/>
        <w:spacing w:after="0" w:line="273" w:lineRule="auto"/>
        <w:rPr>
          <w:sz w:val="20"/>
          <w:szCs w:val="20"/>
          <w:color w:val="auto"/>
        </w:rPr>
      </w:pPr>
      <w:r>
        <w:rPr>
          <w:rFonts w:ascii="Arial" w:cs="Arial" w:eastAsia="Arial" w:hAnsi="Arial"/>
          <w:sz w:val="16"/>
          <w:szCs w:val="16"/>
          <w:color w:val="auto"/>
        </w:rPr>
        <w:t>On November 2, 2021 (the “Closing Date”), the Company entered into a Loan and Security Agreement (the “Loan Agreement”) with the lenders party thereto from time to time and Silicon Valley Bank pursuant to which a term loan in an aggregate principal amount of up to $50,000 (the “Term Loan Facility”) is available to the Company in three tranches, subject to certain terms and conditions. The first tranche of $15,000 was advanced to the Company on the Closing Date. Subject to the terms and conditions of the Loan Agreement, the first tranche allows the Company to borrow an additional $15,000 through October 31, 2023. The second and third tranches under the Term Loan Facility, which, upon satisfaction of certain milestones, allow the Company to borrow an additional amount up to $10,000 in each tranche through October 31, 2023, can no longer be drawn due to the deprioritization of our Fabry program. Additionally, the Company may seek to borrow up to an additional $15,000 at the sole discretion of the lender through the term of the Loan Agreement. The Loan Agreement matures on October 1, 2026 (the “Maturity Date”). The Company is required to pay an end of term fee (“End of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Charge”) equal to 9.00% of the aggregate principal amount of the Term Loan Facility advances upon repayment.</w:t>
      </w:r>
    </w:p>
    <w:p>
      <w:pPr>
        <w:spacing w:after="0" w:line="238" w:lineRule="exact"/>
        <w:rPr>
          <w:sz w:val="20"/>
          <w:szCs w:val="20"/>
          <w:color w:val="auto"/>
        </w:rPr>
      </w:pPr>
    </w:p>
    <w:p>
      <w:pPr>
        <w:jc w:val="both"/>
        <w:ind w:right="220" w:firstLine="618"/>
        <w:spacing w:after="0" w:line="270" w:lineRule="auto"/>
        <w:rPr>
          <w:sz w:val="20"/>
          <w:szCs w:val="20"/>
          <w:color w:val="auto"/>
        </w:rPr>
      </w:pPr>
      <w:r>
        <w:rPr>
          <w:rFonts w:ascii="Arial" w:cs="Arial" w:eastAsia="Arial" w:hAnsi="Arial"/>
          <w:sz w:val="17"/>
          <w:szCs w:val="17"/>
          <w:color w:val="auto"/>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spacing w:after="0" w:line="177" w:lineRule="exact"/>
        <w:rPr>
          <w:sz w:val="20"/>
          <w:szCs w:val="20"/>
          <w:color w:val="auto"/>
        </w:rPr>
      </w:pPr>
    </w:p>
    <w:p>
      <w:pPr>
        <w:ind w:right="60" w:firstLine="618"/>
        <w:spacing w:after="0" w:line="24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spacing w:after="0" w:line="181" w:lineRule="exact"/>
        <w:rPr>
          <w:sz w:val="20"/>
          <w:szCs w:val="20"/>
          <w:color w:val="auto"/>
        </w:rPr>
      </w:pPr>
    </w:p>
    <w:p>
      <w:pPr>
        <w:ind w:right="40" w:firstLine="618"/>
        <w:spacing w:after="0" w:line="261"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9.0% of the aggregate funded amount under the Term Loan Facility.</w:t>
      </w:r>
    </w:p>
    <w:p>
      <w:pPr>
        <w:spacing w:after="0" w:line="184" w:lineRule="exact"/>
        <w:rPr>
          <w:sz w:val="20"/>
          <w:szCs w:val="20"/>
          <w:color w:val="auto"/>
        </w:rPr>
      </w:pPr>
    </w:p>
    <w:p>
      <w:pPr>
        <w:ind w:right="120" w:firstLine="618"/>
        <w:spacing w:after="0" w:line="261"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1" w:lineRule="exact"/>
        <w:rPr>
          <w:sz w:val="20"/>
          <w:szCs w:val="20"/>
          <w:color w:val="auto"/>
        </w:rPr>
      </w:pPr>
    </w:p>
    <w:p>
      <w:pPr>
        <w:ind w:right="120" w:firstLine="618"/>
        <w:spacing w:after="0" w:line="290" w:lineRule="auto"/>
        <w:rPr>
          <w:sz w:val="20"/>
          <w:szCs w:val="20"/>
          <w:color w:val="auto"/>
        </w:rPr>
      </w:pPr>
      <w:r>
        <w:rPr>
          <w:rFonts w:ascii="Arial" w:cs="Arial" w:eastAsia="Arial" w:hAnsi="Arial"/>
          <w:sz w:val="16"/>
          <w:szCs w:val="16"/>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w:t>
      </w:r>
    </w:p>
    <w:p>
      <w:pPr>
        <w:spacing w:after="0" w:line="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being accreted to the principal amount of debt and being amortized from the date of issuance through the Maturity Date to interest expense using the effective-interest rate method. The effective interest rate of the outstanding debt under the Loan Agreement is approximately 14.19%.</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September 30, 2022 the carrying value of the note payable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87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Note payable, including End of Term Charge</w:t>
            </w:r>
          </w:p>
        </w:tc>
        <w:tc>
          <w:tcPr>
            <w:tcW w:w="960" w:type="dxa"/>
            <w:vAlign w:val="bottom"/>
          </w:tcPr>
          <w:p>
            <w:pPr>
              <w:spacing w:after="0"/>
              <w:rPr>
                <w:sz w:val="17"/>
                <w:szCs w:val="17"/>
                <w:color w:val="auto"/>
              </w:rPr>
            </w:pPr>
          </w:p>
        </w:tc>
        <w:tc>
          <w:tcPr>
            <w:tcW w:w="36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discount, net of accretion</w:t>
            </w:r>
          </w:p>
        </w:tc>
        <w:tc>
          <w:tcPr>
            <w:tcW w:w="9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(1,145 )</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Note payable, net of discount, long-term</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As of September 30, 2022, the future principal payments due under the arrangement, excluding interest and the end of term charge, are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113030</wp:posOffset>
            </wp:positionV>
            <wp:extent cx="324421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44215" cy="17145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2133"/>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3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jc w:val="both"/>
        <w:ind w:right="240" w:firstLine="618"/>
        <w:spacing w:after="0" w:line="303" w:lineRule="auto"/>
        <w:rPr>
          <w:sz w:val="20"/>
          <w:szCs w:val="20"/>
          <w:color w:val="auto"/>
        </w:rPr>
      </w:pPr>
      <w:r>
        <w:rPr>
          <w:rFonts w:ascii="Arial" w:cs="Arial" w:eastAsia="Arial" w:hAnsi="Arial"/>
          <w:sz w:val="16"/>
          <w:szCs w:val="16"/>
          <w:color w:val="auto"/>
        </w:rPr>
        <w:t>During the three and nine months ended September 30, 2022, the Company recognized $482 and $1,280, respectively, of interest expense related to the Loan Agreement which is reflected in interest (expense) income, net on the consolidated statements of operations and comprehensive loss. During the three and nine months ended September 30, 2021, the Company recognized no interest expense related to the Loan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04"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As of September 30, 2022 and December 31, 2021, the authorized capital stock of the Company included 150,000,000 shares of common stock, $0.0001 par value and 10,000,000 shares of undesignated preferred stock. As of September 30, 2022 and December 31, 2021, no undesignated preferred stock was outstanding.</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no cash dividends have been declared or paid.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2022 and December 31, 2021, the Company has reserved the following shares of common stock for future issuance: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8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76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80" w:type="dxa"/>
            <w:vAlign w:val="bottom"/>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202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Shares reserved for exercise of outstanding stock options</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8,083,363</w:t>
            </w:r>
          </w:p>
        </w:tc>
        <w:tc>
          <w:tcPr>
            <w:tcW w:w="26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Shares reserved for vesting of restricted stock units</w:t>
            </w:r>
          </w:p>
        </w:tc>
        <w:tc>
          <w:tcPr>
            <w:tcW w:w="1780" w:type="dxa"/>
            <w:vAlign w:val="bottom"/>
          </w:tcPr>
          <w:p>
            <w:pPr>
              <w:jc w:val="right"/>
              <w:spacing w:after="0"/>
              <w:rPr>
                <w:sz w:val="20"/>
                <w:szCs w:val="20"/>
                <w:color w:val="auto"/>
              </w:rPr>
            </w:pPr>
            <w:r>
              <w:rPr>
                <w:rFonts w:ascii="Arial" w:cs="Arial" w:eastAsia="Arial" w:hAnsi="Arial"/>
                <w:sz w:val="18"/>
                <w:szCs w:val="18"/>
                <w:color w:val="auto"/>
              </w:rPr>
              <w:t>870,536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599,850</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Shares reserved for issuance under the 2018</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and Grant Plan</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6,661,524</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2,583,736</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w w:val="88"/>
              </w:rPr>
              <w:t>Shares reserved for issuance under the 2018</w:t>
            </w:r>
          </w:p>
        </w:tc>
        <w:tc>
          <w:tcPr>
            <w:tcW w:w="4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1,467,026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1,151,010</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Shares reserved for issuance under the 2019</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Inducement Plan</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752,048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412,686</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w w:val="88"/>
              </w:rPr>
              <w:t>Shares reserved for issuance under the 2020</w:t>
            </w:r>
          </w:p>
        </w:tc>
        <w:tc>
          <w:tcPr>
            <w:tcW w:w="412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1780" w:type="dxa"/>
            <w:vAlign w:val="bottom"/>
          </w:tcPr>
          <w:p>
            <w:pPr>
              <w:jc w:val="right"/>
              <w:spacing w:after="0"/>
              <w:rPr>
                <w:sz w:val="20"/>
                <w:szCs w:val="20"/>
                <w:color w:val="auto"/>
              </w:rPr>
            </w:pPr>
            <w:r>
              <w:rPr>
                <w:rFonts w:ascii="Arial" w:cs="Arial" w:eastAsia="Arial" w:hAnsi="Arial"/>
                <w:sz w:val="18"/>
                <w:szCs w:val="18"/>
                <w:color w:val="auto"/>
              </w:rPr>
              <w:t>1,637,000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1,637,000</w:t>
            </w:r>
          </w:p>
        </w:tc>
        <w:tc>
          <w:tcPr>
            <w:tcW w:w="100" w:type="dxa"/>
            <w:vAlign w:val="bottom"/>
          </w:tcPr>
          <w:p>
            <w:pPr>
              <w:spacing w:after="0"/>
              <w:rPr>
                <w:sz w:val="18"/>
                <w:szCs w:val="18"/>
                <w:color w:val="auto"/>
              </w:rPr>
            </w:pPr>
          </w:p>
        </w:tc>
      </w:tr>
      <w:tr>
        <w:trPr>
          <w:trHeight w:val="250"/>
        </w:trPr>
        <w:tc>
          <w:tcPr>
            <w:tcW w:w="7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19,471,497</w:t>
            </w:r>
          </w:p>
        </w:tc>
        <w:tc>
          <w:tcPr>
            <w:tcW w:w="2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13,808,059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9020" w:firstLine="8"/>
        <w:spacing w:after="0" w:line="434" w:lineRule="auto"/>
        <w:tabs>
          <w:tab w:leader="none" w:pos="18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 Valuation</w:t>
      </w:r>
    </w:p>
    <w:p>
      <w:pPr>
        <w:spacing w:after="0" w:line="1" w:lineRule="exact"/>
        <w:rPr>
          <w:sz w:val="20"/>
          <w:szCs w:val="20"/>
          <w:color w:val="auto"/>
        </w:rPr>
      </w:pPr>
    </w:p>
    <w:p>
      <w:pPr>
        <w:ind w:right="260" w:firstLine="509"/>
        <w:spacing w:after="0" w:line="239"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option life (years)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1.80 %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0.76 %</w:t>
            </w:r>
          </w:p>
        </w:tc>
      </w:tr>
      <w:tr>
        <w:trPr>
          <w:trHeight w:val="216"/>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80.22 %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81.25 %</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620"/>
        </w:trPr>
        <w:tc>
          <w:tcPr>
            <w:tcW w:w="7700" w:type="dxa"/>
            <w:vAlign w:val="bottom"/>
          </w:tcPr>
          <w:p>
            <w:pPr>
              <w:ind w:left="554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7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1" w:name="page22"/>
    <w:bookmarkEnd w:id="21"/>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3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3"/>
                <w:szCs w:val="13"/>
                <w:color w:val="auto"/>
              </w:rPr>
            </w:pPr>
          </w:p>
        </w:tc>
        <w:tc>
          <w:tcPr>
            <w:tcW w:w="980" w:type="dxa"/>
            <w:vAlign w:val="bottom"/>
          </w:tcPr>
          <w:p>
            <w:pPr>
              <w:jc w:val="center"/>
              <w:ind w:right="97"/>
              <w:spacing w:after="0" w:line="158"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19"/>
              <w:spacing w:after="0" w:line="158"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3,455,157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Cancelled or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(2,795,571 )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8,083,363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740" w:type="dxa"/>
            <w:vAlign w:val="bottom"/>
          </w:tcPr>
          <w:p>
            <w:pPr>
              <w:ind w:left="20"/>
              <w:spacing w:after="0"/>
              <w:rPr>
                <w:sz w:val="20"/>
                <w:szCs w:val="20"/>
                <w:color w:val="auto"/>
              </w:rPr>
            </w:pPr>
            <w:r>
              <w:rPr>
                <w:rFonts w:ascii="Arial" w:cs="Arial" w:eastAsia="Arial" w:hAnsi="Arial"/>
                <w:sz w:val="18"/>
                <w:szCs w:val="18"/>
                <w:color w:val="auto"/>
              </w:rPr>
              <w:t>Exercisable as of September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3,266,645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-171450</wp:posOffset>
            </wp:positionV>
            <wp:extent cx="76835"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62560"/>
                    </a:xfrm>
                    <a:prstGeom prst="rect">
                      <a:avLst/>
                    </a:prstGeom>
                    <a:noFill/>
                  </pic:spPr>
                </pic:pic>
              </a:graphicData>
            </a:graphic>
          </wp:anchor>
        </w:drawing>
      </w:r>
    </w:p>
    <w:p>
      <w:pPr>
        <w:spacing w:after="0" w:line="316"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aggregate intrinsic value of options exercised during the nine months ended September 30, 2021 was $1,760. No options were exercised during the nine months ended September 30, 2022.</w:t>
      </w:r>
    </w:p>
    <w:p>
      <w:pPr>
        <w:spacing w:after="0" w:line="17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weighted-average grant-date fair value of the Company’s stock options granted during the nine months ended September 30, 2022 and 2021 was $1.23 and $9.12,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units for the nine months ended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r>
      <w:tr>
        <w:trPr>
          <w:trHeight w:val="148"/>
        </w:trPr>
        <w:tc>
          <w:tcPr>
            <w:tcW w:w="7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48"/>
        </w:trPr>
        <w:tc>
          <w:tcPr>
            <w:tcW w:w="7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r>
      <w:tr>
        <w:trPr>
          <w:trHeight w:val="158"/>
        </w:trPr>
        <w:tc>
          <w:tcPr>
            <w:tcW w:w="7680" w:type="dxa"/>
            <w:vAlign w:val="bottom"/>
          </w:tcPr>
          <w:p>
            <w:pPr>
              <w:spacing w:after="0"/>
              <w:rPr>
                <w:sz w:val="13"/>
                <w:szCs w:val="13"/>
                <w:color w:val="auto"/>
              </w:rPr>
            </w:pPr>
          </w:p>
        </w:tc>
        <w:tc>
          <w:tcPr>
            <w:tcW w:w="188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3"/>
                <w:szCs w:val="13"/>
                <w:color w:val="auto"/>
              </w:rPr>
            </w:pPr>
          </w:p>
        </w:tc>
        <w:tc>
          <w:tcPr>
            <w:tcW w:w="1300" w:type="dxa"/>
            <w:vAlign w:val="bottom"/>
          </w:tcPr>
          <w:p>
            <w:pPr>
              <w:jc w:val="center"/>
              <w:ind w:right="219"/>
              <w:spacing w:after="0" w:line="158" w:lineRule="exact"/>
              <w:rPr>
                <w:sz w:val="20"/>
                <w:szCs w:val="20"/>
                <w:color w:val="auto"/>
              </w:rPr>
            </w:pPr>
            <w:r>
              <w:rPr>
                <w:rFonts w:ascii="Arial" w:cs="Arial" w:eastAsia="Arial" w:hAnsi="Arial"/>
                <w:sz w:val="14"/>
                <w:szCs w:val="14"/>
                <w:b w:val="1"/>
                <w:bCs w:val="1"/>
                <w:color w:val="auto"/>
              </w:rPr>
              <w:t>Date Fair</w:t>
            </w:r>
          </w:p>
        </w:tc>
        <w:tc>
          <w:tcPr>
            <w:tcW w:w="100" w:type="dxa"/>
            <w:vAlign w:val="bottom"/>
          </w:tcPr>
          <w:p>
            <w:pPr>
              <w:spacing w:after="0"/>
              <w:rPr>
                <w:sz w:val="13"/>
                <w:szCs w:val="13"/>
                <w:color w:val="auto"/>
              </w:rPr>
            </w:pPr>
          </w:p>
        </w:tc>
      </w:tr>
      <w:tr>
        <w:trPr>
          <w:trHeight w:val="189"/>
        </w:trPr>
        <w:tc>
          <w:tcPr>
            <w:tcW w:w="7680" w:type="dxa"/>
            <w:vAlign w:val="bottom"/>
          </w:tcPr>
          <w:p>
            <w:pPr>
              <w:spacing w:after="0"/>
              <w:rPr>
                <w:sz w:val="16"/>
                <w:szCs w:val="16"/>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6"/>
                <w:szCs w:val="16"/>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unvested as of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599,850</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850,168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(579,051 )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Issued and unvested as of September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870,536</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fair value of restricted stock units vested during the nine months ended September 30, 2022 and 2021 was $7 and $7,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w w:val="99"/>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8"/>
                <w:szCs w:val="18"/>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2,656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-513715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-496570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-513715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-513715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-496570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7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of September 30, 2022, total unrecognized compensation cost related to the unvested stock-based awards was $21,345, which is expected to be recognized over a weighted-average period of 2.39 years.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the diluted net loss per share calculation, stock options and unvested restricted stock are considered to be common stock equivalents</w:t>
      </w:r>
    </w:p>
    <w:p>
      <w:pPr>
        <w:spacing w:after="0" w:line="21"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67" w:lineRule="exact"/>
        <w:rPr>
          <w:sz w:val="20"/>
          <w:szCs w:val="20"/>
          <w:color w:val="auto"/>
        </w:rPr>
      </w:pPr>
    </w:p>
    <w:p>
      <w:pPr>
        <w:ind w:right="180" w:firstLine="509"/>
        <w:spacing w:after="0" w:line="250"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 as they were anti-dilutive:</w:t>
      </w:r>
    </w:p>
    <w:p>
      <w:pPr>
        <w:spacing w:after="0" w:line="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9525</wp:posOffset>
            </wp:positionV>
            <wp:extent cx="21342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8400"/>
        <w:spacing w:after="0"/>
        <w:tabs>
          <w:tab w:leader="none" w:pos="10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8,083,363</w:t>
            </w:r>
          </w:p>
        </w:tc>
        <w:tc>
          <w:tcPr>
            <w:tcW w:w="28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7,999,382</w:t>
            </w:r>
          </w:p>
        </w:tc>
        <w:tc>
          <w:tcPr>
            <w:tcW w:w="100" w:type="dxa"/>
            <w:vAlign w:val="bottom"/>
            <w:shd w:val="clear" w:color="auto" w:fill="CFF0FC"/>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870,536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709,025</w:t>
            </w:r>
          </w:p>
        </w:tc>
        <w:tc>
          <w:tcPr>
            <w:tcW w:w="100" w:type="dxa"/>
            <w:vAlign w:val="bottom"/>
          </w:tcPr>
          <w:p>
            <w:pPr>
              <w:spacing w:after="0"/>
              <w:rPr>
                <w:sz w:val="20"/>
                <w:szCs w:val="20"/>
                <w:color w:val="auto"/>
              </w:rPr>
            </w:pPr>
          </w:p>
        </w:tc>
      </w:tr>
    </w:tbl>
    <w:p>
      <w:pPr>
        <w:spacing w:after="0" w:line="27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239"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For the three months ended September 30, 2022 and 2021, the Company recognized $82 and $102, respectively, of research and development expense related to the license agreements with UHN. For the nine months ended September 30, 2022 and 2021, the Company recognized $145 and $215, respectively, of research and development expense related to the license agreements with UHN. Refer to Note 3 “</w:t>
      </w:r>
      <w:r>
        <w:rPr>
          <w:rFonts w:ascii="Arial" w:cs="Arial" w:eastAsia="Arial" w:hAnsi="Arial"/>
          <w:sz w:val="18"/>
          <w:szCs w:val="18"/>
          <w:i w:val="1"/>
          <w:iCs w:val="1"/>
          <w:color w:val="auto"/>
        </w:rPr>
        <w:t>License Agreements</w:t>
      </w:r>
      <w:r>
        <w:rPr>
          <w:rFonts w:ascii="Arial" w:cs="Arial" w:eastAsia="Arial" w:hAnsi="Arial"/>
          <w:sz w:val="18"/>
          <w:szCs w:val="18"/>
          <w:color w:val="auto"/>
        </w:rPr>
        <w:t>” for additional information regarding the UHN license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0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For the three months ended September 30, 2022 and 2021, the Company recorded expenses of $795 and $228, respectively, related to a sublease to rent lab space, provided by an entity affiliated with a member of the Company’s board of directors. For the nine months ended September 30, 2022 and 2021, the Company recorded expenses of $2,381 and $1,278, respectively, related to a sublease to rent lab space, provided by an entity affiliated with a member of the Company’s board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Activities</w:t>
      </w:r>
    </w:p>
    <w:p>
      <w:pPr>
        <w:spacing w:after="0" w:line="108"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January 2022, the Company announced the deprioritization of AVR-RD-01, its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the Company refers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has shifted focus to its other pipeline programs.</w:t>
      </w:r>
    </w:p>
    <w:p>
      <w:pPr>
        <w:spacing w:after="0" w:line="7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connection with the deprioritization of AVR-RD-01 noted above, in January 2022, the Company approved changes to the Company’s organization as well as a broader operational cost reduction plan. As part of this plan, the Company approved a reduction in the Company’s workforce by approximately 23% across different areas and functions in the Company (the “Workforce Reduction”).</w:t>
      </w:r>
    </w:p>
    <w:p>
      <w:pPr>
        <w:spacing w:after="0" w:line="6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Under the Workforce Reduction, the Company recognized total restructuring expenses for the three and nine months ended September 30, 2022 of $0 and $1,369, respectively. No restructuring expenses were incurred for the three and nine months ended September 30, 2021. These one-time employee termination benefits are related to affected employees, who were offered separation benefits, including severance payments. During the three and nine months ended September 30, 2022 approximately $0 and $1,369 of these payments were made. There are no accrued remaining payments at September 30, 2022.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960"/>
        <w:spacing w:after="0"/>
        <w:rPr>
          <w:sz w:val="20"/>
          <w:szCs w:val="20"/>
          <w:color w:val="auto"/>
        </w:rPr>
      </w:pPr>
      <w:r>
        <w:rPr>
          <w:rFonts w:ascii="Arial" w:cs="Arial" w:eastAsia="Arial" w:hAnsi="Arial"/>
          <w:sz w:val="18"/>
          <w:szCs w:val="18"/>
          <w:b w:val="1"/>
          <w:bCs w:val="1"/>
          <w:color w:val="auto"/>
        </w:rPr>
        <w:t>AVROBIO,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The outstanding restructuring liabilities are included in accrued expenses and other current liabilities on the consolidated balance sheets. The following table summarizes the charges related to the restructuring activities as of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Employee Severance</w:t>
            </w:r>
          </w:p>
        </w:tc>
        <w:tc>
          <w:tcPr>
            <w:tcW w:w="0" w:type="dxa"/>
            <w:vAlign w:val="bottom"/>
          </w:tcPr>
          <w:p>
            <w:pPr>
              <w:spacing w:after="0"/>
              <w:rPr>
                <w:sz w:val="1"/>
                <w:szCs w:val="1"/>
                <w:color w:val="auto"/>
              </w:rPr>
            </w:pPr>
          </w:p>
        </w:tc>
      </w:tr>
      <w:tr>
        <w:trPr>
          <w:trHeight w:val="185"/>
        </w:trPr>
        <w:tc>
          <w:tcPr>
            <w:tcW w:w="8900" w:type="dxa"/>
            <w:vAlign w:val="bottom"/>
            <w:vMerge w:val="restart"/>
          </w:tcPr>
          <w:p>
            <w:pPr>
              <w:ind w:left="20"/>
              <w:spacing w:after="0"/>
              <w:rPr>
                <w:sz w:val="20"/>
                <w:szCs w:val="20"/>
                <w:color w:val="auto"/>
              </w:rPr>
            </w:pPr>
            <w:r>
              <w:rPr>
                <w:rFonts w:ascii="Arial" w:cs="Arial" w:eastAsia="Arial" w:hAnsi="Arial"/>
                <w:sz w:val="18"/>
                <w:szCs w:val="18"/>
                <w:color w:val="auto"/>
              </w:rPr>
              <w:t>Liability included in accrued expenses and other current liabilities at January 1, 2022</w:t>
            </w:r>
          </w:p>
        </w:tc>
        <w:tc>
          <w:tcPr>
            <w:tcW w:w="280" w:type="dxa"/>
            <w:vAlign w:val="bottom"/>
          </w:tcPr>
          <w:p>
            <w:pPr>
              <w:spacing w:after="0"/>
              <w:rPr>
                <w:sz w:val="16"/>
                <w:szCs w:val="16"/>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and Other Benefits</w:t>
            </w:r>
          </w:p>
        </w:tc>
        <w:tc>
          <w:tcPr>
            <w:tcW w:w="0" w:type="dxa"/>
            <w:vAlign w:val="bottom"/>
          </w:tcPr>
          <w:p>
            <w:pPr>
              <w:spacing w:after="0"/>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18"/>
                <w:szCs w:val="18"/>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(1,369 )</w:t>
            </w:r>
          </w:p>
        </w:tc>
        <w:tc>
          <w:tcPr>
            <w:tcW w:w="0" w:type="dxa"/>
            <w:vAlign w:val="bottom"/>
          </w:tcPr>
          <w:p>
            <w:pPr>
              <w:spacing w:after="0"/>
              <w:rPr>
                <w:sz w:val="1"/>
                <w:szCs w:val="1"/>
                <w:color w:val="auto"/>
              </w:rPr>
            </w:pPr>
          </w:p>
        </w:tc>
      </w:tr>
      <w:tr>
        <w:trPr>
          <w:trHeight w:val="250"/>
        </w:trPr>
        <w:tc>
          <w:tcPr>
            <w:tcW w:w="8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included in accrued expenses and other current liabilities at September 30, 2022</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8900" w:type="dxa"/>
            <w:vAlign w:val="bottom"/>
          </w:tcPr>
          <w:p>
            <w:pPr>
              <w:ind w:left="55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2021 included in our Annual Report on Form 10-K for the year ended December 31,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2021, as supplemented by our subsequent filings with the SEC.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 xml:space="preserve">We are a leading clinical-stage gene therapy company with a shared purpose to free people from a lifetime of genetic disease. Our company is focused on developing potentially curative HSC gene therapies (which we sometimes refer to as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17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Our pipeline is currently comprised of four HSC gene therapy programs: AVR-RD-02 for the treatment of Gaucher disease, including Gaucher disease type 1 and type 3; AVR-RD-04 for the treatment of cystinosis; AVR-RD-05 for the treatment of neuronopathic mucopolysaccharidosis type II, or nMPS-II, or Hunter syndrome; and AVR-RD-03 for the treatment of Pompe disease.</w:t>
      </w:r>
    </w:p>
    <w:p>
      <w:pPr>
        <w:spacing w:after="0" w:line="195"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AVR-RD-02 is currently being studied for the treatment of Gaucher disease type 1 in a Company-sponsored Phase 1/2 clinical trial, which we refer to as the Guard1 clinical trial. Four patients have been dosed to date in the Guard1 clinical trial, and we have enrolled six patients to date and we are actively recruiting additional potential patients for our currently active sites. We plan to provide updated interim clinical trial data on December 7, 2022, at which time we also plan to provide an update on discussions with regulatory authorities regarding Gaucher disease type 3, including our plans for further clinical development.</w:t>
      </w:r>
    </w:p>
    <w:p>
      <w:pPr>
        <w:spacing w:after="0" w:line="18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AVR-RD-04 is currently being studied for the treatment of cystinosis by our collaborators at the University of California, San Diego, or UCSD, in a Phase 1/2 collaborator-sponsored clinical trial. Enrollment of this clinical trial is complete with a total of six patients dosed. In May 2022, we reported updated interim data from the Phase 1/2 clinical trial of AVR-RD-04 at the 25th Annual Meeting of American Society for Gene and Cell Therapy, or ASGCT in Washington D.C. We plan to engage with regulatory agencies on the pre-clinical, chemistry, manufacturing, and controls, or CMC, and clinical plans for AVR-RD-04. In August 2022, we submitted a meeting request to the U.K. Medicines and Healthcare products Regulatory Agency, or MHRA regarding a Company-sponsored clinical trial for AVR-RD-04 and expect a scientific advice meeting with the MHRA in the first quarter of 2023. We are also planning to engage with other regulatory authorities as we expand this anticipated global trial. Pending the outcome of this and other regulatory interactions, we are planning to initiate a Company-sponsored Phase 1/2 clinical trial in the second half of 2023. Clinical sites are anticipated in the United Kingdom, Europe and the United States. Our current plan involves a two-part strategy, including both a pre-renal transplant population and a post-renal transplant population.</w:t>
      </w:r>
    </w:p>
    <w:p>
      <w:pPr>
        <w:spacing w:after="0" w:line="186"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AVR-RD-05 is our preclinical program for the treatment of Hunter syndrome. In September 2022 we announced that the MHRA, Research Ethics Committee, or EC, and Health Research Authority, or HRA, have accepted the clinical trial application, or CTA submitted by our collaborators at The University of Manchester for initiation of a Phase 1/2 collaborator-sponsored clinical trial of investigational autologous HSC gene therapy in infants diagnosed with nMPS-II, or Hunter Syndrome, in the United Kingdom. We currently expect the Phase 1/2 collaborator-sponsored clinical trial will dose the first patient in the first half of 2023.</w:t>
      </w:r>
    </w:p>
    <w:p>
      <w:pPr>
        <w:spacing w:after="0" w:line="182"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AVR-RD-03 is our preclinical program for the treatment of Pompe disease, and we are planning to engage with regulatory authorities this year to discuss a potential path to the clinic. While we are continuing to advance AVR-RD-03, we are prioritizing our cystinosis and Gaucher disease clinical programs. As a result, we no longer expect to initiate a clinical trial for AVR-RD-03 in 2023.</w:t>
      </w:r>
    </w:p>
    <w:p>
      <w:pPr>
        <w:spacing w:after="0" w:line="195"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right="80"/>
        <w:spacing w:after="0" w:line="249" w:lineRule="auto"/>
        <w:rPr>
          <w:sz w:val="20"/>
          <w:szCs w:val="20"/>
          <w:color w:val="auto"/>
        </w:rPr>
      </w:pPr>
      <w:r>
        <w:rPr>
          <w:rFonts w:ascii="Arial" w:cs="Arial" w:eastAsia="Arial" w:hAnsi="Arial"/>
          <w:sz w:val="18"/>
          <w:szCs w:val="18"/>
          <w:color w:val="auto"/>
        </w:rPr>
        <w:t>generated any product revenue and have financed our operations primarily through the private placement of our securities and through public offerings of our common stock. Through September 30, 2022,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or ATM, facility.</w:t>
      </w:r>
    </w:p>
    <w:p>
      <w:pPr>
        <w:spacing w:after="0" w:line="168"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$80.9 million and $90.9 million for the nine months ended September 30, 2022 and 2021, respectively. As of September 30, 2022, we had an accumulated deficit of $464.4 million. We expect to continue to incur significant expenses for at least the next several years as we advance our current and future product candidates from discovery through preclinical development and clinical trials and seek regulatory approval of our product candidates. We currently have a total of four investigational gene therapy programs in our pipeline, two of which are currently in clinical development.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70"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as well as proceeds from our Loan and Security Agreement dated as of November 2, 2021, or the Term Loan Agreement, with the lenders party thereto from time to time, or the Lenders, and Silicon Valley Bank, as administrative agent and collateral agent for the Lenders, or the Agent. Pursuant to the Term Loan Agreement, the Company has access to a term loan in an aggregate principal amount of up to $50.0 million (the “Term Loan Facility”), available to the Company in three tranches, subject to certain terms and conditions. However, due to the deprioritization of our Fabry program, we can no longer draw on the second and third tranches, which total $20.0 million. We may also pursue additional funding from outside sources, including our expansion of, or our entry into, new borrowing arrangements; research and development incentive payments from governmental entities ;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1"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As of September 30, 2022, we had cash and cash equivalents of $116.0 million. We believe that our existing cash and cash equivalents on hand as of September 30, 2022, will enable us to fund our operating expenses and capital expenditure requirements into the first quarter of 2024.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08"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6"/>
          <w:szCs w:val="16"/>
          <w:color w:val="auto"/>
        </w:rPr>
        <w:t>On July 8, 2022, we moved our corporate headquarters to 100 Technology Square, 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Cambridge, MA 02139. We had previously subleased space in this location for laboratory facilities, and in January 2022, we amended our sublease agreement to, among other things, expand the square footage to include office space. In September 2022, we entered into an agreement providing for an early termination of our lease and continuing rent obligations for our former office space at One Kendall Square, Building 300, Suite 201, Cambridge, MA 02139, and we have since vacated the premises.</w:t>
      </w:r>
    </w:p>
    <w:p>
      <w:pPr>
        <w:spacing w:after="0" w:line="15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On July 13, 2022, we announced that the Food and Drug Administration, or FDA, has granted orphan drug designation for AVR-RD-05 for the treatment of nMPS-II, or Hunter syndrome.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60"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90" w:lineRule="exact"/>
        <w:rPr>
          <w:rFonts w:ascii="Arial" w:cs="Arial" w:eastAsia="Arial" w:hAnsi="Arial"/>
          <w:sz w:val="18"/>
          <w:szCs w:val="18"/>
          <w:color w:val="auto"/>
        </w:rPr>
      </w:pPr>
    </w:p>
    <w:p>
      <w:pPr>
        <w:ind w:left="900" w:right="20" w:hanging="383"/>
        <w:spacing w:after="0" w:line="274"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9" w:lineRule="exact"/>
        <w:rPr>
          <w:rFonts w:ascii="Arial" w:cs="Arial" w:eastAsia="Arial" w:hAnsi="Arial"/>
          <w:sz w:val="17"/>
          <w:szCs w:val="17"/>
          <w:color w:val="auto"/>
        </w:rPr>
      </w:pPr>
    </w:p>
    <w:p>
      <w:pPr>
        <w:ind w:left="900" w:right="60" w:hanging="383"/>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48" w:lineRule="exact"/>
        <w:rPr>
          <w:rFonts w:ascii="Arial" w:cs="Arial" w:eastAsia="Arial" w:hAnsi="Arial"/>
          <w:sz w:val="18"/>
          <w:szCs w:val="18"/>
          <w:color w:val="auto"/>
        </w:rPr>
      </w:pPr>
    </w:p>
    <w:p>
      <w:pPr>
        <w:ind w:left="900" w:hanging="383"/>
        <w:spacing w:after="0" w:line="207" w:lineRule="exact"/>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90" w:lineRule="exact"/>
        <w:rPr>
          <w:rFonts w:ascii="Arial" w:cs="Arial" w:eastAsia="Arial" w:hAnsi="Arial"/>
          <w:sz w:val="18"/>
          <w:szCs w:val="18"/>
          <w:color w:val="auto"/>
        </w:rPr>
      </w:pPr>
    </w:p>
    <w:p>
      <w:pPr>
        <w:ind w:left="900" w:right="580" w:hanging="383"/>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198"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direct research and development expenses are tracked on a program-by-program basis for our product candidates and consist primarily of</w:t>
      </w:r>
    </w:p>
    <w:p>
      <w:pPr>
        <w:spacing w:after="0" w:line="10" w:lineRule="exact"/>
        <w:rPr>
          <w:sz w:val="20"/>
          <w:szCs w:val="20"/>
          <w:color w:val="auto"/>
        </w:rPr>
      </w:pPr>
    </w:p>
    <w:p>
      <w:pPr>
        <w:ind w:right="380"/>
        <w:spacing w:after="0" w:line="237" w:lineRule="auto"/>
        <w:rPr>
          <w:sz w:val="20"/>
          <w:szCs w:val="20"/>
          <w:color w:val="auto"/>
        </w:rPr>
      </w:pPr>
      <w:r>
        <w:rPr>
          <w:rFonts w:ascii="Arial" w:cs="Arial" w:eastAsia="Arial" w:hAnsi="Arial"/>
          <w:sz w:val="16"/>
          <w:szCs w:val="16"/>
          <w:color w:val="auto"/>
        </w:rPr>
        <w:t>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Fabry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Gaucher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18"/>
                <w:szCs w:val="18"/>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Pompe</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(29 )</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Cystinosis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Hunter</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research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1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12,810</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33,914</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15,919</w:t>
            </w:r>
          </w:p>
        </w:tc>
        <w:tc>
          <w:tcPr>
            <w:tcW w:w="24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23,043</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54,049</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64,114</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7683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7" w:name="page28"/>
    <w:bookmarkEnd w:id="27"/>
    <w:p>
      <w:pPr>
        <w:ind w:right="40" w:firstLine="509"/>
        <w:spacing w:after="0" w:line="24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86" w:lineRule="exact"/>
        <w:rPr>
          <w:sz w:val="20"/>
          <w:szCs w:val="20"/>
          <w:color w:val="auto"/>
        </w:rPr>
      </w:pPr>
    </w:p>
    <w:p>
      <w:pPr>
        <w:ind w:left="900" w:hanging="383"/>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Quarterly Report on Form 10-Q.</w:t>
      </w:r>
    </w:p>
    <w:p>
      <w:pPr>
        <w:spacing w:after="0" w:line="212"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ind w:right="260" w:firstLine="509"/>
        <w:spacing w:after="0" w:line="256"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75"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Other (expense) income, net primarily consists of interest income earned on our cash and cash equivalents and changes in foreign currency, and interest expense related to our Term Loan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32"/>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15,919</w:t>
            </w:r>
          </w:p>
        </w:tc>
        <w:tc>
          <w:tcPr>
            <w:tcW w:w="26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23,043</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(7,124 )</w:t>
            </w: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(2,511 )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22,985</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(9,635 )</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(95 )</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(22,969 )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(32,613 )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-1019810</wp:posOffset>
            </wp:positionV>
            <wp:extent cx="7747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-1019810</wp:posOffset>
            </wp:positionV>
            <wp:extent cx="685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7747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Research and development expenses decreased by approximately $7.1 million to $15.9 million for the three months ended September 30, 2022, from $23.0 million for the three months ended September 30, 2021. This decrease was driven by a $4.5 million decrease in personnel-related costs which was impacted by our reduction in workforce implemented in January 2022 and a $3.7 million decrease in manufacturing costs which was offset by a $0.8 million increase in consulting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General and administrative expenses were $7.1 million for the three months ended September 30, 2022, compared to $9.6 million for the three months ended September 30, 2021. This decrease of $2.5 million was attributable to a $1.4 million decrease in personnel-related costs which was impacted by our reduction in workforce implemented in January 2022, a $0.7 million decrease in facility costs, and a $0.4 million decrease in professional fees.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income, net, was less than $0.1 million for the three months ended September 30, 2022 and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w w:val="98"/>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54,049</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64,114</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(10,065 )</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80,177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(10,702 )</w:t>
            </w: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7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(80,177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income</w:t>
            </w:r>
          </w:p>
        </w:tc>
        <w:tc>
          <w:tcPr>
            <w:tcW w:w="2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(544 )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(135 )</w:t>
            </w:r>
          </w:p>
        </w:tc>
        <w:tc>
          <w:tcPr>
            <w:tcW w:w="3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(41 )</w:t>
            </w: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 net</w:t>
            </w:r>
          </w:p>
        </w:tc>
        <w:tc>
          <w:tcPr>
            <w:tcW w:w="2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(80,856 )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(90,899 )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700" w:type="dxa"/>
            <w:vAlign w:val="bottom"/>
            <w:vMerge w:val="restart"/>
          </w:tcPr>
          <w:p>
            <w:pPr>
              <w:jc w:val="right"/>
              <w:ind w:right="830"/>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-1508125</wp:posOffset>
            </wp:positionV>
            <wp:extent cx="7747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-1508125</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-659130</wp:posOffset>
            </wp:positionV>
            <wp:extent cx="7747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-659130</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Research and development expenses decreased by approximately $10.1 million to $54.0 million for the nine months ended September 30, 2022, from $64.1 million for the nine months ended September 30, 2021. This decrease was driven by a $8.4 million decrease in personnel-related costs which was impacted by our reduction in workforce implemented in January 2022, a $2.9 million decrease in manufacturing costs, and a $0.6 million decrease in research costs which was partially offset by a $2.0 million increase in consulting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General and administrative expenses were $26.1 million for the nine months ended September 30, 2022, compared to $26.8 million for the nine months ended September 30, 2021. This decrease of $0.6 million was attributable to a $0.8 million decrease in facility costs and a $0.2 million decrease in personnel-related costs which was partially offset by a $0.2 million increase in professional fees.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Other (expense), net, was $(0.7) million for the nine months ended September 30, 2022, compared to less than $0.1 million for the nine months ended September 30, 2021. The change is primarily due to interest expense paid related to our Term Loan Agreement, which we entered into in the fourth quarter of 2021 and foreign currency losses recognized during the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 Through September 30, 2022,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ATM facility; and we had drawn $15.0 million in term loans under our Term Loan Agreement.</w:t>
      </w:r>
    </w:p>
    <w:p>
      <w:pPr>
        <w:spacing w:after="0" w:line="19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 and expired on July 1, 2022.</w:t>
      </w:r>
    </w:p>
    <w:p>
      <w:pPr>
        <w:spacing w:after="0" w:line="186"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7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8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7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jc w:val="both"/>
        <w:ind w:right="380" w:firstLine="509"/>
        <w:spacing w:after="0" w:line="256" w:lineRule="auto"/>
        <w:rPr>
          <w:sz w:val="20"/>
          <w:szCs w:val="20"/>
          <w:color w:val="auto"/>
        </w:rPr>
      </w:pPr>
      <w:r>
        <w:rPr>
          <w:rFonts w:ascii="Arial" w:cs="Arial" w:eastAsia="Arial" w:hAnsi="Arial"/>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75"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In May 2021, we sold an aggregate of 1,829,268 shares of common stock under the ATM facility for net proceeds, after deducting commissions and other offering expenses payable by us, of $14.5 million. As of September 30, 2022, approximately $26.5 million of common stock remained unsold under the ATM facility.</w:t>
      </w:r>
    </w:p>
    <w:p>
      <w:pPr>
        <w:spacing w:after="0" w:line="1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and are able to borrow an additional $15.0 million through October 31, 2023.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8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As of September 30, 2022, we had cash and cash equivalents of $116.0 million. Cash in excess of immediate requirements is invested primarily with a view to liquidity and capital preservation. We believe that our existing cash and cash equivalents as of September 30, 2022 will enable us to fund our operating expenses and capital expenditure requirements into the first quarter of 2024.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325"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(73,535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(267 )</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(1,611 )</w:t>
            </w: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(73,599 )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(58,313 )</w:t>
            </w:r>
          </w:p>
        </w:tc>
      </w:tr>
      <w:tr>
        <w:trPr>
          <w:trHeight w:val="20"/>
        </w:trPr>
        <w:tc>
          <w:tcPr>
            <w:tcW w:w="7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During the nine months ended September 30, 2022, operating activities used $73.5 million of cash, cash equivalents and restricted cash, resulting from our net loss of $80.9 million and cash used by changes in our operating assets and liabilities of $3.1 million which was partially offset by non-cash charges of $10.5 million. The net change in our operating assets and liabilities was primarily due to a decrease in accounts payable of $1.7 million and a decrease in accrued expenses and other liabilities of $1.3 million. The non-cash charges primarily included $9.3 million of stock-based compensation expense and $1.1 million of depreciation and amortization expense.</w:t>
      </w:r>
    </w:p>
    <w:p>
      <w:pPr>
        <w:spacing w:after="0" w:line="78" w:lineRule="exact"/>
        <w:rPr>
          <w:sz w:val="20"/>
          <w:szCs w:val="20"/>
          <w:color w:val="auto"/>
        </w:rPr>
      </w:pPr>
    </w:p>
    <w:p>
      <w:pPr>
        <w:jc w:val="both"/>
        <w:ind w:right="160" w:firstLine="509"/>
        <w:spacing w:after="0" w:line="245" w:lineRule="auto"/>
        <w:rPr>
          <w:sz w:val="20"/>
          <w:szCs w:val="20"/>
          <w:color w:val="auto"/>
        </w:rPr>
      </w:pPr>
      <w:r>
        <w:rPr>
          <w:rFonts w:ascii="Arial" w:cs="Arial" w:eastAsia="Arial" w:hAnsi="Arial"/>
          <w:sz w:val="18"/>
          <w:szCs w:val="18"/>
          <w:color w:val="auto"/>
        </w:rPr>
        <w:t>During the nine months ended September 30, 2021, operating activities used $72.1 million of cash, cash equivalents and restricted cash, resulting from our net loss of $90.9 million offset by cash provided by changes in our operating assets and liabilities of $3.5 million and non-cash charges of $15.3 million. The net changes in our operating assets and liabilities were primarily due to an increase in accrued expenses and other liabilities of $5.6 million, offset by a $2.7 million increase in prepaids and other current assets. The non-cash charges primarily included $14.5 million of stock-based compensation expense and $1.0 million of depreciation and amortization expense.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jc w:val="both"/>
        <w:ind w:right="160" w:firstLine="509"/>
        <w:spacing w:after="0" w:line="324" w:lineRule="auto"/>
        <w:rPr>
          <w:sz w:val="20"/>
          <w:szCs w:val="20"/>
          <w:color w:val="auto"/>
        </w:rPr>
      </w:pPr>
      <w:r>
        <w:rPr>
          <w:rFonts w:ascii="Arial" w:cs="Arial" w:eastAsia="Arial" w:hAnsi="Arial"/>
          <w:sz w:val="16"/>
          <w:szCs w:val="16"/>
          <w:color w:val="auto"/>
        </w:rPr>
        <w:t>Net cash used in investing activities was $0.3 million for the nine months ended September 30, 2022 compared to $1.6 million for the nine months ended September 30, 2021. The decrease in cash used in investing activities was primarily due to a decrease in purchases of property and equipment.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Net cash provided by financing activities was $0.2 million for the nine months ended September 30, 2022 compared to $15.4 million for the nine months ended September 30, 2021. The decrease in cash provided by financing activities was primarily due to the proceeds of $14.6 million from issuance of common shares under ATM facility, net of offering costs paid and $0.9 million from proceeds from the exercise of stock options during the nine months ended September 30, 2021 which was partially offset by $0.2 million in proceeds from the issuance of shares under our 2018 Employee Stock Purchase Plan during the nine months ended September 30,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63"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our development of our product candidates, including continuing enrollment and dosing of patients in our ongoing clinical trials;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industrialize our HSC therapy approach into a robust, scalable and, if approved, commercially viable process;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right="540" w:hanging="383"/>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medical, manufacturing, quality, commercial and scientific personnel;</w:t>
      </w:r>
    </w:p>
    <w:p>
      <w:pPr>
        <w:spacing w:after="0" w:line="117" w:lineRule="exact"/>
        <w:rPr>
          <w:rFonts w:ascii="Arial" w:cs="Arial" w:eastAsia="Arial" w:hAnsi="Arial"/>
          <w:sz w:val="18"/>
          <w:szCs w:val="18"/>
          <w:color w:val="auto"/>
        </w:rPr>
      </w:pPr>
    </w:p>
    <w:p>
      <w:pPr>
        <w:ind w:left="900" w:right="900" w:hanging="383"/>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12"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We believe that our $116.0 million of existing cash and cash equivalents on hand as of September 30, 2022, will enable us to fund our operating expenses and capital expenditure requirements into the first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9"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2021, filed with the SEC on March 17,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7"/>
          <w:szCs w:val="17"/>
          <w:color w:val="auto"/>
        </w:rPr>
        <w:t>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2022,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2021, which was filed with the SEC on March 17, 2022, and the notes to the consolidated financial statements included in Item 1, “</w:t>
      </w:r>
      <w:r>
        <w:rPr>
          <w:rFonts w:ascii="Arial" w:cs="Arial" w:eastAsia="Arial" w:hAnsi="Arial"/>
          <w:sz w:val="17"/>
          <w:szCs w:val="17"/>
          <w:i w:val="1"/>
          <w:iCs w:val="1"/>
          <w:color w:val="auto"/>
        </w:rPr>
        <w:t>Condensed Consolidated Unaudited Financial Statements</w:t>
      </w:r>
      <w:r>
        <w:rPr>
          <w:rFonts w:ascii="Arial" w:cs="Arial" w:eastAsia="Arial" w:hAnsi="Arial"/>
          <w:sz w:val="17"/>
          <w:szCs w:val="17"/>
          <w:color w:val="auto"/>
        </w:rPr>
        <w:t>,” of this Quarterly Report on Form 10-Q.</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applicable to other public companies, which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340" w:firstLine="509"/>
        <w:spacing w:after="0" w:line="290" w:lineRule="auto"/>
        <w:rPr>
          <w:sz w:val="20"/>
          <w:szCs w:val="20"/>
          <w:color w:val="auto"/>
        </w:rPr>
      </w:pPr>
      <w:r>
        <w:rPr>
          <w:rFonts w:ascii="Arial" w:cs="Arial" w:eastAsia="Arial" w:hAnsi="Arial"/>
          <w:sz w:val="16"/>
          <w:szCs w:val="16"/>
          <w:color w:val="auto"/>
        </w:rPr>
        <w:t>As of September 30, 2022, we had cash and cash equivalents of $116.0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nine months ended September 30, 2022 and 2021, we recognized foreign currency transaction losses of $70 thousand and $41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64" w:lineRule="exact"/>
        <w:rPr>
          <w:sz w:val="20"/>
          <w:szCs w:val="20"/>
          <w:color w:val="auto"/>
        </w:rPr>
      </w:pPr>
    </w:p>
    <w:p>
      <w:pPr>
        <w:ind w:right="360" w:firstLine="509"/>
        <w:spacing w:after="0" w:line="256"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firstLine="509"/>
        <w:spacing w:after="0" w:line="24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September 30, 2022, our Chief Executive Officer and Chief Financial Officer concluded that our disclosure controls and procedures were effective at the reasonable assurance level as of September 30,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2022 that has materially affected, or is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2022,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08" w:lineRule="exact"/>
        <w:rPr>
          <w:sz w:val="20"/>
          <w:szCs w:val="20"/>
          <w:color w:val="auto"/>
        </w:rPr>
      </w:pPr>
    </w:p>
    <w:p>
      <w:pPr>
        <w:ind w:left="520" w:right="680"/>
        <w:spacing w:after="0" w:line="261"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76"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Since inception, we have incurred net losses. We incurred net losses of $119.1 million and $119.7 million for the years ended December 31, 2021 and 2020, respectively, and $80.9 million for the nine months ended September 30, 2022. We historically financed our operations primarily through private placements of our preferred stock and, more recently, our initial public offering and follow-on public offerings of our common stock, as well as sales of our common stock under our ATM facility. In addition, in November 2021, we entered into the Term Loan Agreement.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0" w:lineRule="exact"/>
        <w:rPr>
          <w:sz w:val="20"/>
          <w:szCs w:val="20"/>
          <w:color w:val="auto"/>
        </w:rPr>
      </w:pPr>
    </w:p>
    <w:p>
      <w:pPr>
        <w:ind w:left="900" w:right="24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experience delays or interruptions in preclinical studies, clinical trials, or our supply chain due to the ongoing COVID-19 pandemic;</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right="56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implementation of our plato platform as we seek to industrialize our HSC gene therapy approach into a robust, scalable and, if approved, commercially viable process;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regulatory and scientific personnel;</w:t>
      </w:r>
    </w:p>
    <w:p>
      <w:pPr>
        <w:spacing w:after="0" w:line="103"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as needed to accommodate our employee base, including adding equipment and physical infrastructure to support our research and development; and</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12"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and acceptance. This will require us to be successful in a range of challenging activities, and our expenses will increase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5" w:name="page36"/>
    <w:bookmarkEnd w:id="35"/>
    <w:p>
      <w:pPr>
        <w:jc w:val="both"/>
        <w:ind w:right="80"/>
        <w:spacing w:after="0" w:line="263" w:lineRule="auto"/>
        <w:rPr>
          <w:sz w:val="20"/>
          <w:szCs w:val="20"/>
          <w:color w:val="auto"/>
        </w:rPr>
      </w:pPr>
      <w:r>
        <w:rPr>
          <w:rFonts w:ascii="Arial" w:cs="Arial" w:eastAsia="Arial" w:hAnsi="Arial"/>
          <w:sz w:val="17"/>
          <w:szCs w:val="17"/>
          <w:color w:val="auto"/>
        </w:rPr>
        <w:t>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3" w:lineRule="exact"/>
        <w:rPr>
          <w:sz w:val="20"/>
          <w:szCs w:val="20"/>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03"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03" w:lineRule="exact"/>
        <w:rPr>
          <w:rFonts w:ascii="Arial" w:cs="Arial" w:eastAsia="Arial" w:hAnsi="Arial"/>
          <w:sz w:val="18"/>
          <w:szCs w:val="18"/>
          <w:color w:val="auto"/>
        </w:rPr>
      </w:pPr>
    </w:p>
    <w:p>
      <w:pPr>
        <w:ind w:left="900" w:hanging="383"/>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commercial market demand for our product candidates, if approved;</w:t>
      </w:r>
    </w:p>
    <w:p>
      <w:pPr>
        <w:spacing w:after="0" w:line="2" w:lineRule="exact"/>
        <w:rPr>
          <w:rFonts w:ascii="Arial" w:cs="Arial" w:eastAsia="Arial" w:hAnsi="Arial"/>
          <w:sz w:val="16"/>
          <w:szCs w:val="16"/>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900" w:right="420" w:hanging="383"/>
        <w:spacing w:after="0" w:line="26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7" w:lineRule="exact"/>
        <w:rPr>
          <w:sz w:val="20"/>
          <w:szCs w:val="20"/>
          <w:color w:val="auto"/>
        </w:rPr>
      </w:pPr>
    </w:p>
    <w:p>
      <w:pPr>
        <w:ind w:left="520" w:right="80"/>
        <w:spacing w:after="0" w:line="261"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As of September 30, 2022, we had cash and cash equivalents of $116.0 million. We believe that our existing cash and cash equivalents as of September 30, 2022,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2"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four gene therapy programs in our pipeline, two of which are in clinical development.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left="900" w:right="60" w:hanging="383"/>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for our current and future product candidates, including the extent of any impacts from the ongoing COVID-19 pandemic on these activities;</w:t>
      </w:r>
    </w:p>
    <w:p>
      <w:pPr>
        <w:spacing w:after="0" w:line="24" w:lineRule="exact"/>
        <w:rPr>
          <w:rFonts w:ascii="Arial" w:cs="Arial" w:eastAsia="Arial" w:hAnsi="Arial"/>
          <w:sz w:val="17"/>
          <w:szCs w:val="17"/>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900" w:right="62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if any, raised from potential financings and capital raising activities;</w:t>
      </w:r>
    </w:p>
    <w:p>
      <w:pPr>
        <w:spacing w:after="0" w:line="103" w:lineRule="exact"/>
        <w:rPr>
          <w:rFonts w:ascii="Arial" w:cs="Arial" w:eastAsia="Arial" w:hAnsi="Arial"/>
          <w:sz w:val="18"/>
          <w:szCs w:val="18"/>
          <w:color w:val="auto"/>
        </w:rPr>
      </w:pPr>
    </w:p>
    <w:p>
      <w:pPr>
        <w:ind w:left="900" w:right="420" w:hanging="383"/>
        <w:spacing w:after="0" w:line="261"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defending against and resolving adverse litigation, if any;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12"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76"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b w:val="1"/>
          <w:bCs w:val="1"/>
          <w:i w:val="1"/>
          <w:iCs w:val="1"/>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59"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spacing w:after="0" w:line="93"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90" w:lineRule="exact"/>
        <w:rPr>
          <w:sz w:val="20"/>
          <w:szCs w:val="20"/>
          <w:color w:val="auto"/>
        </w:rPr>
      </w:pPr>
    </w:p>
    <w:p>
      <w:pPr>
        <w:ind w:firstLine="576"/>
        <w:spacing w:after="0" w:line="249"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120"/>
        <w:spacing w:after="0" w:line="256" w:lineRule="auto"/>
        <w:rPr>
          <w:sz w:val="20"/>
          <w:szCs w:val="20"/>
          <w:color w:val="auto"/>
        </w:rPr>
      </w:pPr>
      <w:r>
        <w:rPr>
          <w:rFonts w:ascii="Arial" w:cs="Arial" w:eastAsia="Arial" w:hAnsi="Arial"/>
          <w:sz w:val="18"/>
          <w:szCs w:val="18"/>
          <w:color w:val="auto"/>
        </w:rPr>
        <w:t>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53" w:lineRule="exact"/>
        <w:rPr>
          <w:sz w:val="20"/>
          <w:szCs w:val="20"/>
          <w:color w:val="auto"/>
        </w:rPr>
      </w:pPr>
    </w:p>
    <w:p>
      <w:pPr>
        <w:ind w:firstLine="576"/>
        <w:spacing w:after="0" w:line="277" w:lineRule="auto"/>
        <w:rPr>
          <w:sz w:val="20"/>
          <w:szCs w:val="20"/>
          <w:color w:val="auto"/>
        </w:rPr>
      </w:pPr>
      <w:r>
        <w:rPr>
          <w:rFonts w:ascii="Arial" w:cs="Arial" w:eastAsia="Arial" w:hAnsi="Arial"/>
          <w:sz w:val="16"/>
          <w:szCs w:val="16"/>
          <w:color w:val="auto"/>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spacing w:after="0" w:line="39" w:lineRule="exact"/>
        <w:rPr>
          <w:sz w:val="20"/>
          <w:szCs w:val="20"/>
          <w:color w:val="auto"/>
        </w:rPr>
      </w:pPr>
    </w:p>
    <w:p>
      <w:pPr>
        <w:ind w:right="40" w:firstLine="576"/>
        <w:spacing w:after="0" w:line="249" w:lineRule="auto"/>
        <w:rPr>
          <w:sz w:val="20"/>
          <w:szCs w:val="20"/>
          <w:color w:val="auto"/>
        </w:rPr>
      </w:pPr>
      <w:r>
        <w:rPr>
          <w:rFonts w:ascii="Arial" w:cs="Arial" w:eastAsia="Arial" w:hAnsi="Arial"/>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2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27"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08" w:lineRule="exact"/>
        <w:rPr>
          <w:sz w:val="20"/>
          <w:szCs w:val="20"/>
          <w:color w:val="auto"/>
        </w:rPr>
      </w:pPr>
    </w:p>
    <w:p>
      <w:pPr>
        <w:ind w:left="520" w:right="380"/>
        <w:spacing w:after="0" w:line="324"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or COVID-19 pandemic or similar public health crises have caused and may continue to cause a disruption of the development of our product candidates and adversely impact our business.</w:t>
      </w:r>
    </w:p>
    <w:p>
      <w:pPr>
        <w:spacing w:after="0" w:line="3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ongoing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adopted a “hybrid” work schedule which is intended to limit the number of people in our office at any particular time. Notwithstanding these measures, the evolving COVID-19 pandemic, including potential outbreaks of new variants, could affect the health and availability of our workforce as well as those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8" w:name="page39"/>
    <w:bookmarkEnd w:id="38"/>
    <w:p>
      <w:pPr>
        <w:spacing w:after="0" w:line="249" w:lineRule="auto"/>
        <w:rPr>
          <w:sz w:val="20"/>
          <w:szCs w:val="20"/>
          <w:color w:val="auto"/>
        </w:rPr>
      </w:pPr>
      <w:r>
        <w:rPr>
          <w:rFonts w:ascii="Arial" w:cs="Arial" w:eastAsia="Arial" w:hAnsi="Arial"/>
          <w:sz w:val="18"/>
          <w:szCs w:val="18"/>
          <w:color w:val="auto"/>
        </w:rPr>
        <w:t>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94"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ongoing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was previously delayed and additional delays could result from COVID-19-related interruptions, particularly if new variants of the virus are identified and continue to spread. We are currently conducting and planning to conduct clinical trials for our product candidates in geographies that have been affected by COVID-19.</w:t>
      </w:r>
    </w:p>
    <w:p>
      <w:pPr>
        <w:spacing w:after="0" w:line="16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Additional factors from the ongoing COVID-19 pandemic that have delayed and may continue to delay or otherwise adversely affect enrollment in or the progress of the clinical trials of our product candidates, as well as our business generally, include:</w:t>
      </w:r>
    </w:p>
    <w:p>
      <w:pPr>
        <w:spacing w:after="0" w:line="76" w:lineRule="exact"/>
        <w:rPr>
          <w:sz w:val="20"/>
          <w:szCs w:val="20"/>
          <w:color w:val="auto"/>
        </w:rPr>
      </w:pPr>
    </w:p>
    <w:p>
      <w:pPr>
        <w:jc w:val="both"/>
        <w:ind w:left="900" w:right="140" w:hanging="383"/>
        <w:spacing w:after="0" w:line="24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87" w:lineRule="exact"/>
        <w:rPr>
          <w:rFonts w:ascii="Arial" w:cs="Arial" w:eastAsia="Arial" w:hAnsi="Arial"/>
          <w:sz w:val="18"/>
          <w:szCs w:val="18"/>
          <w:color w:val="auto"/>
        </w:rPr>
      </w:pPr>
    </w:p>
    <w:p>
      <w:pPr>
        <w:ind w:left="900" w:right="20" w:hanging="383"/>
        <w:spacing w:after="0" w:line="26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58" w:lineRule="exact"/>
        <w:rPr>
          <w:rFonts w:ascii="Arial" w:cs="Arial" w:eastAsia="Arial" w:hAnsi="Arial"/>
          <w:sz w:val="17"/>
          <w:szCs w:val="17"/>
          <w:color w:val="auto"/>
        </w:rPr>
      </w:pPr>
    </w:p>
    <w:p>
      <w:pPr>
        <w:ind w:left="900" w:right="48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76" w:lineRule="exact"/>
        <w:rPr>
          <w:rFonts w:ascii="Arial" w:cs="Arial" w:eastAsia="Arial" w:hAnsi="Arial"/>
          <w:sz w:val="18"/>
          <w:szCs w:val="18"/>
          <w:color w:val="auto"/>
        </w:rPr>
      </w:pPr>
    </w:p>
    <w:p>
      <w:pPr>
        <w:ind w:left="900" w:right="20" w:hanging="383"/>
        <w:spacing w:after="0" w:line="24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79" w:lineRule="exact"/>
        <w:rPr>
          <w:rFonts w:ascii="Arial" w:cs="Arial" w:eastAsia="Arial" w:hAnsi="Arial"/>
          <w:sz w:val="18"/>
          <w:szCs w:val="18"/>
          <w:color w:val="auto"/>
        </w:rPr>
      </w:pPr>
    </w:p>
    <w:p>
      <w:pPr>
        <w:ind w:left="900" w:right="80" w:hanging="383"/>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2" w:lineRule="exact"/>
        <w:rPr>
          <w:rFonts w:ascii="Arial" w:cs="Arial" w:eastAsia="Arial" w:hAnsi="Arial"/>
          <w:sz w:val="16"/>
          <w:szCs w:val="16"/>
          <w:color w:val="auto"/>
        </w:rPr>
      </w:pPr>
    </w:p>
    <w:p>
      <w:pPr>
        <w:ind w:left="900" w:right="2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84"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8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These and other factors arising from the ongoing COVID-19 pandemic could worsen and further adversely impact our ability to conduct clinical trials and our business generally, and could have a material adverse impact on our operations and financial condition and results. The extent to which the ongoing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left="520" w:right="460"/>
        <w:spacing w:after="0" w:line="277" w:lineRule="auto"/>
        <w:rPr>
          <w:sz w:val="20"/>
          <w:szCs w:val="20"/>
          <w:color w:val="auto"/>
        </w:rPr>
      </w:pPr>
      <w:r>
        <w:rPr>
          <w:rFonts w:ascii="Arial" w:cs="Arial" w:eastAsia="Arial" w:hAnsi="Arial"/>
          <w:sz w:val="18"/>
          <w:szCs w:val="18"/>
          <w:b w:val="1"/>
          <w:bCs w:val="1"/>
          <w:i w:val="1"/>
          <w:iCs w:val="1"/>
          <w:color w:val="auto"/>
        </w:rPr>
        <w:t>Our HSC gene therapy product candidates are based on a novel technology, which makes it difficult to predict the time and cost of product candidate development and of subsequently obtaining regulatory approval.</w:t>
      </w:r>
    </w:p>
    <w:p>
      <w:pPr>
        <w:spacing w:after="0" w:line="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have concentrated our research and development efforts on our HSC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ongoing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November 1, 2022, we have only dosed ten patients using our plato platform in our clinical trials, which includes six patients in our FAB-GT clinical trial for which we have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HSC gene therapy.</w:t>
      </w:r>
    </w:p>
    <w:p>
      <w:pPr>
        <w:spacing w:after="0" w:line="163" w:lineRule="exact"/>
        <w:rPr>
          <w:sz w:val="20"/>
          <w:szCs w:val="20"/>
          <w:color w:val="auto"/>
        </w:rPr>
      </w:pPr>
    </w:p>
    <w:p>
      <w:pPr>
        <w:ind w:right="100" w:firstLine="509"/>
        <w:spacing w:after="0" w:line="280"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58"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7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(“OTAT”) within the CBER, to consolidate the review of gene therapy and related products, and to advise the CBER on its review. In September 2022, the FDA announced retitling of OTAT to the Office of Therapeutic Products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we cannot be certain that this approach will improve the time and cost associated with navigating gene therapy regulatory requirements, our regulatory strategy or the potential success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0" w:name="page41"/>
    <w:bookmarkEnd w:id="40"/>
    <w:p>
      <w:pPr>
        <w:ind w:right="500"/>
        <w:spacing w:after="0" w:line="277" w:lineRule="auto"/>
        <w:rPr>
          <w:sz w:val="20"/>
          <w:szCs w:val="20"/>
          <w:color w:val="auto"/>
        </w:rPr>
      </w:pPr>
      <w:r>
        <w:rPr>
          <w:rFonts w:ascii="Arial" w:cs="Arial" w:eastAsia="Arial" w:hAnsi="Arial"/>
          <w:sz w:val="18"/>
          <w:szCs w:val="18"/>
          <w:color w:val="auto"/>
        </w:rPr>
        <w:t>product candidates. Such regulatory actions and developments could, instead, delay, impede or even prevent commercialization of some or all of our product candidates.</w:t>
      </w:r>
    </w:p>
    <w:p>
      <w:pPr>
        <w:spacing w:after="0" w:line="15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5" w:lineRule="exact"/>
        <w:rPr>
          <w:sz w:val="20"/>
          <w:szCs w:val="20"/>
          <w:color w:val="auto"/>
        </w:rPr>
      </w:pPr>
    </w:p>
    <w:p>
      <w:pPr>
        <w:ind w:right="200" w:firstLine="509"/>
        <w:spacing w:after="0" w:line="261"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94" w:lineRule="exact"/>
        <w:rPr>
          <w:sz w:val="20"/>
          <w:szCs w:val="20"/>
          <w:color w:val="auto"/>
        </w:rPr>
      </w:pPr>
    </w:p>
    <w:p>
      <w:pPr>
        <w:jc w:val="both"/>
        <w:ind w:left="520" w:right="240"/>
        <w:spacing w:after="0" w:line="248"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or other negative consequences that could have adverse impacts on our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9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lentiviral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lentiviral gene therapy clinical trials. While our lentiviral gene therapy approach is designed to avoid insertional oncogenesis, there can be no assurance that patients will not experience such adverse side effects, including death.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ind w:right="60"/>
        <w:spacing w:after="0" w:line="277" w:lineRule="auto"/>
        <w:rPr>
          <w:sz w:val="20"/>
          <w:szCs w:val="20"/>
          <w:color w:val="auto"/>
        </w:rPr>
      </w:pPr>
      <w:r>
        <w:rPr>
          <w:rFonts w:ascii="Arial" w:cs="Arial" w:eastAsia="Arial" w:hAnsi="Arial"/>
          <w:sz w:val="18"/>
          <w:szCs w:val="18"/>
          <w:color w:val="auto"/>
        </w:rPr>
        <w:t>procedure causes side effects and, among other potential risks, can transiently compromise the patient’s immune system, known as neutropenia, and reduce blood clotting, known as thrombocytopenia.</w:t>
      </w:r>
    </w:p>
    <w:p>
      <w:pPr>
        <w:spacing w:after="0" w:line="15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called Target Concentration Intervention, or TCI, to achieve a balance between the removal of a sufficient amount of bone marrow cells from a patient against potential risks such as toxicity or graft failure. In addition, we are evaluating the potential future use of alternative conditioning agents in lieu of the current busulfan TCI conditioning regimen. For example, we have entered into collaboration agreements with Jasper Therapeutics and Magenta Therapeutics and are currently evaluating the potential use of their respective monoclonal antibody conditioning agents. We are also evaluating the potential use of additional agents to tailor the conditioning regimen for certain disease indications. However, there can be no assurances these alternative conditioning regimens will be implemented or would be successful if implemented. Our conditioning regimens may not be successful or may nevertheless result in adverse side effects. For example, busulfan, the myeloablative agent currently used in our conditioning regimen, has been known to carry certain safety risks, including the risk of impairment to fertility in both men and women, and such impairment has been reported in some patients in our clinical trials. Moreover, in each of our ongoing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385" w:lineRule="exact"/>
        <w:rPr>
          <w:sz w:val="20"/>
          <w:szCs w:val="20"/>
          <w:color w:val="auto"/>
        </w:rPr>
      </w:pPr>
    </w:p>
    <w:p>
      <w:pPr>
        <w:jc w:val="both"/>
        <w:ind w:right="380" w:firstLine="509"/>
        <w:spacing w:after="0" w:line="24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91" w:lineRule="exact"/>
        <w:rPr>
          <w:sz w:val="20"/>
          <w:szCs w:val="20"/>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registrational clinical trial, and may be unable to do so for any product candidates we may develop.</w:t>
      </w:r>
    </w:p>
    <w:p>
      <w:pPr>
        <w:spacing w:after="0" w:line="127"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We are at an early stage of development for all of our product candidates. As of November 1, 2022, only 24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spacing w:after="0" w:line="173"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color w:val="auto"/>
        </w:rPr>
        <w:t>In addition, across our Company-sponsored clinical trials we have dosed only three patients in the United States, and our interactions with the FDA have generally been limited. We cannot be certain how many additional clinical trials of AVR-RD-04, AVR-RD-02 or any other product candidates will be required or how such trials should be designed. In order to commence a clinical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right="40"/>
        <w:spacing w:after="0" w:line="260" w:lineRule="auto"/>
        <w:rPr>
          <w:sz w:val="20"/>
          <w:szCs w:val="20"/>
          <w:color w:val="auto"/>
        </w:rPr>
      </w:pPr>
      <w:r>
        <w:rPr>
          <w:rFonts w:ascii="Arial" w:cs="Arial" w:eastAsia="Arial" w:hAnsi="Arial"/>
          <w:sz w:val="17"/>
          <w:szCs w:val="17"/>
          <w:color w:val="auto"/>
        </w:rPr>
        <w:t>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AVR-RD-02 and AVR-RD-04, and the sponsor of the collaborator-led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ongoing Phase 1/2 clinical trial of AVR-RD-04 is being conducted by our collaborators at the University of California, San Diego. In addition, the planned Phase 1/2 clinical trial of AVR-RD-05 will be a collaborator-sponsored trial conducted by our collaborators at The University of Manchester; and the MHRA recently accepted its CTA application for this Phase 1/2 clinical trial. We do not control the design or administration of collaborator-sponsored trials, nor the submission or approval of any IND or foreign equivalent required to conduct these trials, and the collaborator-sponsored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non-Company-sponsored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collaborator-sponsored trials could be useful to inform our own clinical development efforts, there is no guarantee that we will be able to use the data from these trials to form the basis for regulatory approval of our product candidates. For example, regulators may require us to submit comparability or bridging studies to allow data generated in non-Company-sponsored studies to support the regulatory approvals of our product candidates, and we cannot be certain that such comparability or bridging studies, if any, would be successful or feasible.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04"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 hypothesis and there can be no assurances that similar engraftment or other issues will not occur in clinical trials of our other product candidates, which are all based on our technology and the same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spacing w:after="0" w:line="269"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3" w:name="page44"/>
    <w:bookmarkEnd w:id="43"/>
    <w:p>
      <w:pPr>
        <w:jc w:val="both"/>
        <w:ind w:right="20" w:firstLine="509"/>
        <w:spacing w:after="0" w:line="303"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0"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6" w:lineRule="exact"/>
        <w:rPr>
          <w:sz w:val="20"/>
          <w:szCs w:val="20"/>
          <w:color w:val="auto"/>
        </w:rPr>
      </w:pPr>
    </w:p>
    <w:p>
      <w:pPr>
        <w:ind w:left="520" w:right="600"/>
        <w:spacing w:after="0" w:line="261"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7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resumed, there could be additional pauses in the future as a result of the ongoing COVID-19 pandemic or other factors.</w:t>
      </w:r>
    </w:p>
    <w:p>
      <w:pPr>
        <w:spacing w:after="0" w:line="18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or at all. Although we currently expect to have enrolled up to a total of eight patients by the end of 2022 in our Company-sponsored clinical trial of AVR-RD-02 for Gaucher disease type 1, which we refer to as the Guard1 clinical trial, there can be no assurances we will achieve that goal or any of our other patient enrollment goals.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04" w:lineRule="exact"/>
        <w:rPr>
          <w:sz w:val="20"/>
          <w:szCs w:val="20"/>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8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2"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or CROs, clinical study sites and physicians;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03" w:lineRule="exact"/>
        <w:rPr>
          <w:rFonts w:ascii="Arial" w:cs="Arial" w:eastAsia="Arial" w:hAnsi="Arial"/>
          <w:sz w:val="18"/>
          <w:szCs w:val="18"/>
          <w:color w:val="auto"/>
        </w:rPr>
      </w:pPr>
    </w:p>
    <w:p>
      <w:pPr>
        <w:ind w:left="900" w:right="26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84" w:lineRule="exact"/>
        <w:rPr>
          <w:sz w:val="20"/>
          <w:szCs w:val="20"/>
          <w:color w:val="auto"/>
        </w:rPr>
      </w:pPr>
    </w:p>
    <w:p>
      <w:pPr>
        <w:jc w:val="both"/>
        <w:ind w:right="420" w:firstLine="509"/>
        <w:spacing w:after="0" w:line="324"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6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76"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58"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left="900" w:hanging="383"/>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revenues. In addition, if we make changes to our product candidates, or if collaborator-sponsored trials utilize different materials or manufacturing processes from ours to generate data, we may need to conduct additional studies to compare or 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planned collaborator-sponsored clinical study of AVR-RD-05 for Hunter syndrome will not be manufactured using our plato platform, and neither the automated, closed manufacturing system nor LV2 will be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regiment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89"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right="78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65" w:lineRule="exact"/>
        <w:rPr>
          <w:sz w:val="20"/>
          <w:szCs w:val="20"/>
          <w:color w:val="auto"/>
        </w:rPr>
      </w:pPr>
    </w:p>
    <w:p>
      <w:pPr>
        <w:ind w:left="520" w:right="920"/>
        <w:spacing w:after="0" w:line="291"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5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or labeling claims, our business, prospects, financial condition and results of operations would be materially and adversely affected.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Only one of our ongoing clinical trials utilizes our commercially scalable plato platform.</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scalable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scalable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programs, with the intent of replacing our original academic platforms with improved solutions for delivering our gene therapy candidates to patients in multiple disease indications. We believe improvements to our plato platform may lead to better patient outcomes with our gene therapy candidates. In order to implement this transition, we have been and will be required to conduct additional studies to bridge our modified product candidates to earlier versions, including earlier versions utilized in collaborator-sponsored clinical studies,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left="520" w:right="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3"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5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We anticipate competing with biotechnology and pharmaceutical companies, many of which may have significantly greater resources than we do. For example, for Gaucher disease, Sanofi Genzyme, Pfizer, and Takeda market existing enzyme replacement therapies, or ERTs, that represent the standard of care for Gaucher patients. For Gaucher disease we also expect to compete with oral therapies marketed by Johnson &amp; Johnson and Sanofi. Sanofi also markets an enzyme replacement therapy for Pompe disease, and Takeda markets an enzyme replacement therapy for Hunter syndrome. Denali Therapeutics has an ERT in late-stage clinical development for Hunter syndrome. Cystinosis is currently treated by therapies marketed by Horizon Orphan, Mylan, Chiesi, Recordati, Orphan Europe and Leadiant Biosciences. In addition, we may compete with other gene therapy companies in our industry such as Freeline Therapeutics, Generation Bio, Eli Lilly and Company or Graphite Bio. Freeline Therapeutics, for example, is developing an adeno-associated virus, or AAV based gene therapy for Gaucher disease type 1. Moreover, a number of gene therapy companies have announced preclinical or clinical non-viral AAV based gene therapy programs that, if successful in obtaining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340"/>
        <w:spacing w:after="0" w:line="277" w:lineRule="auto"/>
        <w:rPr>
          <w:sz w:val="20"/>
          <w:szCs w:val="20"/>
          <w:color w:val="auto"/>
        </w:rPr>
      </w:pPr>
      <w:r>
        <w:rPr>
          <w:rFonts w:ascii="Arial" w:cs="Arial" w:eastAsia="Arial" w:hAnsi="Arial"/>
          <w:sz w:val="18"/>
          <w:szCs w:val="18"/>
          <w:color w:val="auto"/>
        </w:rPr>
        <w:t>regulatory approval, could compete with our gene therapies. For example, Gene Cradle has announced a pre-clinical program for infantile onset Pompe disease and late onset Pompe disease.</w:t>
      </w:r>
    </w:p>
    <w:p>
      <w:pPr>
        <w:spacing w:after="0" w:line="157" w:lineRule="exact"/>
        <w:rPr>
          <w:sz w:val="20"/>
          <w:szCs w:val="20"/>
          <w:color w:val="auto"/>
        </w:rPr>
      </w:pPr>
    </w:p>
    <w:p>
      <w:pPr>
        <w:jc w:val="both"/>
        <w:ind w:right="120" w:firstLine="509"/>
        <w:spacing w:after="0" w:line="276"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5"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72" w:lineRule="exact"/>
        <w:rPr>
          <w:sz w:val="20"/>
          <w:szCs w:val="20"/>
          <w:color w:val="auto"/>
        </w:rPr>
      </w:pPr>
    </w:p>
    <w:p>
      <w:pPr>
        <w:ind w:left="520"/>
        <w:spacing w:after="0" w:line="24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3"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July 2021 we received Fast Track Designation from the FDA for AVR-RD-04 for the treatment of cystinosis to improve renal function. However, the FDA has broad discretion whether or not to grant this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line="275" w:lineRule="auto"/>
        <w:rPr>
          <w:sz w:val="20"/>
          <w:szCs w:val="20"/>
          <w:color w:val="auto"/>
        </w:rPr>
      </w:pPr>
      <w:r>
        <w:rPr>
          <w:rFonts w:ascii="Arial" w:cs="Arial" w:eastAsia="Arial" w:hAnsi="Arial"/>
          <w:sz w:val="16"/>
          <w:szCs w:val="16"/>
          <w:color w:val="auto"/>
        </w:rPr>
        <w:t>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5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The first step in the ILAP is receipt of an Innovation Passport, which allows for enhanced engagement with the MHRA and its partner agencies. In October 2022, we announced that the MHRA had granted an Innovation Passport to AVR-RD-02, which we are evaluating for the treatment of Gaucher disease. However, although the goal of ILAP and the Innovation Passport is to reduce the time to market and enable earlier patient access, receipt of this designation does not accelerate conduct of clinical trials or mean that the regulatory requirements are less stringent, nor does it ensure that any future application for marketing authorization will be approved or that any approval will be granted within a particular timeframe.</w:t>
      </w:r>
    </w:p>
    <w:p>
      <w:pPr>
        <w:spacing w:after="0" w:line="200" w:lineRule="exact"/>
        <w:rPr>
          <w:sz w:val="20"/>
          <w:szCs w:val="20"/>
          <w:color w:val="auto"/>
        </w:rPr>
      </w:pPr>
    </w:p>
    <w:p>
      <w:pPr>
        <w:spacing w:after="0" w:line="286"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6"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In October 2019 and March 2020, the FDA granted our requests for orphan drug designation for AVR-RD-02 for the treatment of Gaucher disease and AVR-RD-04 for the treatment of cystinosis, respectively. Additionally, in July 2022, we announced that the FDA granted our request for orphan drug designation for AVR-RD-05 for the treatment of Hunter syndrome.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5"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applicable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right="40"/>
        <w:spacing w:after="0" w:line="249" w:lineRule="auto"/>
        <w:rPr>
          <w:sz w:val="20"/>
          <w:szCs w:val="20"/>
          <w:color w:val="auto"/>
        </w:rPr>
      </w:pPr>
      <w:r>
        <w:rPr>
          <w:rFonts w:ascii="Arial" w:cs="Arial" w:eastAsia="Arial" w:hAnsi="Arial"/>
          <w:sz w:val="18"/>
          <w:szCs w:val="18"/>
          <w:color w:val="auto"/>
        </w:rPr>
        <w:t>the applicable exclusivity period. The applicable period is seven years in the United States and 10 years in the European Union. The exclusivity period in the European Union can be reduced to nine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78" w:lineRule="exact"/>
        <w:rPr>
          <w:sz w:val="20"/>
          <w:szCs w:val="20"/>
          <w:color w:val="auto"/>
        </w:rPr>
      </w:pPr>
    </w:p>
    <w:p>
      <w:pPr>
        <w:ind w:left="900" w:right="60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48" w:lineRule="exact"/>
        <w:rPr>
          <w:rFonts w:ascii="Arial" w:cs="Arial" w:eastAsia="Arial" w:hAnsi="Arial"/>
          <w:sz w:val="18"/>
          <w:szCs w:val="18"/>
          <w:color w:val="auto"/>
        </w:rPr>
      </w:pPr>
    </w:p>
    <w:p>
      <w:pPr>
        <w:ind w:left="900" w:right="8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6" w:lineRule="exact"/>
        <w:rPr>
          <w:rFonts w:ascii="Arial" w:cs="Arial" w:eastAsia="Arial" w:hAnsi="Arial"/>
          <w:sz w:val="18"/>
          <w:szCs w:val="18"/>
          <w:color w:val="auto"/>
        </w:rPr>
      </w:pPr>
    </w:p>
    <w:p>
      <w:pPr>
        <w:ind w:left="900" w:right="36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520"/>
        <w:spacing w:after="0" w:line="256" w:lineRule="auto"/>
        <w:rPr>
          <w:sz w:val="20"/>
          <w:szCs w:val="20"/>
          <w:color w:val="auto"/>
        </w:rPr>
      </w:pPr>
      <w:r>
        <w:rPr>
          <w:rFonts w:ascii="Arial" w:cs="Arial" w:eastAsia="Arial" w:hAnsi="Arial"/>
          <w:sz w:val="18"/>
          <w:szCs w:val="18"/>
          <w:b w:val="1"/>
          <w:bCs w:val="1"/>
          <w:i w:val="1"/>
          <w:iCs w:val="1"/>
          <w:color w:val="auto"/>
        </w:rPr>
        <w:t>We have received rare pediatric disease designation for AVR-RD-05 for the treatment of Hunter syndrome. However, a marketing application for AVR-RD-05, if approved, may not meet the eligibility criteria for a Priority Review Voucher, or PRV, or the rare pediatric disease designation program may sunset before the FDA is able to consider us for a voucher.</w:t>
      </w:r>
    </w:p>
    <w:p>
      <w:pPr>
        <w:spacing w:after="0" w:line="67"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We have received rare pediatric disease designation for AVR-RD-05 for the treatment of Hunter syndrome. 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we will need to request a rare pediatric disease PRV in our original BLA for AVR-RD-05. The FDA may determine that a BLA for AVR-RD-05, if approved, does not meet the eligibility criteria for a PRV, including for the following reasons:</w:t>
      </w:r>
    </w:p>
    <w:p>
      <w:pPr>
        <w:spacing w:after="0" w:line="7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Hunter syndrome no longer meets the definition of a rare pediatric disease;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BLA contains an active ingredient that has been previously approved in a BLA;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ind w:left="1020" w:right="40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AVR-RD-05 is designated.</w:t>
      </w:r>
    </w:p>
    <w:p>
      <w:pPr>
        <w:spacing w:after="0" w:line="104" w:lineRule="exact"/>
        <w:rPr>
          <w:sz w:val="20"/>
          <w:szCs w:val="20"/>
          <w:color w:val="auto"/>
        </w:rPr>
      </w:pPr>
    </w:p>
    <w:p>
      <w:pPr>
        <w:jc w:val="both"/>
        <w:ind w:right="240" w:firstLine="509"/>
        <w:spacing w:after="0" w:line="249" w:lineRule="auto"/>
        <w:rPr>
          <w:sz w:val="20"/>
          <w:szCs w:val="20"/>
          <w:color w:val="auto"/>
        </w:rPr>
      </w:pPr>
      <w:r>
        <w:rPr>
          <w:rFonts w:ascii="Arial" w:cs="Arial" w:eastAsia="Arial" w:hAnsi="Arial"/>
          <w:sz w:val="18"/>
          <w:szCs w:val="18"/>
          <w:color w:val="auto"/>
        </w:rPr>
        <w:t>The authority for the FDA to award rare pediatric disease PRVs for drugs that have received rare pediatric disease designation prior to September 30, 2024 currently expires on September 30, 2026. If the BLA for AVR-RD-05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right="20" w:firstLine="509"/>
        <w:spacing w:after="0" w:line="261"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04"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jc w:val="both"/>
        <w:ind w:right="100" w:firstLine="509"/>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1" w:lineRule="exact"/>
        <w:rPr>
          <w:sz w:val="20"/>
          <w:szCs w:val="20"/>
          <w:color w:val="auto"/>
        </w:rPr>
      </w:pPr>
    </w:p>
    <w:p>
      <w:pPr>
        <w:ind w:left="520" w:right="40"/>
        <w:spacing w:after="0" w:line="261"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7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60" w:firstLine="509"/>
        <w:spacing w:after="0" w:line="268"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80"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61"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3"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7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89"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 Our manufacturing process relies on a platform structure, which we refer to as our plato platform, and, if we experience delays, deviations or failures that impact that platform, such delays, deviations or failures could have an adverse impact on our development products or future commercialization programs.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left="520" w:right="64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We do not expect to independently conduct all aspects of our vector production, product manufacturing, protocol development, research and</w:t>
      </w:r>
    </w:p>
    <w:p>
      <w:pPr>
        <w:spacing w:after="0" w:line="2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82"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Even with relevant experience and expertise, our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We cannot make any assurances that these difficulties will not occur in the future, or that we will be able to resolve or address them in a timely manner or at all as problems arise.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100" w:firstLine="509"/>
        <w:spacing w:after="0" w:line="278"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anticipated data was not available.</w:t>
      </w:r>
    </w:p>
    <w:p>
      <w:pPr>
        <w:spacing w:after="0" w:line="161"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900" w:right="62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3" w:lineRule="exact"/>
        <w:rPr>
          <w:sz w:val="20"/>
          <w:szCs w:val="20"/>
          <w:color w:val="auto"/>
        </w:rPr>
      </w:pPr>
    </w:p>
    <w:p>
      <w:pPr>
        <w:ind w:left="520" w:right="80"/>
        <w:spacing w:after="0" w:line="278" w:lineRule="auto"/>
        <w:rPr>
          <w:sz w:val="20"/>
          <w:szCs w:val="20"/>
          <w:color w:val="auto"/>
        </w:rPr>
      </w:pPr>
      <w:r>
        <w:rPr>
          <w:rFonts w:ascii="Arial" w:cs="Arial" w:eastAsia="Arial" w:hAnsi="Arial"/>
          <w:sz w:val="17"/>
          <w:szCs w:val="17"/>
          <w:b w:val="1"/>
          <w:bCs w:val="1"/>
          <w:i w:val="1"/>
          <w:iCs w:val="1"/>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5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have moved our cell processing to an automated, closed system with a sole source supplier. In addition, we currently rely, and expect to continue to rely, on sole source suppliers for vector supply, plasmid supply and cell culture media, as well as drug product manufacturing for our Company-sponsored clinical trials. Our sole source suppliers may be unwilling or unable to supply product to us reliably, continuously or at the levels we anticipate or are required by our clinical trial activities. Such suppliers could delay, suspend, or terminate supply of product to us for a number of reasons, including manufacturing or quality issues, payment disputes with us, intellectual property disputes with third parties, bankruptcy or insolvency, earthquakes or other natural disasters or other occurrences.</w:t>
      </w:r>
    </w:p>
    <w:p>
      <w:pPr>
        <w:spacing w:after="0" w:line="77" w:lineRule="exact"/>
        <w:rPr>
          <w:sz w:val="20"/>
          <w:szCs w:val="20"/>
          <w:color w:val="auto"/>
        </w:rPr>
      </w:pPr>
    </w:p>
    <w:p>
      <w:pPr>
        <w:ind w:firstLine="554"/>
        <w:spacing w:after="0" w:line="260" w:lineRule="auto"/>
        <w:rPr>
          <w:sz w:val="20"/>
          <w:szCs w:val="20"/>
          <w:color w:val="auto"/>
        </w:rPr>
      </w:pPr>
      <w:r>
        <w:rPr>
          <w:rFonts w:ascii="Arial" w:cs="Arial" w:eastAsia="Arial" w:hAnsi="Arial"/>
          <w:sz w:val="17"/>
          <w:szCs w:val="17"/>
          <w:color w:val="auto"/>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73"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7"/>
          <w:szCs w:val="17"/>
          <w:color w:val="auto"/>
        </w:rPr>
        <w:t>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8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9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Our reliance on suppliers subjects us to a number of risks that could materially harm our reputation, business, and financial condition, including, among other things:</w:t>
      </w:r>
    </w:p>
    <w:p>
      <w:pPr>
        <w:spacing w:after="0" w:line="63" w:lineRule="exact"/>
        <w:rPr>
          <w:sz w:val="20"/>
          <w:szCs w:val="20"/>
          <w:color w:val="auto"/>
        </w:rPr>
      </w:pPr>
    </w:p>
    <w:p>
      <w:pPr>
        <w:ind w:left="900" w:right="76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 or trade sanctions, embargoes, and heightened export requirements resulting from the war in Ukraine;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1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If any of these risks materialize, our costs could significantly increase and our ability to conduct our clinical trials and, if our product candidates are approved, to meet demand for our products could be impacted.</w:t>
      </w:r>
    </w:p>
    <w:p>
      <w:pPr>
        <w:spacing w:after="0" w:line="292" w:lineRule="exact"/>
        <w:rPr>
          <w:sz w:val="20"/>
          <w:szCs w:val="20"/>
          <w:color w:val="auto"/>
        </w:rPr>
      </w:pPr>
    </w:p>
    <w:p>
      <w:pPr>
        <w:ind w:left="520" w:right="560"/>
        <w:spacing w:after="0" w:line="291"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currently rely on sole source suppliers of our automated, closed cell processing system; vector supply; plasmid supply; cell culture media; as well as drug product manufacturing for our Company-sponsored clinical trials. In addition, we currently depend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9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spacing w:after="0" w:line="249" w:lineRule="auto"/>
        <w:rPr>
          <w:sz w:val="20"/>
          <w:szCs w:val="20"/>
          <w:color w:val="auto"/>
        </w:rPr>
      </w:pPr>
      <w:r>
        <w:rPr>
          <w:rFonts w:ascii="Arial" w:cs="Arial" w:eastAsia="Arial" w:hAnsi="Arial"/>
          <w:sz w:val="18"/>
          <w:szCs w:val="18"/>
          <w:color w:val="auto"/>
        </w:rPr>
        <w:t>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9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75"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302"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3"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0" w:lineRule="exact"/>
        <w:rPr>
          <w:sz w:val="20"/>
          <w:szCs w:val="20"/>
          <w:color w:val="auto"/>
        </w:rPr>
      </w:pPr>
    </w:p>
    <w:p>
      <w:pPr>
        <w:ind w:right="180" w:firstLine="509"/>
        <w:spacing w:after="0" w:line="261"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08" w:lineRule="exact"/>
        <w:rPr>
          <w:sz w:val="20"/>
          <w:szCs w:val="20"/>
          <w:color w:val="auto"/>
        </w:rPr>
      </w:pPr>
    </w:p>
    <w:p>
      <w:pPr>
        <w:ind w:left="520" w:right="380"/>
        <w:spacing w:after="0" w:line="261"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7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To successfully commercialize any of our current or future product candidates, if approved, we will need to develop our commercial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5" w:name="page56"/>
    <w:bookmarkEnd w:id="55"/>
    <w:p>
      <w:pPr>
        <w:ind w:right="100"/>
        <w:spacing w:after="0" w:line="249" w:lineRule="auto"/>
        <w:rPr>
          <w:sz w:val="20"/>
          <w:szCs w:val="20"/>
          <w:color w:val="auto"/>
        </w:rPr>
      </w:pPr>
      <w:r>
        <w:rPr>
          <w:rFonts w:ascii="Arial" w:cs="Arial" w:eastAsia="Arial" w:hAnsi="Arial"/>
          <w:sz w:val="18"/>
          <w:szCs w:val="18"/>
          <w:color w:val="auto"/>
        </w:rPr>
        <w:t>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0" w:lineRule="exact"/>
        <w:rPr>
          <w:sz w:val="20"/>
          <w:szCs w:val="20"/>
          <w:color w:val="auto"/>
        </w:rPr>
      </w:pPr>
    </w:p>
    <w:p>
      <w:pPr>
        <w:ind w:left="520" w:right="6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14"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74"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900" w:right="440" w:hanging="383"/>
        <w:spacing w:after="0" w:line="291"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accessible and skilled healthcare centers capable of administering our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12"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5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jc w:val="both"/>
        <w:ind w:right="80"/>
        <w:spacing w:after="0" w:line="278" w:lineRule="auto"/>
        <w:rPr>
          <w:sz w:val="20"/>
          <w:szCs w:val="20"/>
          <w:color w:val="auto"/>
        </w:rPr>
      </w:pPr>
      <w:r>
        <w:rPr>
          <w:rFonts w:ascii="Arial" w:cs="Arial" w:eastAsia="Arial" w:hAnsi="Arial"/>
          <w:sz w:val="17"/>
          <w:szCs w:val="17"/>
          <w:color w:val="auto"/>
        </w:rPr>
        <w:t>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66"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49"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3"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economic weakness, including inflation, fluctuating interest rates, or political instability in particular foreign economies and markets;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900" w:right="26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92" w:lineRule="exact"/>
        <w:rPr>
          <w:sz w:val="20"/>
          <w:szCs w:val="20"/>
          <w:color w:val="auto"/>
        </w:rPr>
      </w:pPr>
    </w:p>
    <w:p>
      <w:pPr>
        <w:ind w:left="520" w:right="120"/>
        <w:spacing w:after="0" w:line="248"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87"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w:t>
      </w:r>
      <w:r>
        <w:rPr>
          <w:rFonts w:ascii="Arial" w:cs="Arial" w:eastAsia="Arial" w:hAnsi="Arial"/>
          <w:sz w:val="17"/>
          <w:szCs w:val="17"/>
          <w:i w:val="1"/>
          <w:iCs w:val="1"/>
          <w:color w:val="auto"/>
        </w:rPr>
        <w:t>Business –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 Coverage and Reimbursement</w:t>
      </w:r>
      <w:r>
        <w:rPr>
          <w:rFonts w:ascii="Arial" w:cs="Arial" w:eastAsia="Arial" w:hAnsi="Arial"/>
          <w:sz w:val="17"/>
          <w:szCs w:val="17"/>
          <w:color w:val="auto"/>
        </w:rPr>
        <w:t>.”</w:t>
      </w:r>
    </w:p>
    <w:p>
      <w:pPr>
        <w:spacing w:after="0" w:line="17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ind w:firstLine="509"/>
        <w:spacing w:after="0" w:line="280"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159"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8"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4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 Moreover, if successful, we anticipate that our product candidates will offer full therapeutic benefit from a single administration, thus, every treatment with our product candidates may result in a decrease in the available pool of target patients.</w:t>
      </w:r>
    </w:p>
    <w:p>
      <w:pPr>
        <w:spacing w:after="0" w:line="295"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4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Arial" w:cs="Arial" w:eastAsia="Arial" w:hAnsi="Arial"/>
          <w:sz w:val="16"/>
          <w:szCs w:val="16"/>
          <w:i w:val="1"/>
          <w:iCs w:val="1"/>
          <w:color w:val="auto"/>
        </w:rPr>
        <w:t>“Business - Government Regulation – Healthcare Reform.”</w:t>
      </w:r>
      <w:r>
        <w:rPr>
          <w:rFonts w:ascii="Arial" w:cs="Arial" w:eastAsia="Arial" w:hAnsi="Arial"/>
          <w:sz w:val="16"/>
          <w:szCs w:val="16"/>
          <w:color w:val="auto"/>
        </w:rPr>
        <w:t xml:space="preserve"> We cannot predict the initiatives that may be adopted in the future.</w:t>
      </w:r>
    </w:p>
    <w:p>
      <w:pPr>
        <w:spacing w:after="0" w:line="175"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ind w:left="1260" w:hanging="368"/>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23" w:lineRule="exact"/>
        <w:rPr>
          <w:rFonts w:ascii="Arial" w:cs="Arial" w:eastAsia="Arial" w:hAnsi="Arial"/>
          <w:sz w:val="18"/>
          <w:szCs w:val="18"/>
          <w:color w:val="auto"/>
        </w:rPr>
      </w:pPr>
    </w:p>
    <w:p>
      <w:pPr>
        <w:ind w:left="1260" w:hanging="368"/>
        <w:spacing w:after="0" w:line="236"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ind w:left="1260" w:hanging="368"/>
        <w:spacing w:after="0" w:line="234"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ind w:left="1260" w:hanging="368"/>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7" w:lineRule="exact"/>
        <w:rPr>
          <w:rFonts w:ascii="Arial" w:cs="Arial" w:eastAsia="Arial" w:hAnsi="Arial"/>
          <w:sz w:val="18"/>
          <w:szCs w:val="18"/>
          <w:color w:val="auto"/>
        </w:rPr>
      </w:pPr>
    </w:p>
    <w:p>
      <w:pPr>
        <w:ind w:left="1260" w:hanging="368"/>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99"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In August 2022, the Inflation Reduction Act of 2022, or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the IRA on our business and the healthcare industry in general is not yet known. The implementation of cost containment measures or other healthcare reforms may prevent us from being able to generate revenue, attain profitability or commercialize our product candidates.</w:t>
      </w:r>
    </w:p>
    <w:p>
      <w:pPr>
        <w:spacing w:after="0" w:line="296" w:lineRule="exact"/>
        <w:rPr>
          <w:sz w:val="20"/>
          <w:szCs w:val="20"/>
          <w:color w:val="auto"/>
        </w:rPr>
      </w:pPr>
    </w:p>
    <w:p>
      <w:pPr>
        <w:ind w:left="520"/>
        <w:spacing w:after="0" w:line="322"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5"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5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w:t>
      </w:r>
    </w:p>
    <w:p>
      <w:pPr>
        <w:spacing w:after="0" w:line="6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Regulatory authorities outside the U.S. may adopt similar restrictions or other policy measures in response to the ongoing COVID-19 pandemic and may experience delays in their regulatory activities. If a prolonged government shutdown occurs, it could significantly impact the ability of the FDA to timely review and process our regulatory submissions, which could have a material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adverse effect on our business. Further, future shutdowns of other government agencies, such as the SEC, may also impact our business through review of our public filings and our ability to access the public markets.</w:t>
      </w:r>
    </w:p>
    <w:p>
      <w:pPr>
        <w:spacing w:after="0" w:line="265" w:lineRule="exact"/>
        <w:rPr>
          <w:sz w:val="20"/>
          <w:szCs w:val="20"/>
          <w:color w:val="auto"/>
        </w:rPr>
      </w:pPr>
    </w:p>
    <w:p>
      <w:pPr>
        <w:ind w:left="520" w:right="60"/>
        <w:spacing w:after="0" w:line="362"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6" w:lineRule="exact"/>
        <w:rPr>
          <w:sz w:val="20"/>
          <w:szCs w:val="20"/>
          <w:color w:val="auto"/>
        </w:rPr>
      </w:pPr>
    </w:p>
    <w:p>
      <w:pPr>
        <w:jc w:val="both"/>
        <w:ind w:right="100" w:firstLine="509"/>
        <w:spacing w:after="0" w:line="324"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20"/>
        <w:spacing w:after="0" w:line="322"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35"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0" w:name="page61"/>
    <w:bookmarkEnd w:id="60"/>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49"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executive or key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through the first half of 2022 we have continued to streamline employee headcount including senior management. Reductions in force, management changes and program reprioritizations can have an adverse impact on employee morale. While we believe our relations with our continuing employees to be good, there can be no assurance that we can avoid hiring and retention challenges for skilled personnel in the future. There is currently a shortage of skilled executives and other personnel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In addition, in recent months, the market price of our common stock has experienced significant downward pressure, resulting in “underwater” or “out-of-the-money” stock options for many of our employees, thereby limiting the desired retentive effect that our equity incentive program was intended to achieve. The inability to recruit or the loss of the services of any executive, key employee, skilled personnel, consultant or advisor may impede the progress of our research, development and commercialization objectives.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need to expand our operations and we may experience difficulties in managing this growth, which could disrupt our operations.</w:t>
      </w:r>
    </w:p>
    <w:p>
      <w:pPr>
        <w:spacing w:after="0" w:line="12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As we mature, we may need to rapidly expand our full-time employee base and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66"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7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conduct in the healthcare industry are subject to extensive laws and regulations intended to prevent fraud, misconduct, kickbacks, self-dealing and other abusive practices. These laws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1" w:name="page62"/>
    <w:bookmarkEnd w:id="61"/>
    <w:p>
      <w:pPr>
        <w:ind w:right="100"/>
        <w:spacing w:after="0" w:line="245" w:lineRule="auto"/>
        <w:rPr>
          <w:sz w:val="20"/>
          <w:szCs w:val="20"/>
          <w:color w:val="auto"/>
        </w:rPr>
      </w:pPr>
      <w:r>
        <w:rPr>
          <w:rFonts w:ascii="Arial" w:cs="Arial" w:eastAsia="Arial" w:hAnsi="Arial"/>
          <w:sz w:val="18"/>
          <w:szCs w:val="18"/>
          <w:color w:val="auto"/>
        </w:rPr>
        <w:t>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520" w:right="78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6" w:lineRule="exact"/>
        <w:rPr>
          <w:sz w:val="20"/>
          <w:szCs w:val="20"/>
          <w:color w:val="auto"/>
        </w:rPr>
      </w:pPr>
    </w:p>
    <w:p>
      <w:pPr>
        <w:ind w:left="520" w:right="140"/>
        <w:spacing w:after="0" w:line="256" w:lineRule="auto"/>
        <w:rPr>
          <w:sz w:val="20"/>
          <w:szCs w:val="20"/>
          <w:color w:val="auto"/>
        </w:rPr>
      </w:pPr>
      <w:r>
        <w:rPr>
          <w:rFonts w:ascii="Arial" w:cs="Arial" w:eastAsia="Arial" w:hAnsi="Arial"/>
          <w:sz w:val="18"/>
          <w:szCs w:val="18"/>
          <w:b w:val="1"/>
          <w:bCs w:val="1"/>
          <w:i w:val="1"/>
          <w:iCs w:val="1"/>
          <w:color w:val="auto"/>
        </w:rPr>
        <w:t>We are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We are subject, and may be increasingly subject if we obtain FDA approval for any of our product candidates, to various federal and state fraud and abuse laws and regulations, including, without limitation, the federal Health Care Program Anti-Kickback Statute, the federal civil and criminal False Claims Act and Physician Payments Sunshine Act and regulations. These laws impact, among other things, our clinical trial programs, healthcare professional interactions, grant making activities, and our anticipated sales, marketing and medical educational programs. In addition, we may be subject to patient privacy laws by both the federal government and the states in which we conduct our business.</w:t>
      </w:r>
    </w:p>
    <w:p>
      <w:pPr>
        <w:spacing w:after="0" w:line="18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6"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p>
    <w:p>
      <w:pPr>
        <w:spacing w:after="0" w:line="16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20"/>
        <w:spacing w:after="0" w:line="244" w:lineRule="auto"/>
        <w:rPr>
          <w:sz w:val="20"/>
          <w:szCs w:val="20"/>
          <w:color w:val="auto"/>
        </w:rPr>
      </w:pPr>
      <w:r>
        <w:rPr>
          <w:rFonts w:ascii="Arial" w:cs="Arial" w:eastAsia="Arial" w:hAnsi="Arial"/>
          <w:sz w:val="18"/>
          <w:szCs w:val="18"/>
          <w:color w:val="auto"/>
        </w:rPr>
        <w:t>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309" w:lineRule="exact"/>
        <w:rPr>
          <w:sz w:val="20"/>
          <w:szCs w:val="20"/>
          <w:color w:val="auto"/>
        </w:rPr>
      </w:pPr>
    </w:p>
    <w:p>
      <w:pPr>
        <w:ind w:left="520"/>
        <w:spacing w:after="0" w:line="324"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Health Insurance Portability and Accountability Act of 1996, or HIPAA, as amended by the Health Information Technology for Economic and Clinical Health Act.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7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European Economic Area, or EEA,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jc w:val="both"/>
        <w:ind w:right="320" w:firstLine="509"/>
        <w:spacing w:after="0" w:line="256"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67"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29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7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Further, certain European data protection laws restrict transfers of personal data to countries outside Europe that do not ensure an adequate level of protection, like the United States (so-called “third countries”). These transfers are prohibited unless an appropriate safeguard specified by the European data protection laws is implemented, such as the Standard Contractual Clauses, or SCCs, approved by the European Commission, or a derogation applies. The Court of Justice of the European Union, or CJEU, in its decision in Case C-311/18 </w:t>
      </w:r>
      <w:r>
        <w:rPr>
          <w:rFonts w:ascii="Arial" w:cs="Arial" w:eastAsia="Arial" w:hAnsi="Arial"/>
          <w:sz w:val="16"/>
          <w:szCs w:val="16"/>
          <w:i w:val="1"/>
          <w:iCs w:val="1"/>
          <w:color w:val="auto"/>
        </w:rPr>
        <w:t>(Data Protection Commissioner v Facebook Ireland and</w:t>
      </w:r>
      <w:r>
        <w:rPr>
          <w:rFonts w:ascii="Arial" w:cs="Arial" w:eastAsia="Arial" w:hAnsi="Arial"/>
          <w:sz w:val="16"/>
          <w:szCs w:val="16"/>
          <w:color w:val="auto"/>
        </w:rPr>
        <w:t xml:space="preserve"> </w:t>
      </w:r>
      <w:r>
        <w:rPr>
          <w:rFonts w:ascii="Arial" w:cs="Arial" w:eastAsia="Arial" w:hAnsi="Arial"/>
          <w:sz w:val="16"/>
          <w:szCs w:val="16"/>
          <w:i w:val="1"/>
          <w:iCs w:val="1"/>
          <w:color w:val="auto"/>
        </w:rPr>
        <w:t>Maximillian Schrems</w:t>
      </w:r>
      <w:r>
        <w:rPr>
          <w:rFonts w:ascii="Arial" w:cs="Arial" w:eastAsia="Arial" w:hAnsi="Arial"/>
          <w:sz w:val="16"/>
          <w:szCs w:val="16"/>
          <w:color w:val="auto"/>
        </w:rPr>
        <w:t>, or Schrems II,) deemed that the SCCs are valid. However, the CJEU ruled that transfers made pursuant to the SCCs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transfer mechanisms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importer is based. On June 4, 2021, the European Commission published new versions of the SCCs, or New SCCs, which seek to address the issues identified by the CJEU’s Schrems II decision and provide further details regarding the transfer assessments of the importer third country’s laws that the parties are required to conduct when implementing the New SCCs. On June 18, 2021, the European Data Protection Board, or EDPB, issued its final guidance following the CJEU’s decision that imposes significant new diligence requirements on transferring data outside the EEA, including under an approved transfer mechanism. This guidance requires an “essential equivalency” assessment of the laws of the destination country transferred. If the “essentially equivalent” level of protection standard outlined by the CJEU’s decision is not satisfied in the destination country, the exporting entity must then assess if supplementary technical, organizational and/or contractual measures can be put in place that, in combination with the chosen transfer mechanism, would address the deficiency in the laws and ensure that essentially equivalent protection can be given to the data. Complying with this guidance will be expensive and time consuming and may ultimately prevent us from transferring personal data outside the EEA, which would cause significant business disruption. At present, there are few, if any, viable alternatives to the SCCs. The risks associated with such exports of personal data from locations within Europe are particularly relevant to our business as our organization comprises several operating entities, some of which may be located, and/or sponsor clinical trials, in Europe. 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likely also arise in other jurisdictions that adopt laws similar in construction to the GDPR or regulatory frameworks of equivalent complexity.</w:t>
      </w:r>
    </w:p>
    <w:p>
      <w:pPr>
        <w:spacing w:after="0" w:line="333" w:lineRule="exact"/>
        <w:rPr>
          <w:sz w:val="20"/>
          <w:szCs w:val="20"/>
          <w:color w:val="auto"/>
        </w:rPr>
      </w:pPr>
    </w:p>
    <w:p>
      <w:pPr>
        <w:jc w:val="both"/>
        <w:ind w:left="520" w:right="40"/>
        <w:spacing w:after="0" w:line="322"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35"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The use of our product candidates including in clinical studies, and the future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8" w:lineRule="exact"/>
        <w:rPr>
          <w:sz w:val="20"/>
          <w:szCs w:val="20"/>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12"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5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6" w:lineRule="exact"/>
        <w:rPr>
          <w:sz w:val="20"/>
          <w:szCs w:val="20"/>
          <w:color w:val="auto"/>
        </w:rPr>
      </w:pPr>
    </w:p>
    <w:p>
      <w:pPr>
        <w:ind w:left="520" w:right="6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laws and regulations. These current or future laws and regulations may impair our research, development or production efforts. Failure to comply with these laws and regulations also may result in substantial fines, penalties or other sanctions.</w:t>
      </w:r>
    </w:p>
    <w:p>
      <w:pPr>
        <w:spacing w:after="0" w:line="157"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93" w:lineRule="exact"/>
        <w:rPr>
          <w:sz w:val="20"/>
          <w:szCs w:val="20"/>
          <w:color w:val="auto"/>
        </w:rPr>
      </w:pPr>
    </w:p>
    <w:p>
      <w:pPr>
        <w:ind w:left="520" w:right="940"/>
        <w:spacing w:after="0" w:line="261"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3"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As of December 31, 2021 and 2020, we had federal and state net operating loss carryforwards of $313.0 million and $214.0 million, respectively, and federal research and development tax credit carryforwards of approximately $6.2 million and $3.7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0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56"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firstLine="509"/>
        <w:spacing w:after="0" w:line="246"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5"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1"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94" w:lineRule="exact"/>
        <w:rPr>
          <w:sz w:val="20"/>
          <w:szCs w:val="20"/>
          <w:color w:val="auto"/>
        </w:rPr>
      </w:pPr>
    </w:p>
    <w:p>
      <w:pPr>
        <w:ind w:left="520" w:right="380"/>
        <w:spacing w:after="0" w:line="261"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and type 3 programs). In addition, we have in-licensed patents and patent applications from BioMarin Pharmaceutical Inc., or BioMarin (relevant to AVR-RD-03 and our Pompe program), GenStem Therapeutics, Inc., which was subsequently assigned to Papillon Therapeutics, Inc., or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7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ind w:right="20" w:firstLine="509"/>
        <w:spacing w:after="0" w:line="28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5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95" w:lineRule="exact"/>
        <w:rPr>
          <w:sz w:val="20"/>
          <w:szCs w:val="20"/>
          <w:color w:val="auto"/>
        </w:rPr>
      </w:pPr>
    </w:p>
    <w:p>
      <w:pPr>
        <w:ind w:left="520" w:right="420"/>
        <w:spacing w:after="0" w:line="256"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67"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3"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71"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jc w:val="both"/>
        <w:ind w:right="260"/>
        <w:spacing w:after="0" w:line="256" w:lineRule="auto"/>
        <w:rPr>
          <w:sz w:val="20"/>
          <w:szCs w:val="20"/>
          <w:color w:val="auto"/>
        </w:rPr>
      </w:pPr>
      <w:r>
        <w:rPr>
          <w:rFonts w:ascii="Arial" w:cs="Arial" w:eastAsia="Arial" w:hAnsi="Arial"/>
          <w:sz w:val="18"/>
          <w:szCs w:val="18"/>
          <w:color w:val="auto"/>
        </w:rPr>
        <w:t>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3" w:lineRule="exact"/>
        <w:rPr>
          <w:sz w:val="20"/>
          <w:szCs w:val="20"/>
          <w:color w:val="auto"/>
        </w:rPr>
      </w:pPr>
    </w:p>
    <w:p>
      <w:pPr>
        <w:ind w:left="520" w:right="300"/>
        <w:spacing w:after="0" w:line="261"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76"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92"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4"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2"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ind w:right="100" w:firstLine="509"/>
        <w:spacing w:after="0" w:line="26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2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86" w:lineRule="exact"/>
        <w:rPr>
          <w:sz w:val="20"/>
          <w:szCs w:val="20"/>
          <w:color w:val="auto"/>
        </w:rPr>
      </w:pPr>
    </w:p>
    <w:p>
      <w:pPr>
        <w:ind w:left="520" w:right="100"/>
        <w:spacing w:after="0" w:line="270"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69"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to UCSD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7" w:lineRule="exact"/>
        <w:rPr>
          <w:sz w:val="20"/>
          <w:szCs w:val="20"/>
          <w:color w:val="auto"/>
        </w:rPr>
      </w:pPr>
    </w:p>
    <w:p>
      <w:pPr>
        <w:ind w:right="380" w:firstLine="509"/>
        <w:spacing w:after="0" w:line="24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1"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4"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80" w:firstLine="509"/>
        <w:spacing w:after="0" w:line="275" w:lineRule="auto"/>
        <w:rPr>
          <w:sz w:val="20"/>
          <w:szCs w:val="20"/>
          <w:color w:val="auto"/>
        </w:rPr>
      </w:pPr>
      <w:r>
        <w:rPr>
          <w:rFonts w:ascii="Arial" w:cs="Arial" w:eastAsia="Arial" w:hAnsi="Arial"/>
          <w:sz w:val="16"/>
          <w:szCs w:val="16"/>
          <w:color w:val="auto"/>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900" w:right="54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48" w:lineRule="exact"/>
        <w:rPr>
          <w:rFonts w:ascii="Arial" w:cs="Arial" w:eastAsia="Arial" w:hAnsi="Arial"/>
          <w:sz w:val="18"/>
          <w:szCs w:val="18"/>
          <w:color w:val="auto"/>
        </w:rPr>
      </w:pPr>
    </w:p>
    <w:p>
      <w:pPr>
        <w:ind w:left="900" w:right="60" w:hanging="38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6" w:lineRule="exact"/>
        <w:rPr>
          <w:rFonts w:ascii="Arial" w:cs="Arial" w:eastAsia="Arial" w:hAnsi="Arial"/>
          <w:sz w:val="18"/>
          <w:szCs w:val="18"/>
          <w:color w:val="auto"/>
        </w:rPr>
      </w:pPr>
    </w:p>
    <w:p>
      <w:pPr>
        <w:ind w:left="900" w:right="340" w:hanging="38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26" w:lineRule="exact"/>
        <w:rPr>
          <w:rFonts w:ascii="Arial" w:cs="Arial" w:eastAsia="Arial" w:hAnsi="Arial"/>
          <w:sz w:val="16"/>
          <w:szCs w:val="16"/>
          <w:color w:val="auto"/>
        </w:rPr>
      </w:pPr>
    </w:p>
    <w:p>
      <w:pPr>
        <w:ind w:left="900" w:right="44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2" w:name="page73"/>
    <w:bookmarkEnd w:id="72"/>
    <w:p>
      <w:pPr>
        <w:ind w:left="900" w:right="860" w:hanging="383"/>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4" w:lineRule="exact"/>
        <w:rPr>
          <w:rFonts w:ascii="Arial" w:cs="Arial" w:eastAsia="Arial" w:hAnsi="Arial"/>
          <w:sz w:val="17"/>
          <w:szCs w:val="17"/>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900" w:right="800" w:hanging="383"/>
        <w:spacing w:after="0" w:line="261"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November 1, 2022,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74"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results or delays in ongoing or planned preclinical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comply with the terms of our Term Loan Agreement;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900" w:right="360" w:hanging="383"/>
        <w:spacing w:after="0" w:line="261"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partners or our competitors;</w:t>
      </w:r>
    </w:p>
    <w:p>
      <w:pPr>
        <w:spacing w:after="0" w:line="62"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 or other skilled personnel;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jc w:val="both"/>
        <w:ind w:right="200" w:firstLine="509"/>
        <w:spacing w:after="0" w:line="278"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9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49"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2" w:lineRule="exact"/>
        <w:rPr>
          <w:sz w:val="20"/>
          <w:szCs w:val="20"/>
          <w:color w:val="auto"/>
        </w:rPr>
      </w:pPr>
    </w:p>
    <w:p>
      <w:pPr>
        <w:ind w:left="520" w:right="140"/>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Based on shares outstanding as of November 3, 2022, our executive officers, directors, five percent stockholders and their affiliates beneficially owned approximately 27.55%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49"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$1.235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42"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0" w:lineRule="exact"/>
        <w:rPr>
          <w:rFonts w:ascii="Arial" w:cs="Arial" w:eastAsia="Arial" w:hAnsi="Arial"/>
          <w:sz w:val="18"/>
          <w:szCs w:val="18"/>
          <w:color w:val="auto"/>
        </w:rPr>
      </w:pPr>
    </w:p>
    <w:p>
      <w:pPr>
        <w:ind w:left="900" w:hanging="383"/>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03" w:lineRule="exact"/>
        <w:rPr>
          <w:rFonts w:ascii="Arial" w:cs="Arial" w:eastAsia="Arial" w:hAnsi="Arial"/>
          <w:sz w:val="18"/>
          <w:szCs w:val="18"/>
          <w:color w:val="auto"/>
        </w:rPr>
      </w:pPr>
    </w:p>
    <w:p>
      <w:pPr>
        <w:ind w:left="900" w:right="580" w:hanging="383"/>
        <w:spacing w:after="0" w:line="256"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6" w:lineRule="exact"/>
        <w:rPr>
          <w:rFonts w:ascii="Arial" w:cs="Arial" w:eastAsia="Arial" w:hAnsi="Arial"/>
          <w:sz w:val="18"/>
          <w:szCs w:val="18"/>
          <w:color w:val="auto"/>
        </w:rPr>
      </w:pPr>
    </w:p>
    <w:p>
      <w:pPr>
        <w:ind w:left="900" w:right="240" w:hanging="383"/>
        <w:spacing w:after="0" w:line="34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 w:lineRule="exact"/>
        <w:rPr>
          <w:rFonts w:ascii="Arial" w:cs="Arial" w:eastAsia="Arial" w:hAnsi="Arial"/>
          <w:sz w:val="16"/>
          <w:szCs w:val="16"/>
          <w:color w:val="auto"/>
        </w:rPr>
      </w:pPr>
    </w:p>
    <w:p>
      <w:pPr>
        <w:ind w:left="900" w:hanging="383"/>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Quarterly Report on Form 10-Q. In particular, we have not included in this Quarterly Report, or our Annual Report or 2022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6"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66"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83"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4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5" w:name="page76"/>
    <w:bookmarkEnd w:id="75"/>
    <w:p>
      <w:pPr>
        <w:ind w:right="20" w:firstLine="509"/>
        <w:spacing w:after="0" w:line="26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1" w:lineRule="exact"/>
        <w:rPr>
          <w:sz w:val="20"/>
          <w:szCs w:val="20"/>
          <w:color w:val="auto"/>
        </w:rPr>
      </w:pPr>
    </w:p>
    <w:p>
      <w:pPr>
        <w:jc w:val="both"/>
        <w:ind w:left="520" w:right="40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8"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80"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6" w:name="page77"/>
    <w:bookmarkEnd w:id="76"/>
    <w:p>
      <w:pPr>
        <w:ind w:right="80"/>
        <w:spacing w:after="0" w:line="277" w:lineRule="auto"/>
        <w:rPr>
          <w:sz w:val="20"/>
          <w:szCs w:val="20"/>
          <w:color w:val="auto"/>
        </w:rPr>
      </w:pPr>
      <w:r>
        <w:rPr>
          <w:rFonts w:ascii="Arial" w:cs="Arial" w:eastAsia="Arial" w:hAnsi="Arial"/>
          <w:sz w:val="18"/>
          <w:szCs w:val="18"/>
          <w:color w:val="auto"/>
        </w:rPr>
        <w:t>Accordingly, because of the inherent limitations in our control system, misstatements or insufficient disclosures due to error or fraud may occur and not be detected.</w:t>
      </w:r>
    </w:p>
    <w:p>
      <w:pPr>
        <w:spacing w:after="0" w:line="265" w:lineRule="exact"/>
        <w:rPr>
          <w:sz w:val="20"/>
          <w:szCs w:val="20"/>
          <w:color w:val="auto"/>
        </w:rPr>
      </w:pPr>
    </w:p>
    <w:p>
      <w:pPr>
        <w:ind w:left="520" w:right="340"/>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7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November 3, 2022,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95" w:lineRule="exact"/>
        <w:rPr>
          <w:sz w:val="20"/>
          <w:szCs w:val="20"/>
          <w:color w:val="auto"/>
        </w:rPr>
      </w:pPr>
    </w:p>
    <w:p>
      <w:pPr>
        <w:ind w:left="520" w:right="420"/>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87"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7" w:lineRule="exact"/>
        <w:rPr>
          <w:sz w:val="20"/>
          <w:szCs w:val="20"/>
          <w:color w:val="auto"/>
        </w:rPr>
      </w:pPr>
    </w:p>
    <w:p>
      <w:pPr>
        <w:ind w:left="90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03"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03"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03" w:lineRule="exact"/>
        <w:rPr>
          <w:rFonts w:ascii="Arial" w:cs="Arial" w:eastAsia="Arial" w:hAnsi="Arial"/>
          <w:sz w:val="18"/>
          <w:szCs w:val="18"/>
          <w:color w:val="auto"/>
        </w:rPr>
      </w:pPr>
    </w:p>
    <w:p>
      <w:pPr>
        <w:ind w:left="900" w:right="60" w:hanging="383"/>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7"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79"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21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 Such a delisting would likely have a negative effect on the price of our common stock and would impair your ability to sell or purchase our common stock when you wish to do so. Any such delisting could also adversely impact our ability to raise additional capital or enter into strategic transactions.</w:t>
      </w:r>
    </w:p>
    <w:p>
      <w:pPr>
        <w:spacing w:after="0" w:line="199" w:lineRule="exact"/>
        <w:rPr>
          <w:sz w:val="20"/>
          <w:szCs w:val="20"/>
          <w:color w:val="auto"/>
        </w:rPr>
      </w:pPr>
    </w:p>
    <w:p>
      <w:pPr>
        <w:jc w:val="both"/>
        <w:ind w:right="240" w:firstLine="509"/>
        <w:spacing w:after="0" w:line="270" w:lineRule="auto"/>
        <w:rPr>
          <w:sz w:val="20"/>
          <w:szCs w:val="20"/>
          <w:color w:val="auto"/>
        </w:rPr>
      </w:pPr>
      <w:r>
        <w:rPr>
          <w:rFonts w:ascii="Arial" w:cs="Arial" w:eastAsia="Arial" w:hAnsi="Arial"/>
          <w:sz w:val="17"/>
          <w:szCs w:val="17"/>
          <w:color w:val="auto"/>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Nasdaq’s written notice does not result in the immediate delisting of our common stock from Nasdaq.</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ind w:right="280" w:firstLine="509"/>
        <w:spacing w:after="0" w:line="249" w:lineRule="auto"/>
        <w:rPr>
          <w:sz w:val="20"/>
          <w:szCs w:val="20"/>
          <w:color w:val="auto"/>
        </w:rPr>
      </w:pPr>
      <w:r>
        <w:rPr>
          <w:rFonts w:ascii="Arial" w:cs="Arial" w:eastAsia="Arial" w:hAnsi="Arial"/>
          <w:sz w:val="18"/>
          <w:szCs w:val="18"/>
          <w:color w:val="auto"/>
        </w:rPr>
        <w:t>In accordance with Nasdaq Listing Rule 5810(c)(3)(A), the Company has 180 calendar days, or until April 3, 2023, or the Compliance Date, to regain compliance with the Minimum Bid Price Requirement. According to the written notice, if, at any time during this 180-day period, the closing bid price for the common stock is at least $1.00 per share for a minimum of ten consecutive business days, the Staff will provide written confirmation of compliance and the common stock will remain listed on Nasdaq.</w:t>
      </w:r>
    </w:p>
    <w:p>
      <w:pPr>
        <w:spacing w:after="0" w:line="194" w:lineRule="exact"/>
        <w:rPr>
          <w:sz w:val="20"/>
          <w:szCs w:val="20"/>
          <w:color w:val="auto"/>
        </w:rPr>
      </w:pPr>
    </w:p>
    <w:p>
      <w:pPr>
        <w:ind w:right="60" w:firstLine="509"/>
        <w:spacing w:after="0" w:line="273" w:lineRule="auto"/>
        <w:rPr>
          <w:sz w:val="20"/>
          <w:szCs w:val="20"/>
          <w:color w:val="auto"/>
        </w:rPr>
      </w:pPr>
      <w:r>
        <w:rPr>
          <w:rFonts w:ascii="Arial" w:cs="Arial" w:eastAsia="Arial" w:hAnsi="Arial"/>
          <w:sz w:val="16"/>
          <w:szCs w:val="16"/>
          <w:color w:val="auto"/>
        </w:rPr>
        <w:t>If we do not regain compliance with the Minimum Bid Price Requirement by the Compliance Date, we may be eligible for an additional 180 calendar day compliance period. To qualify, we would be required to transfer our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its intention to cure the deficiency during the additional</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180-day compliance period, such as by effecting a reverse stock split, if necessary. If the Staff determines that we will not be able to cure the deficiency, then the Staff will provide us written notice that our common stock will be subject to delisting. At that time, we may appeal the Staff’s delisting determination to a Nasdaq Hearing Panel. There can no assurance that, if we receive a delisting notice and appeal the delisting determination by the Staff to the Nasdaq Hearing Panel, such appeal would be successful.</w:t>
      </w:r>
    </w:p>
    <w:p>
      <w:pPr>
        <w:spacing w:after="0" w:line="189" w:lineRule="exact"/>
        <w:rPr>
          <w:sz w:val="20"/>
          <w:szCs w:val="20"/>
          <w:color w:val="auto"/>
        </w:rPr>
      </w:pPr>
    </w:p>
    <w:p>
      <w:pPr>
        <w:ind w:right="240" w:firstLine="509"/>
        <w:spacing w:after="0" w:line="249" w:lineRule="auto"/>
        <w:rPr>
          <w:sz w:val="20"/>
          <w:szCs w:val="20"/>
          <w:color w:val="auto"/>
        </w:rPr>
      </w:pPr>
      <w:r>
        <w:rPr>
          <w:rFonts w:ascii="Arial" w:cs="Arial" w:eastAsia="Arial" w:hAnsi="Arial"/>
          <w:sz w:val="18"/>
          <w:szCs w:val="18"/>
          <w:color w:val="auto"/>
        </w:rPr>
        <w:t>We intend to monitor the closing bid price of our common stock and may, if appropriate, consider available options to regain compliance with the Minimum Bid Price Requirement. However, we can provide no assurance that actions taken or not taken by us will restore compliance with Nasdaq’s listing requirements, stabilize the market price of our common stock, improve the liquidity of our common stock or prevent future non-compliance with Nasdaq’s listing requirements.</w:t>
      </w:r>
    </w:p>
    <w:p>
      <w:pPr>
        <w:spacing w:after="0" w:line="18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82"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4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left="520" w:right="3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04"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0" w:name="page81"/>
    <w:bookmarkEnd w:id="80"/>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60" w:type="dxa"/>
            <w:vAlign w:val="bottom"/>
            <w:gridSpan w:val="10"/>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10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FF"/>
                <w:w w:val="95"/>
              </w:rPr>
            </w:pPr>
            <w:hyperlink r:id="rId253">
              <w:r>
                <w:rPr>
                  <w:rFonts w:ascii="Arial" w:cs="Arial" w:eastAsia="Arial" w:hAnsi="Arial"/>
                  <w:sz w:val="18"/>
                  <w:szCs w:val="18"/>
                  <w:color w:val="0000FF"/>
                  <w:w w:val="95"/>
                </w:rPr>
                <w:t>Fourth Amended and Restated Certificate of Incorporation of the Registrant (filed as Exhibit 3.1 to our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Borders>
              <w:top w:val="single" w:sz="8" w:color="0000FF"/>
              <w:bottom w:val="single" w:sz="8" w:color="0000EE"/>
            </w:tcBorders>
            <w:gridSpan w:val="5"/>
          </w:tcPr>
          <w:p>
            <w:pPr>
              <w:spacing w:after="0" w:line="196" w:lineRule="exact"/>
              <w:rPr>
                <w:rFonts w:ascii="Arial" w:cs="Arial" w:eastAsia="Arial" w:hAnsi="Arial"/>
                <w:sz w:val="18"/>
                <w:szCs w:val="18"/>
                <w:color w:val="0000FF"/>
                <w:w w:val="91"/>
              </w:rPr>
            </w:pPr>
            <w:hyperlink r:id="rId253">
              <w:r>
                <w:rPr>
                  <w:rFonts w:ascii="Arial" w:cs="Arial" w:eastAsia="Arial" w:hAnsi="Arial"/>
                  <w:sz w:val="18"/>
                  <w:szCs w:val="18"/>
                  <w:color w:val="0000FF"/>
                  <w:w w:val="91"/>
                </w:rPr>
                <w:t>filed on J</w:t>
              </w:r>
              <w:r>
                <w:rPr>
                  <w:rFonts w:ascii="Arial" w:cs="Arial" w:eastAsia="Arial" w:hAnsi="Arial"/>
                  <w:sz w:val="21"/>
                  <w:szCs w:val="21"/>
                  <w:color w:val="0000FF"/>
                  <w:w w:val="91"/>
                </w:rPr>
                <w:t>une</w:t>
              </w:r>
              <w:r>
                <w:rPr>
                  <w:rFonts w:ascii="Arial" w:cs="Arial" w:eastAsia="Arial" w:hAnsi="Arial"/>
                  <w:sz w:val="18"/>
                  <w:szCs w:val="18"/>
                  <w:color w:val="0000FF"/>
                  <w:w w:val="91"/>
                </w:rPr>
                <w:t xml:space="preserve"> 25, 2018 (File No. 001-38537) and incorporated herein by reference).</w:t>
              </w:r>
            </w:hyperlink>
          </w:p>
        </w:tc>
        <w:tc>
          <w:tcPr>
            <w:tcW w:w="3520" w:type="dxa"/>
            <w:vAlign w:val="bottom"/>
            <w:tcBorders>
              <w:top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vMerge w:val="restart"/>
          </w:tcPr>
          <w:p>
            <w:pPr>
              <w:ind w:left="1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FF"/>
                <w:w w:val="94"/>
              </w:rPr>
            </w:pPr>
            <w:hyperlink r:id="rId254">
              <w:r>
                <w:rPr>
                  <w:rFonts w:ascii="Arial" w:cs="Arial" w:eastAsia="Arial" w:hAnsi="Arial"/>
                  <w:sz w:val="18"/>
                  <w:szCs w:val="18"/>
                  <w:color w:val="0000FF"/>
                  <w:w w:val="94"/>
                </w:rPr>
                <w:t>Certificate of Change of Registered Agent and/or Registered Office of the Registrant (filed as Exhibit 3.2 to our Quarterly Report on</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880" w:type="dxa"/>
            <w:vAlign w:val="bottom"/>
            <w:gridSpan w:val="12"/>
            <w:vMerge w:val="restart"/>
          </w:tcPr>
          <w:p>
            <w:pPr>
              <w:spacing w:after="0" w:line="169" w:lineRule="exact"/>
              <w:rPr>
                <w:rFonts w:ascii="Arial" w:cs="Arial" w:eastAsia="Arial" w:hAnsi="Arial"/>
                <w:sz w:val="18"/>
                <w:szCs w:val="18"/>
                <w:color w:val="0000FF"/>
              </w:rPr>
            </w:pPr>
            <w:hyperlink r:id="rId254">
              <w:r>
                <w:rPr>
                  <w:rFonts w:ascii="Arial" w:cs="Arial" w:eastAsia="Arial" w:hAnsi="Arial"/>
                  <w:sz w:val="18"/>
                  <w:szCs w:val="18"/>
                  <w:color w:val="0000FF"/>
                </w:rPr>
                <w:t>Form 10-Q filed on November 5, 2020 (File No. 001-38537) and incorporated herein by reference).</w:t>
              </w:r>
            </w:hyperlink>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8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FF"/>
                <w:w w:val="93"/>
              </w:rPr>
            </w:pPr>
            <w:hyperlink r:id="rId255">
              <w:r>
                <w:rPr>
                  <w:rFonts w:ascii="Arial" w:cs="Arial" w:eastAsia="Arial" w:hAnsi="Arial"/>
                  <w:sz w:val="18"/>
                  <w:szCs w:val="18"/>
                  <w:color w:val="0000FF"/>
                  <w:w w:val="93"/>
                </w:rPr>
                <w:t>Amended and Restated By-laws of the Registrant (filed as Exhibit 3.2 to our Current Report on Form 8-K (File No 001-38537) filed on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Borders>
              <w:top w:val="single" w:sz="8" w:color="0000FF"/>
              <w:bottom w:val="single" w:sz="8" w:color="0000EE"/>
            </w:tcBorders>
            <w:gridSpan w:val="2"/>
          </w:tcPr>
          <w:p>
            <w:pPr>
              <w:spacing w:after="0" w:line="169" w:lineRule="exact"/>
              <w:rPr>
                <w:rFonts w:ascii="Arial" w:cs="Arial" w:eastAsia="Arial" w:hAnsi="Arial"/>
                <w:sz w:val="18"/>
                <w:szCs w:val="18"/>
                <w:color w:val="0000FF"/>
                <w:w w:val="89"/>
              </w:rPr>
            </w:pPr>
            <w:hyperlink r:id="rId255">
              <w:r>
                <w:rPr>
                  <w:rFonts w:ascii="Arial" w:cs="Arial" w:eastAsia="Arial" w:hAnsi="Arial"/>
                  <w:sz w:val="18"/>
                  <w:szCs w:val="18"/>
                  <w:color w:val="0000FF"/>
                  <w:w w:val="89"/>
                </w:rPr>
                <w:t>June 25, 2018 and incorporated herein by reference).</w:t>
              </w:r>
            </w:hyperlink>
          </w:p>
        </w:tc>
        <w:tc>
          <w:tcPr>
            <w:tcW w:w="59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Borders>
              <w:top w:val="single" w:sz="8" w:color="0000FF"/>
              <w:bottom w:val="single" w:sz="8" w:color="0000EE"/>
            </w:tcBorders>
            <w:gridSpan w:val="3"/>
          </w:tcPr>
          <w:p>
            <w:pPr>
              <w:spacing w:after="0" w:line="169" w:lineRule="exact"/>
              <w:rPr>
                <w:sz w:val="20"/>
                <w:szCs w:val="20"/>
                <w:color w:val="auto"/>
              </w:rPr>
            </w:pPr>
            <w:r>
              <w:rPr>
                <w:rFonts w:ascii="Arial" w:cs="Arial" w:eastAsia="Arial" w:hAnsi="Arial"/>
                <w:sz w:val="18"/>
                <w:szCs w:val="18"/>
                <w:color w:val="0000FF"/>
                <w:w w:val="91"/>
              </w:rPr>
              <w:t>Adopted Pursuant to Section 302 of the Sarbanes-Oxley Act of 2002.</w:t>
            </w:r>
          </w:p>
        </w:tc>
        <w:tc>
          <w:tcPr>
            <w:tcW w:w="4620" w:type="dxa"/>
            <w:vAlign w:val="bottom"/>
            <w:tcBorders>
              <w:top w:val="single" w:sz="8" w:color="0000FF"/>
            </w:tcBorders>
            <w:gridSpan w:val="5"/>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0000FF"/>
                <w:w w:val="93"/>
              </w:rPr>
              <w:t>Certification of Principal Financial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tcBorders>
              <w:top w:val="single" w:sz="8" w:color="0000FF"/>
              <w:bottom w:val="single" w:sz="8" w:color="0000EE"/>
            </w:tcBorders>
            <w:gridSpan w:val="4"/>
          </w:tcPr>
          <w:p>
            <w:pPr>
              <w:spacing w:after="0" w:line="169" w:lineRule="exact"/>
              <w:rPr>
                <w:sz w:val="20"/>
                <w:szCs w:val="20"/>
                <w:color w:val="auto"/>
              </w:rPr>
            </w:pPr>
            <w:r>
              <w:rPr>
                <w:rFonts w:ascii="Arial" w:cs="Arial" w:eastAsia="Arial" w:hAnsi="Arial"/>
                <w:sz w:val="18"/>
                <w:szCs w:val="18"/>
                <w:color w:val="0000FF"/>
                <w:w w:val="90"/>
              </w:rPr>
              <w:t>1934, as Adopted Pursuant to Section 302 of the Sarbanes-Oxley Act of 2002.</w:t>
            </w:r>
          </w:p>
        </w:tc>
        <w:tc>
          <w:tcPr>
            <w:tcW w:w="4060" w:type="dxa"/>
            <w:vAlign w:val="bottom"/>
            <w:tcBorders>
              <w:top w:val="single" w:sz="8" w:color="0000FF"/>
            </w:tcBorders>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Borders>
              <w:top w:val="single" w:sz="8" w:color="0000FF"/>
              <w:bottom w:val="single" w:sz="8" w:color="0000EE"/>
            </w:tcBorders>
          </w:tcPr>
          <w:p>
            <w:pPr>
              <w:spacing w:after="0" w:line="169" w:lineRule="exact"/>
              <w:rPr>
                <w:sz w:val="20"/>
                <w:szCs w:val="20"/>
                <w:color w:val="auto"/>
              </w:rPr>
            </w:pPr>
            <w:r>
              <w:rPr>
                <w:rFonts w:ascii="Arial" w:cs="Arial" w:eastAsia="Arial" w:hAnsi="Arial"/>
                <w:sz w:val="18"/>
                <w:szCs w:val="18"/>
                <w:color w:val="0000FF"/>
                <w:w w:val="90"/>
              </w:rPr>
              <w:t>Section 906 of the Sarbanes-Oxley Act of 2002.</w:t>
            </w:r>
          </w:p>
        </w:tc>
        <w:tc>
          <w:tcPr>
            <w:tcW w:w="6320" w:type="dxa"/>
            <w:vAlign w:val="bottom"/>
            <w:tcBorders>
              <w:top w:val="single" w:sz="8" w:color="0000FF"/>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w w:val="95"/>
              </w:rPr>
              <w:t>Interactive Data Files pursuant to Rule 405 of Regulation S-T formatted in Inline Extensible Business Reporting Language (“Inline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XBRL”).</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40" w:right="440" w:hanging="1104"/>
        <w:spacing w:after="0" w:line="246" w:lineRule="auto"/>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6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686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20"/>
        <w:spacing w:after="0"/>
        <w:tabs>
          <w:tab w:leader="none" w:pos="5060" w:val="left"/>
          <w:tab w:leader="none" w:pos="77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Geoff MacKay</w:t>
      </w:r>
    </w:p>
    <w:p>
      <w:pPr>
        <w:spacing w:after="0" w:line="9" w:lineRule="exact"/>
        <w:rPr>
          <w:sz w:val="20"/>
          <w:szCs w:val="20"/>
          <w:color w:val="auto"/>
        </w:rPr>
      </w:pPr>
    </w:p>
    <w:p>
      <w:pPr>
        <w:jc w:val="center"/>
        <w:ind w:left="564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ind w:left="20"/>
        <w:spacing w:after="0"/>
        <w:tabs>
          <w:tab w:leader="none" w:pos="5060" w:val="left"/>
          <w:tab w:leader="none" w:pos="77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Erik Ostrowski</w:t>
      </w:r>
    </w:p>
    <w:p>
      <w:pPr>
        <w:spacing w:after="0" w:line="9"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03"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860" w:val="left"/>
          <w:tab w:leader="none" w:pos="86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Geoff MacKay</w:t>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Chief Executive Officer</w:t>
      </w:r>
    </w:p>
    <w:p>
      <w:pPr>
        <w:ind w:left="81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03"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860" w:val="left"/>
          <w:tab w:leader="none" w:pos="86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9"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Erik Ostrowski</w:t>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Chief Financial Officer</w:t>
      </w:r>
    </w:p>
    <w:p>
      <w:pPr>
        <w:ind w:left="81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September 30,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67"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right="76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260" w:val="left"/>
          <w:tab w:leader="none" w:pos="78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Geoff MacKay</w:t>
      </w:r>
    </w:p>
    <w:p>
      <w:pPr>
        <w:ind w:left="7600"/>
        <w:spacing w:after="0" w:line="231" w:lineRule="auto"/>
        <w:rPr>
          <w:sz w:val="20"/>
          <w:szCs w:val="20"/>
          <w:color w:val="auto"/>
        </w:rPr>
      </w:pPr>
      <w:r>
        <w:rPr>
          <w:rFonts w:ascii="Arial" w:cs="Arial" w:eastAsia="Arial" w:hAnsi="Arial"/>
          <w:sz w:val="18"/>
          <w:szCs w:val="18"/>
          <w:b w:val="1"/>
          <w:bCs w:val="1"/>
          <w:color w:val="auto"/>
        </w:rPr>
        <w:t>Chief Executive Officer</w:t>
      </w:r>
    </w:p>
    <w:p>
      <w:pPr>
        <w:ind w:left="7400"/>
        <w:spacing w:after="0"/>
        <w:rPr>
          <w:sz w:val="20"/>
          <w:szCs w:val="20"/>
          <w:color w:val="auto"/>
        </w:rPr>
      </w:pPr>
      <w:r>
        <w:rPr>
          <w:rFonts w:ascii="Arial" w:cs="Arial" w:eastAsia="Arial" w:hAnsi="Arial"/>
          <w:sz w:val="18"/>
          <w:szCs w:val="18"/>
          <w:b w:val="1"/>
          <w:bCs w:val="1"/>
          <w:color w:val="auto"/>
        </w:rPr>
        <w:t>(Principal Executive Officer)</w:t>
      </w:r>
    </w:p>
    <w:p>
      <w:pPr>
        <w:spacing w:after="0" w:line="209" w:lineRule="exact"/>
        <w:rPr>
          <w:sz w:val="20"/>
          <w:szCs w:val="20"/>
          <w:color w:val="auto"/>
        </w:rPr>
      </w:pPr>
    </w:p>
    <w:p>
      <w:pPr>
        <w:ind w:left="20"/>
        <w:spacing w:after="0"/>
        <w:tabs>
          <w:tab w:leader="none" w:pos="5260" w:val="left"/>
          <w:tab w:leader="none" w:pos="78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Erik Ostrowski</w:t>
      </w:r>
    </w:p>
    <w:p>
      <w:pPr>
        <w:ind w:left="7620"/>
        <w:spacing w:after="0" w:line="231" w:lineRule="auto"/>
        <w:rPr>
          <w:sz w:val="20"/>
          <w:szCs w:val="20"/>
          <w:color w:val="auto"/>
        </w:rPr>
      </w:pPr>
      <w:r>
        <w:rPr>
          <w:rFonts w:ascii="Arial" w:cs="Arial" w:eastAsia="Arial" w:hAnsi="Arial"/>
          <w:sz w:val="18"/>
          <w:szCs w:val="18"/>
          <w:b w:val="1"/>
          <w:bCs w:val="1"/>
          <w:color w:val="auto"/>
        </w:rPr>
        <w:t>Chief Financial Officer</w:t>
      </w:r>
    </w:p>
    <w:p>
      <w:pPr>
        <w:ind w:left="74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1."/>
      <w:numFmt w:val="decimal"/>
      <w:start w:val="9"/>
    </w:lvl>
  </w:abstractNum>
  <w:abstractNum w:abstractNumId="9">
    <w:nsid w:val="189A769B"/>
    <w:multiLevelType w:val="hybridMultilevel"/>
    <w:lvl w:ilvl="0">
      <w:lvlJc w:val="left"/>
      <w:lvlText w:val="%1."/>
      <w:numFmt w:val="decimal"/>
      <w:start w:val="1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Roman"/>
      <w:start w:val="4"/>
    </w:lvl>
    <w:lvl w:ilvl="1">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lvl w:ilvl="1">
      <w:lvlJc w:val="left"/>
      <w:lvlText w:val="%2"/>
      <w:numFmt w:val="decimal"/>
      <w:start w:val="104"/>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53" Type="http://schemas.openxmlformats.org/officeDocument/2006/relationships/hyperlink" Target="https://www.sec.gov/Archives/edgar/data/1681087/000119312518202460/d153924dex31.htm" TargetMode="External"/><Relationship Id="rId254" Type="http://schemas.openxmlformats.org/officeDocument/2006/relationships/hyperlink" Target="https://www.sec.gov/Archives/edgar/data/1681087/000156459020051456/avro-ex32_90.htm" TargetMode="External"/><Relationship Id="rId255" Type="http://schemas.openxmlformats.org/officeDocument/2006/relationships/hyperlink" Target="https://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2022-11-08T16:57:18Z</dcterms:created>
  <dcterms:modified xsi:type="dcterms:W3CDTF">2022-11-08T16:57:18Z</dcterms:modified>
</cp:coreProperties>
</file>