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330200</wp:posOffset>
            </wp:positionH>
            <wp:positionV relativeFrom="page">
              <wp:posOffset>153035</wp:posOffset>
            </wp:positionV>
            <wp:extent cx="70866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25400"/>
                    </a:xfrm>
                    <a:prstGeom prst="rect">
                      <a:avLst/>
                    </a:prstGeom>
                    <a:noFill/>
                  </pic:spPr>
                </pic:pic>
              </a:graphicData>
            </a:graphic>
          </wp:anchor>
        </w:drawing>
        <w:drawing>
          <wp:anchor simplePos="0" relativeHeight="251657728" behindDoc="1" locked="0" layoutInCell="0" allowOverlap="1">
            <wp:simplePos x="0" y="0"/>
            <wp:positionH relativeFrom="page">
              <wp:posOffset>330200</wp:posOffset>
            </wp:positionH>
            <wp:positionV relativeFrom="page">
              <wp:posOffset>187325</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ASHINGTON</w:t>
      </w:r>
      <w:r>
        <w:rPr>
          <w:rFonts w:ascii="Arial" w:cs="Arial" w:eastAsia="Arial" w:hAnsi="Arial"/>
          <w:sz w:val="18"/>
          <w:szCs w:val="18"/>
          <w:b w:val="1"/>
          <w:bCs w:val="1"/>
          <w:color w:val="auto"/>
        </w:rPr>
        <w:t>, D.C. 20549</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NDER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1934</w:t>
      </w:r>
    </w:p>
    <w:p>
      <w:pPr>
        <w:spacing w:after="0" w:line="26"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(Amendment No. ___________)*</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AVROBIO, INC.</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86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86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05455M100</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086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086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2" w:lineRule="exact"/>
        <w:rPr>
          <w:sz w:val="24"/>
          <w:szCs w:val="24"/>
          <w:color w:val="auto"/>
        </w:rPr>
      </w:pPr>
    </w:p>
    <w:p>
      <w:pPr>
        <w:ind w:left="1600" w:hanging="634"/>
        <w:spacing w:after="0"/>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2" w:lineRule="exact"/>
        <w:rPr>
          <w:rFonts w:ascii="Arial" w:cs="Arial" w:eastAsia="Arial" w:hAnsi="Arial"/>
          <w:sz w:val="18"/>
          <w:szCs w:val="18"/>
          <w:color w:val="auto"/>
        </w:rPr>
      </w:pPr>
    </w:p>
    <w:p>
      <w:pPr>
        <w:ind w:left="1600" w:hanging="634"/>
        <w:spacing w:after="0"/>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22" w:lineRule="exact"/>
        <w:rPr>
          <w:sz w:val="24"/>
          <w:szCs w:val="24"/>
          <w:color w:val="auto"/>
        </w:rPr>
      </w:pPr>
    </w:p>
    <w:p>
      <w:pPr>
        <w:jc w:val="both"/>
        <w:spacing w:after="0" w:line="274"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086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0866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577215</wp:posOffset>
            </wp:positionV>
            <wp:extent cx="7086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504" w:right="560" w:bottom="1440" w:gutter="0" w:footer="0" w:header="0"/>
        </w:sectPr>
      </w:pPr>
    </w:p>
    <w:bookmarkStart w:id="1" w:name="page2"/>
    <w:bookmarkEnd w:id="1"/>
    <w:p>
      <w:pPr>
        <w:spacing w:after="0"/>
        <w:tabs>
          <w:tab w:leader="none" w:pos="9900" w:val="left"/>
        </w:tabs>
        <w:rPr>
          <w:sz w:val="20"/>
          <w:szCs w:val="20"/>
          <w:color w:val="auto"/>
        </w:rPr>
      </w:pPr>
      <w:r>
        <w:rPr>
          <w:rFonts w:ascii="Arial" w:cs="Arial" w:eastAsia="Arial" w:hAnsi="Arial"/>
          <w:sz w:val="18"/>
          <w:szCs w:val="18"/>
          <w:color w:val="auto"/>
        </w:rPr>
        <w:t>CUSIP No. 05455M100</w:t>
      </w:r>
      <w:r>
        <w:rPr>
          <w:sz w:val="20"/>
          <w:szCs w:val="20"/>
          <w:color w:val="auto"/>
        </w:rPr>
        <w:tab/>
      </w:r>
      <w:r>
        <w:rPr>
          <w:rFonts w:ascii="Arial" w:cs="Arial" w:eastAsia="Arial" w:hAnsi="Arial"/>
          <w:sz w:val="15"/>
          <w:szCs w:val="15"/>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086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1000" w:hanging="90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Atlas Venture Fund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08" w:lineRule="exact"/>
        <w:rPr>
          <w:sz w:val="20"/>
          <w:szCs w:val="20"/>
          <w:color w:val="auto"/>
        </w:rPr>
      </w:pPr>
    </w:p>
    <w:p>
      <w:pPr>
        <w:ind w:left="1000" w:hanging="90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280" w:hanging="285"/>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1300" w:hanging="305"/>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113" w:lineRule="exact"/>
        <w:rPr>
          <w:rFonts w:ascii="Arial" w:cs="Arial" w:eastAsia="Arial" w:hAnsi="Arial"/>
          <w:sz w:val="18"/>
          <w:szCs w:val="18"/>
          <w:color w:val="auto"/>
        </w:rPr>
      </w:pPr>
    </w:p>
    <w:p>
      <w:pPr>
        <w:ind w:left="1000" w:hanging="904"/>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1000" w:right="7560" w:hanging="904"/>
        <w:spacing w:after="0" w:line="44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3800" w:hanging="900"/>
        <w:spacing w:after="0"/>
        <w:tabs>
          <w:tab w:leader="none" w:pos="38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-649605</wp:posOffset>
            </wp:positionV>
            <wp:extent cx="7086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-1135380</wp:posOffset>
            </wp:positionV>
            <wp:extent cx="7086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-164465</wp:posOffset>
            </wp:positionV>
            <wp:extent cx="7086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1840" w:type="dxa"/>
            <w:vAlign w:val="bottom"/>
            <w:vMerge w:val="restart"/>
          </w:tcPr>
          <w:p>
            <w:pPr>
              <w:jc w:val="center"/>
              <w:ind w:right="851"/>
              <w:spacing w:after="0"/>
              <w:rPr>
                <w:sz w:val="20"/>
                <w:szCs w:val="20"/>
                <w:color w:val="auto"/>
              </w:rPr>
            </w:pPr>
            <w:r>
              <w:rPr>
                <w:rFonts w:ascii="Arial" w:cs="Arial" w:eastAsia="Arial" w:hAnsi="Arial"/>
                <w:sz w:val="18"/>
                <w:szCs w:val="18"/>
                <w:color w:val="auto"/>
                <w:w w:val="92"/>
              </w:rPr>
              <w:t>Number of</w:t>
            </w:r>
          </w:p>
        </w:tc>
        <w:tc>
          <w:tcPr>
            <w:tcW w:w="620" w:type="dxa"/>
            <w:vAlign w:val="bottom"/>
          </w:tcPr>
          <w:p>
            <w:pPr>
              <w:spacing w:after="0"/>
              <w:rPr>
                <w:sz w:val="19"/>
                <w:szCs w:val="19"/>
                <w:color w:val="auto"/>
              </w:rPr>
            </w:pPr>
          </w:p>
        </w:tc>
        <w:tc>
          <w:tcPr>
            <w:tcW w:w="7740" w:type="dxa"/>
            <w:vAlign w:val="bottom"/>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840" w:type="dxa"/>
            <w:vAlign w:val="bottom"/>
            <w:vMerge w:val="continue"/>
          </w:tcPr>
          <w:p>
            <w:pPr>
              <w:spacing w:after="0"/>
              <w:rPr>
                <w:sz w:val="13"/>
                <w:szCs w:val="13"/>
                <w:color w:val="auto"/>
              </w:rPr>
            </w:pPr>
          </w:p>
        </w:tc>
        <w:tc>
          <w:tcPr>
            <w:tcW w:w="620" w:type="dxa"/>
            <w:vAlign w:val="bottom"/>
            <w:vMerge w:val="restart"/>
          </w:tcPr>
          <w:p>
            <w:pPr>
              <w:jc w:val="right"/>
              <w:ind w:right="291"/>
              <w:spacing w:after="0"/>
              <w:rPr>
                <w:sz w:val="20"/>
                <w:szCs w:val="20"/>
                <w:color w:val="auto"/>
              </w:rPr>
            </w:pPr>
            <w:r>
              <w:rPr>
                <w:rFonts w:ascii="Arial" w:cs="Arial" w:eastAsia="Arial" w:hAnsi="Arial"/>
                <w:sz w:val="18"/>
                <w:szCs w:val="18"/>
                <w:color w:val="auto"/>
              </w:rPr>
              <w:t>6.</w:t>
            </w:r>
          </w:p>
        </w:tc>
        <w:tc>
          <w:tcPr>
            <w:tcW w:w="7740" w:type="dxa"/>
            <w:vAlign w:val="bottom"/>
            <w:vMerge w:val="restart"/>
          </w:tcPr>
          <w:p>
            <w:pPr>
              <w:ind w:left="3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7"/>
        </w:trPr>
        <w:tc>
          <w:tcPr>
            <w:tcW w:w="1840" w:type="dxa"/>
            <w:vAlign w:val="bottom"/>
            <w:vMerge w:val="restart"/>
          </w:tcPr>
          <w:p>
            <w:pPr>
              <w:jc w:val="center"/>
              <w:ind w:right="871"/>
              <w:spacing w:after="0"/>
              <w:rPr>
                <w:sz w:val="20"/>
                <w:szCs w:val="20"/>
                <w:color w:val="auto"/>
              </w:rPr>
            </w:pPr>
            <w:r>
              <w:rPr>
                <w:rFonts w:ascii="Arial" w:cs="Arial" w:eastAsia="Arial" w:hAnsi="Arial"/>
                <w:sz w:val="18"/>
                <w:szCs w:val="18"/>
                <w:color w:val="auto"/>
                <w:w w:val="84"/>
              </w:rPr>
              <w:t>Shares</w:t>
            </w:r>
          </w:p>
        </w:tc>
        <w:tc>
          <w:tcPr>
            <w:tcW w:w="620" w:type="dxa"/>
            <w:vAlign w:val="bottom"/>
            <w:vMerge w:val="continue"/>
          </w:tcPr>
          <w:p>
            <w:pPr>
              <w:spacing w:after="0"/>
              <w:rPr>
                <w:sz w:val="9"/>
                <w:szCs w:val="9"/>
                <w:color w:val="auto"/>
              </w:rPr>
            </w:pPr>
          </w:p>
        </w:tc>
        <w:tc>
          <w:tcPr>
            <w:tcW w:w="7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8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1840" w:type="dxa"/>
            <w:vAlign w:val="bottom"/>
          </w:tcPr>
          <w:p>
            <w:pPr>
              <w:jc w:val="center"/>
              <w:ind w:right="871"/>
              <w:spacing w:after="0"/>
              <w:rPr>
                <w:sz w:val="20"/>
                <w:szCs w:val="20"/>
                <w:color w:val="auto"/>
              </w:rPr>
            </w:pPr>
            <w:r>
              <w:rPr>
                <w:rFonts w:ascii="Arial" w:cs="Arial" w:eastAsia="Arial" w:hAnsi="Arial"/>
                <w:sz w:val="18"/>
                <w:szCs w:val="18"/>
                <w:color w:val="auto"/>
                <w:w w:val="96"/>
              </w:rPr>
              <w:t>Beneficially</w:t>
            </w:r>
          </w:p>
        </w:tc>
        <w:tc>
          <w:tcPr>
            <w:tcW w:w="620" w:type="dxa"/>
            <w:vAlign w:val="bottom"/>
          </w:tcPr>
          <w:p>
            <w:pPr>
              <w:spacing w:after="0"/>
              <w:rPr>
                <w:sz w:val="24"/>
                <w:szCs w:val="24"/>
                <w:color w:val="auto"/>
              </w:rPr>
            </w:pPr>
          </w:p>
        </w:tc>
        <w:tc>
          <w:tcPr>
            <w:tcW w:w="7740" w:type="dxa"/>
            <w:vAlign w:val="bottom"/>
          </w:tcPr>
          <w:p>
            <w:pPr>
              <w:ind w:left="380"/>
              <w:spacing w:after="0" w:line="281" w:lineRule="exact"/>
              <w:rPr>
                <w:sz w:val="20"/>
                <w:szCs w:val="20"/>
                <w:color w:val="auto"/>
              </w:rPr>
            </w:pPr>
            <w:r>
              <w:rPr>
                <w:rFonts w:ascii="Arial" w:cs="Arial" w:eastAsia="Arial" w:hAnsi="Arial"/>
                <w:sz w:val="18"/>
                <w:szCs w:val="18"/>
                <w:color w:val="auto"/>
              </w:rPr>
              <w:t>4,756,478</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07"/>
        </w:trPr>
        <w:tc>
          <w:tcPr>
            <w:tcW w:w="1840" w:type="dxa"/>
            <w:vAlign w:val="bottom"/>
            <w:vMerge w:val="restart"/>
          </w:tcPr>
          <w:p>
            <w:pPr>
              <w:jc w:val="center"/>
              <w:ind w:right="851"/>
              <w:spacing w:after="0"/>
              <w:rPr>
                <w:sz w:val="20"/>
                <w:szCs w:val="20"/>
                <w:color w:val="auto"/>
              </w:rPr>
            </w:pPr>
            <w:r>
              <w:rPr>
                <w:rFonts w:ascii="Arial" w:cs="Arial" w:eastAsia="Arial" w:hAnsi="Arial"/>
                <w:sz w:val="18"/>
                <w:szCs w:val="18"/>
                <w:color w:val="auto"/>
                <w:w w:val="91"/>
              </w:rPr>
              <w:t>Owned by</w:t>
            </w:r>
          </w:p>
        </w:tc>
        <w:tc>
          <w:tcPr>
            <w:tcW w:w="620" w:type="dxa"/>
            <w:vAlign w:val="bottom"/>
            <w:tcBorders>
              <w:bottom w:val="single" w:sz="8" w:color="auto"/>
            </w:tcBorders>
          </w:tcPr>
          <w:p>
            <w:pPr>
              <w:spacing w:after="0"/>
              <w:rPr>
                <w:sz w:val="9"/>
                <w:szCs w:val="9"/>
                <w:color w:val="auto"/>
              </w:rPr>
            </w:pPr>
          </w:p>
        </w:tc>
        <w:tc>
          <w:tcPr>
            <w:tcW w:w="7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620" w:type="dxa"/>
            <w:vAlign w:val="bottom"/>
            <w:vMerge w:val="restart"/>
          </w:tcPr>
          <w:p>
            <w:pPr>
              <w:jc w:val="right"/>
              <w:ind w:right="291"/>
              <w:spacing w:after="0"/>
              <w:rPr>
                <w:sz w:val="20"/>
                <w:szCs w:val="20"/>
                <w:color w:val="auto"/>
              </w:rPr>
            </w:pPr>
            <w:r>
              <w:rPr>
                <w:rFonts w:ascii="Arial" w:cs="Arial" w:eastAsia="Arial" w:hAnsi="Arial"/>
                <w:sz w:val="18"/>
                <w:szCs w:val="18"/>
                <w:color w:val="auto"/>
              </w:rPr>
              <w:t>7.</w:t>
            </w:r>
          </w:p>
        </w:tc>
        <w:tc>
          <w:tcPr>
            <w:tcW w:w="7740" w:type="dxa"/>
            <w:vAlign w:val="bottom"/>
            <w:vMerge w:val="restart"/>
          </w:tcPr>
          <w:p>
            <w:pPr>
              <w:ind w:left="3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ind w:right="871"/>
              <w:spacing w:after="0"/>
              <w:rPr>
                <w:sz w:val="20"/>
                <w:szCs w:val="20"/>
                <w:color w:val="auto"/>
              </w:rPr>
            </w:pPr>
            <w:r>
              <w:rPr>
                <w:rFonts w:ascii="Arial" w:cs="Arial" w:eastAsia="Arial" w:hAnsi="Arial"/>
                <w:sz w:val="18"/>
                <w:szCs w:val="18"/>
                <w:color w:val="auto"/>
                <w:w w:val="87"/>
              </w:rPr>
              <w:t>Each</w:t>
            </w:r>
          </w:p>
        </w:tc>
        <w:tc>
          <w:tcPr>
            <w:tcW w:w="620" w:type="dxa"/>
            <w:vAlign w:val="bottom"/>
            <w:vMerge w:val="continue"/>
          </w:tcPr>
          <w:p>
            <w:pPr>
              <w:spacing w:after="0"/>
              <w:rPr>
                <w:sz w:val="13"/>
                <w:szCs w:val="13"/>
                <w:color w:val="auto"/>
              </w:rPr>
            </w:pPr>
          </w:p>
        </w:tc>
        <w:tc>
          <w:tcPr>
            <w:tcW w:w="7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8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tbl>
      <w:tblPr>
        <w:tblLayout w:type="fixed"/>
        <w:tblInd w:w="940" w:type="dxa"/>
        <w:tblCellMar>
          <w:top w:w="0" w:type="dxa"/>
          <w:left w:w="0" w:type="dxa"/>
          <w:bottom w:w="0" w:type="dxa"/>
          <w:right w:w="0" w:type="dxa"/>
        </w:tblCellMar>
      </w:tblPr>
      <w:tr>
        <w:trPr>
          <w:trHeight w:val="229"/>
        </w:trPr>
        <w:tc>
          <w:tcPr>
            <w:tcW w:w="1860" w:type="dxa"/>
            <w:vAlign w:val="bottom"/>
          </w:tcPr>
          <w:p>
            <w:pPr>
              <w:jc w:val="center"/>
              <w:ind w:right="851"/>
              <w:spacing w:after="0"/>
              <w:rPr>
                <w:sz w:val="20"/>
                <w:szCs w:val="20"/>
                <w:color w:val="auto"/>
              </w:rPr>
            </w:pPr>
            <w:r>
              <w:rPr>
                <w:rFonts w:ascii="Arial" w:cs="Arial" w:eastAsia="Arial" w:hAnsi="Arial"/>
                <w:sz w:val="18"/>
                <w:szCs w:val="18"/>
                <w:color w:val="auto"/>
                <w:w w:val="92"/>
              </w:rPr>
              <w:t>Reporting</w:t>
            </w:r>
          </w:p>
        </w:tc>
        <w:tc>
          <w:tcPr>
            <w:tcW w:w="8360" w:type="dxa"/>
            <w:vAlign w:val="bottom"/>
            <w:vMerge w:val="restart"/>
          </w:tcPr>
          <w:p>
            <w:pPr>
              <w:jc w:val="right"/>
              <w:ind w:right="7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4"/>
        </w:trPr>
        <w:tc>
          <w:tcPr>
            <w:tcW w:w="1860" w:type="dxa"/>
            <w:vAlign w:val="bottom"/>
            <w:vMerge w:val="restart"/>
          </w:tcPr>
          <w:p>
            <w:pPr>
              <w:jc w:val="center"/>
              <w:ind w:right="851"/>
              <w:spacing w:after="0"/>
              <w:rPr>
                <w:sz w:val="20"/>
                <w:szCs w:val="20"/>
                <w:color w:val="auto"/>
              </w:rPr>
            </w:pPr>
            <w:r>
              <w:rPr>
                <w:rFonts w:ascii="Arial" w:cs="Arial" w:eastAsia="Arial" w:hAnsi="Arial"/>
                <w:sz w:val="18"/>
                <w:szCs w:val="18"/>
                <w:color w:val="auto"/>
                <w:w w:val="89"/>
              </w:rPr>
              <w:t>Person With:</w:t>
            </w:r>
          </w:p>
        </w:tc>
        <w:tc>
          <w:tcPr>
            <w:tcW w:w="8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860" w:type="dxa"/>
            <w:vAlign w:val="bottom"/>
            <w:vMerge w:val="continue"/>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60" w:type="dxa"/>
            <w:vAlign w:val="bottom"/>
            <w:vMerge w:val="continue"/>
          </w:tcPr>
          <w:p>
            <w:pPr>
              <w:spacing w:after="0"/>
              <w:rPr>
                <w:sz w:val="4"/>
                <w:szCs w:val="4"/>
                <w:color w:val="auto"/>
              </w:rPr>
            </w:pPr>
          </w:p>
        </w:tc>
        <w:tc>
          <w:tcPr>
            <w:tcW w:w="83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0" w:right="5500" w:hanging="900"/>
        <w:spacing w:after="0" w:line="357" w:lineRule="auto"/>
        <w:tabs>
          <w:tab w:leader="none" w:pos="38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4,756,478</w:t>
      </w:r>
      <w:r>
        <w:rPr>
          <w:rFonts w:ascii="Arial" w:cs="Arial" w:eastAsia="Arial" w:hAnsi="Arial"/>
          <w:sz w:val="29"/>
          <w:szCs w:val="29"/>
          <w:color w:val="auto"/>
          <w:vertAlign w:val="superscript"/>
        </w:rPr>
        <w:t>1</w:t>
      </w:r>
    </w:p>
    <w:p>
      <w:pPr>
        <w:ind w:left="1000" w:right="5400" w:hanging="904"/>
        <w:spacing w:after="0" w:line="357" w:lineRule="auto"/>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4,756,478</w:t>
      </w:r>
      <w:r>
        <w:rPr>
          <w:rFonts w:ascii="Arial" w:cs="Arial" w:eastAsia="Arial" w:hAnsi="Arial"/>
          <w:sz w:val="29"/>
          <w:szCs w:val="29"/>
          <w:color w:val="auto"/>
          <w:vertAlign w:val="superscript"/>
        </w:rPr>
        <w:t>1</w:t>
      </w:r>
    </w:p>
    <w:p>
      <w:pPr>
        <w:ind w:left="1000" w:hanging="904"/>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1000" w:hanging="904"/>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19.9%</w:t>
      </w:r>
      <w:r>
        <w:rPr>
          <w:rFonts w:ascii="Arial" w:cs="Arial" w:eastAsia="Arial" w:hAnsi="Arial"/>
          <w:sz w:val="29"/>
          <w:szCs w:val="29"/>
          <w:color w:val="auto"/>
          <w:vertAlign w:val="superscript"/>
        </w:rPr>
        <w:t>2</w:t>
      </w:r>
    </w:p>
    <w:p>
      <w:pPr>
        <w:spacing w:after="0" w:line="54" w:lineRule="exact"/>
        <w:rPr>
          <w:rFonts w:ascii="Arial" w:cs="Arial" w:eastAsia="Arial" w:hAnsi="Arial"/>
          <w:sz w:val="18"/>
          <w:szCs w:val="18"/>
          <w:color w:val="auto"/>
        </w:rPr>
      </w:pPr>
    </w:p>
    <w:p>
      <w:pPr>
        <w:ind w:left="1000" w:hanging="904"/>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6"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89" w:lineRule="exact"/>
        <w:rPr>
          <w:rFonts w:ascii="Arial" w:cs="Arial" w:eastAsia="Arial" w:hAnsi="Arial"/>
          <w:sz w:val="18"/>
          <w:szCs w:val="18"/>
          <w:color w:val="auto"/>
        </w:rPr>
      </w:pPr>
    </w:p>
    <w:p>
      <w:pPr>
        <w:jc w:val="both"/>
        <w:spacing w:after="0" w:line="254" w:lineRule="auto"/>
        <w:tabs>
          <w:tab w:leader="none" w:pos="267"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“Reporting Persons”) beneficially own 4,756,478 shares of the Issuer’s Common Stock. All of these shares are directly held by Atlas X AVA X LP is the general partner of Atlas X and AVA X LLC is the general partner of AVA X LP. Each of AVA X LP and AVA X LLC has voting and dispositive power over the shares held by Atlas X. As such, each of the Reporting Persons share voting and dispositive power with respect to the shares held by Atlas X.</w:t>
      </w:r>
    </w:p>
    <w:p>
      <w:pPr>
        <w:spacing w:after="0" w:line="188" w:lineRule="exact"/>
        <w:rPr>
          <w:rFonts w:ascii="Arial" w:cs="Arial" w:eastAsia="Arial" w:hAnsi="Arial"/>
          <w:sz w:val="18"/>
          <w:szCs w:val="18"/>
          <w:color w:val="auto"/>
        </w:rPr>
      </w:pPr>
    </w:p>
    <w:p>
      <w:pPr>
        <w:jc w:val="both"/>
        <w:spacing w:after="0" w:line="261"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is calculated based upon 23,955,870 outstanding shares of Common Stock of the Issuer as of November 8, 2018, as reported in the Issuer’s quarterly report on Form 10-Q for the quarter ended September 30, 2018 and filed with the Securities and Exchange Commission on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-3510915</wp:posOffset>
            </wp:positionV>
            <wp:extent cx="7086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-1517650</wp:posOffset>
            </wp:positionV>
            <wp:extent cx="7086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-2003425</wp:posOffset>
            </wp:positionV>
            <wp:extent cx="70866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-2514600</wp:posOffset>
            </wp:positionV>
            <wp:extent cx="7086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-3000375</wp:posOffset>
            </wp:positionV>
            <wp:extent cx="70866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389255</wp:posOffset>
            </wp:positionV>
            <wp:extent cx="70866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763" w:right="560" w:bottom="1440" w:gutter="0" w:footer="0" w:header="0"/>
        </w:sectPr>
      </w:pPr>
    </w:p>
    <w:bookmarkStart w:id="2" w:name="page3"/>
    <w:bookmarkEnd w:id="2"/>
    <w:p>
      <w:pPr>
        <w:spacing w:after="0"/>
        <w:tabs>
          <w:tab w:leader="none" w:pos="9900" w:val="left"/>
        </w:tabs>
        <w:rPr>
          <w:sz w:val="20"/>
          <w:szCs w:val="20"/>
          <w:color w:val="auto"/>
        </w:rPr>
      </w:pPr>
      <w:r>
        <w:rPr>
          <w:rFonts w:ascii="Arial" w:cs="Arial" w:eastAsia="Arial" w:hAnsi="Arial"/>
          <w:sz w:val="18"/>
          <w:szCs w:val="18"/>
          <w:color w:val="auto"/>
        </w:rPr>
        <w:t>CUSIP No. 05455M100</w:t>
      </w:r>
      <w:r>
        <w:rPr>
          <w:sz w:val="20"/>
          <w:szCs w:val="20"/>
          <w:color w:val="auto"/>
        </w:rPr>
        <w:tab/>
      </w:r>
      <w:r>
        <w:rPr>
          <w:rFonts w:ascii="Arial" w:cs="Arial" w:eastAsia="Arial" w:hAnsi="Arial"/>
          <w:sz w:val="15"/>
          <w:szCs w:val="15"/>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086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1000" w:hanging="904"/>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Atlas Venture Associates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08" w:lineRule="exact"/>
        <w:rPr>
          <w:sz w:val="20"/>
          <w:szCs w:val="20"/>
          <w:color w:val="auto"/>
        </w:rPr>
      </w:pPr>
    </w:p>
    <w:p>
      <w:pPr>
        <w:ind w:left="1000" w:hanging="90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280" w:hanging="285"/>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1300" w:hanging="305"/>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113" w:lineRule="exact"/>
        <w:rPr>
          <w:rFonts w:ascii="Arial" w:cs="Arial" w:eastAsia="Arial" w:hAnsi="Arial"/>
          <w:sz w:val="18"/>
          <w:szCs w:val="18"/>
          <w:color w:val="auto"/>
        </w:rPr>
      </w:pPr>
    </w:p>
    <w:p>
      <w:pPr>
        <w:ind w:left="1000" w:hanging="904"/>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1000" w:right="7560" w:hanging="904"/>
        <w:spacing w:after="0" w:line="44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3800" w:hanging="900"/>
        <w:spacing w:after="0"/>
        <w:tabs>
          <w:tab w:leader="none" w:pos="380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-649605</wp:posOffset>
            </wp:positionV>
            <wp:extent cx="70866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-1135380</wp:posOffset>
            </wp:positionV>
            <wp:extent cx="7086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-164465</wp:posOffset>
            </wp:positionV>
            <wp:extent cx="7086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1840" w:type="dxa"/>
            <w:vAlign w:val="bottom"/>
            <w:vMerge w:val="restart"/>
          </w:tcPr>
          <w:p>
            <w:pPr>
              <w:jc w:val="center"/>
              <w:ind w:right="851"/>
              <w:spacing w:after="0"/>
              <w:rPr>
                <w:sz w:val="20"/>
                <w:szCs w:val="20"/>
                <w:color w:val="auto"/>
              </w:rPr>
            </w:pPr>
            <w:r>
              <w:rPr>
                <w:rFonts w:ascii="Arial" w:cs="Arial" w:eastAsia="Arial" w:hAnsi="Arial"/>
                <w:sz w:val="18"/>
                <w:szCs w:val="18"/>
                <w:color w:val="auto"/>
                <w:w w:val="92"/>
              </w:rPr>
              <w:t>Number of</w:t>
            </w:r>
          </w:p>
        </w:tc>
        <w:tc>
          <w:tcPr>
            <w:tcW w:w="620" w:type="dxa"/>
            <w:vAlign w:val="bottom"/>
          </w:tcPr>
          <w:p>
            <w:pPr>
              <w:spacing w:after="0"/>
              <w:rPr>
                <w:sz w:val="19"/>
                <w:szCs w:val="19"/>
                <w:color w:val="auto"/>
              </w:rPr>
            </w:pPr>
          </w:p>
        </w:tc>
        <w:tc>
          <w:tcPr>
            <w:tcW w:w="7740" w:type="dxa"/>
            <w:vAlign w:val="bottom"/>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840" w:type="dxa"/>
            <w:vAlign w:val="bottom"/>
            <w:vMerge w:val="continue"/>
          </w:tcPr>
          <w:p>
            <w:pPr>
              <w:spacing w:after="0"/>
              <w:rPr>
                <w:sz w:val="13"/>
                <w:szCs w:val="13"/>
                <w:color w:val="auto"/>
              </w:rPr>
            </w:pPr>
          </w:p>
        </w:tc>
        <w:tc>
          <w:tcPr>
            <w:tcW w:w="620" w:type="dxa"/>
            <w:vAlign w:val="bottom"/>
            <w:vMerge w:val="restart"/>
          </w:tcPr>
          <w:p>
            <w:pPr>
              <w:jc w:val="right"/>
              <w:ind w:right="291"/>
              <w:spacing w:after="0"/>
              <w:rPr>
                <w:sz w:val="20"/>
                <w:szCs w:val="20"/>
                <w:color w:val="auto"/>
              </w:rPr>
            </w:pPr>
            <w:r>
              <w:rPr>
                <w:rFonts w:ascii="Arial" w:cs="Arial" w:eastAsia="Arial" w:hAnsi="Arial"/>
                <w:sz w:val="18"/>
                <w:szCs w:val="18"/>
                <w:color w:val="auto"/>
              </w:rPr>
              <w:t>6.</w:t>
            </w:r>
          </w:p>
        </w:tc>
        <w:tc>
          <w:tcPr>
            <w:tcW w:w="7740" w:type="dxa"/>
            <w:vAlign w:val="bottom"/>
            <w:vMerge w:val="restart"/>
          </w:tcPr>
          <w:p>
            <w:pPr>
              <w:ind w:left="3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7"/>
        </w:trPr>
        <w:tc>
          <w:tcPr>
            <w:tcW w:w="1840" w:type="dxa"/>
            <w:vAlign w:val="bottom"/>
            <w:vMerge w:val="restart"/>
          </w:tcPr>
          <w:p>
            <w:pPr>
              <w:jc w:val="center"/>
              <w:ind w:right="871"/>
              <w:spacing w:after="0"/>
              <w:rPr>
                <w:sz w:val="20"/>
                <w:szCs w:val="20"/>
                <w:color w:val="auto"/>
              </w:rPr>
            </w:pPr>
            <w:r>
              <w:rPr>
                <w:rFonts w:ascii="Arial" w:cs="Arial" w:eastAsia="Arial" w:hAnsi="Arial"/>
                <w:sz w:val="18"/>
                <w:szCs w:val="18"/>
                <w:color w:val="auto"/>
                <w:w w:val="84"/>
              </w:rPr>
              <w:t>Shares</w:t>
            </w:r>
          </w:p>
        </w:tc>
        <w:tc>
          <w:tcPr>
            <w:tcW w:w="620" w:type="dxa"/>
            <w:vAlign w:val="bottom"/>
            <w:vMerge w:val="continue"/>
          </w:tcPr>
          <w:p>
            <w:pPr>
              <w:spacing w:after="0"/>
              <w:rPr>
                <w:sz w:val="9"/>
                <w:szCs w:val="9"/>
                <w:color w:val="auto"/>
              </w:rPr>
            </w:pPr>
          </w:p>
        </w:tc>
        <w:tc>
          <w:tcPr>
            <w:tcW w:w="7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8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1840" w:type="dxa"/>
            <w:vAlign w:val="bottom"/>
          </w:tcPr>
          <w:p>
            <w:pPr>
              <w:jc w:val="center"/>
              <w:ind w:right="871"/>
              <w:spacing w:after="0"/>
              <w:rPr>
                <w:sz w:val="20"/>
                <w:szCs w:val="20"/>
                <w:color w:val="auto"/>
              </w:rPr>
            </w:pPr>
            <w:r>
              <w:rPr>
                <w:rFonts w:ascii="Arial" w:cs="Arial" w:eastAsia="Arial" w:hAnsi="Arial"/>
                <w:sz w:val="18"/>
                <w:szCs w:val="18"/>
                <w:color w:val="auto"/>
                <w:w w:val="96"/>
              </w:rPr>
              <w:t>Beneficially</w:t>
            </w:r>
          </w:p>
        </w:tc>
        <w:tc>
          <w:tcPr>
            <w:tcW w:w="620" w:type="dxa"/>
            <w:vAlign w:val="bottom"/>
          </w:tcPr>
          <w:p>
            <w:pPr>
              <w:spacing w:after="0"/>
              <w:rPr>
                <w:sz w:val="24"/>
                <w:szCs w:val="24"/>
                <w:color w:val="auto"/>
              </w:rPr>
            </w:pPr>
          </w:p>
        </w:tc>
        <w:tc>
          <w:tcPr>
            <w:tcW w:w="7740" w:type="dxa"/>
            <w:vAlign w:val="bottom"/>
          </w:tcPr>
          <w:p>
            <w:pPr>
              <w:ind w:left="380"/>
              <w:spacing w:after="0" w:line="281" w:lineRule="exact"/>
              <w:rPr>
                <w:sz w:val="20"/>
                <w:szCs w:val="20"/>
                <w:color w:val="auto"/>
              </w:rPr>
            </w:pPr>
            <w:r>
              <w:rPr>
                <w:rFonts w:ascii="Arial" w:cs="Arial" w:eastAsia="Arial" w:hAnsi="Arial"/>
                <w:sz w:val="18"/>
                <w:szCs w:val="18"/>
                <w:color w:val="auto"/>
              </w:rPr>
              <w:t>4,756,478</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07"/>
        </w:trPr>
        <w:tc>
          <w:tcPr>
            <w:tcW w:w="1840" w:type="dxa"/>
            <w:vAlign w:val="bottom"/>
            <w:vMerge w:val="restart"/>
          </w:tcPr>
          <w:p>
            <w:pPr>
              <w:jc w:val="center"/>
              <w:ind w:right="851"/>
              <w:spacing w:after="0"/>
              <w:rPr>
                <w:sz w:val="20"/>
                <w:szCs w:val="20"/>
                <w:color w:val="auto"/>
              </w:rPr>
            </w:pPr>
            <w:r>
              <w:rPr>
                <w:rFonts w:ascii="Arial" w:cs="Arial" w:eastAsia="Arial" w:hAnsi="Arial"/>
                <w:sz w:val="18"/>
                <w:szCs w:val="18"/>
                <w:color w:val="auto"/>
                <w:w w:val="91"/>
              </w:rPr>
              <w:t>Owned by</w:t>
            </w:r>
          </w:p>
        </w:tc>
        <w:tc>
          <w:tcPr>
            <w:tcW w:w="620" w:type="dxa"/>
            <w:vAlign w:val="bottom"/>
            <w:tcBorders>
              <w:bottom w:val="single" w:sz="8" w:color="auto"/>
            </w:tcBorders>
          </w:tcPr>
          <w:p>
            <w:pPr>
              <w:spacing w:after="0"/>
              <w:rPr>
                <w:sz w:val="9"/>
                <w:szCs w:val="9"/>
                <w:color w:val="auto"/>
              </w:rPr>
            </w:pPr>
          </w:p>
        </w:tc>
        <w:tc>
          <w:tcPr>
            <w:tcW w:w="7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620" w:type="dxa"/>
            <w:vAlign w:val="bottom"/>
            <w:vMerge w:val="restart"/>
          </w:tcPr>
          <w:p>
            <w:pPr>
              <w:jc w:val="right"/>
              <w:ind w:right="291"/>
              <w:spacing w:after="0"/>
              <w:rPr>
                <w:sz w:val="20"/>
                <w:szCs w:val="20"/>
                <w:color w:val="auto"/>
              </w:rPr>
            </w:pPr>
            <w:r>
              <w:rPr>
                <w:rFonts w:ascii="Arial" w:cs="Arial" w:eastAsia="Arial" w:hAnsi="Arial"/>
                <w:sz w:val="18"/>
                <w:szCs w:val="18"/>
                <w:color w:val="auto"/>
              </w:rPr>
              <w:t>7.</w:t>
            </w:r>
          </w:p>
        </w:tc>
        <w:tc>
          <w:tcPr>
            <w:tcW w:w="7740" w:type="dxa"/>
            <w:vAlign w:val="bottom"/>
            <w:vMerge w:val="restart"/>
          </w:tcPr>
          <w:p>
            <w:pPr>
              <w:ind w:left="3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ind w:right="871"/>
              <w:spacing w:after="0"/>
              <w:rPr>
                <w:sz w:val="20"/>
                <w:szCs w:val="20"/>
                <w:color w:val="auto"/>
              </w:rPr>
            </w:pPr>
            <w:r>
              <w:rPr>
                <w:rFonts w:ascii="Arial" w:cs="Arial" w:eastAsia="Arial" w:hAnsi="Arial"/>
                <w:sz w:val="18"/>
                <w:szCs w:val="18"/>
                <w:color w:val="auto"/>
                <w:w w:val="87"/>
              </w:rPr>
              <w:t>Each</w:t>
            </w:r>
          </w:p>
        </w:tc>
        <w:tc>
          <w:tcPr>
            <w:tcW w:w="620" w:type="dxa"/>
            <w:vAlign w:val="bottom"/>
            <w:vMerge w:val="continue"/>
          </w:tcPr>
          <w:p>
            <w:pPr>
              <w:spacing w:after="0"/>
              <w:rPr>
                <w:sz w:val="13"/>
                <w:szCs w:val="13"/>
                <w:color w:val="auto"/>
              </w:rPr>
            </w:pPr>
          </w:p>
        </w:tc>
        <w:tc>
          <w:tcPr>
            <w:tcW w:w="7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8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tbl>
      <w:tblPr>
        <w:tblLayout w:type="fixed"/>
        <w:tblInd w:w="940" w:type="dxa"/>
        <w:tblCellMar>
          <w:top w:w="0" w:type="dxa"/>
          <w:left w:w="0" w:type="dxa"/>
          <w:bottom w:w="0" w:type="dxa"/>
          <w:right w:w="0" w:type="dxa"/>
        </w:tblCellMar>
      </w:tblPr>
      <w:tr>
        <w:trPr>
          <w:trHeight w:val="229"/>
        </w:trPr>
        <w:tc>
          <w:tcPr>
            <w:tcW w:w="1860" w:type="dxa"/>
            <w:vAlign w:val="bottom"/>
          </w:tcPr>
          <w:p>
            <w:pPr>
              <w:jc w:val="center"/>
              <w:ind w:right="851"/>
              <w:spacing w:after="0"/>
              <w:rPr>
                <w:sz w:val="20"/>
                <w:szCs w:val="20"/>
                <w:color w:val="auto"/>
              </w:rPr>
            </w:pPr>
            <w:r>
              <w:rPr>
                <w:rFonts w:ascii="Arial" w:cs="Arial" w:eastAsia="Arial" w:hAnsi="Arial"/>
                <w:sz w:val="18"/>
                <w:szCs w:val="18"/>
                <w:color w:val="auto"/>
                <w:w w:val="92"/>
              </w:rPr>
              <w:t>Reporting</w:t>
            </w:r>
          </w:p>
        </w:tc>
        <w:tc>
          <w:tcPr>
            <w:tcW w:w="8360" w:type="dxa"/>
            <w:vAlign w:val="bottom"/>
            <w:vMerge w:val="restart"/>
          </w:tcPr>
          <w:p>
            <w:pPr>
              <w:jc w:val="right"/>
              <w:ind w:right="7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4"/>
        </w:trPr>
        <w:tc>
          <w:tcPr>
            <w:tcW w:w="1860" w:type="dxa"/>
            <w:vAlign w:val="bottom"/>
            <w:vMerge w:val="restart"/>
          </w:tcPr>
          <w:p>
            <w:pPr>
              <w:jc w:val="center"/>
              <w:ind w:right="851"/>
              <w:spacing w:after="0"/>
              <w:rPr>
                <w:sz w:val="20"/>
                <w:szCs w:val="20"/>
                <w:color w:val="auto"/>
              </w:rPr>
            </w:pPr>
            <w:r>
              <w:rPr>
                <w:rFonts w:ascii="Arial" w:cs="Arial" w:eastAsia="Arial" w:hAnsi="Arial"/>
                <w:sz w:val="18"/>
                <w:szCs w:val="18"/>
                <w:color w:val="auto"/>
                <w:w w:val="89"/>
              </w:rPr>
              <w:t>Person With:</w:t>
            </w:r>
          </w:p>
        </w:tc>
        <w:tc>
          <w:tcPr>
            <w:tcW w:w="8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860" w:type="dxa"/>
            <w:vAlign w:val="bottom"/>
            <w:vMerge w:val="continue"/>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60" w:type="dxa"/>
            <w:vAlign w:val="bottom"/>
            <w:vMerge w:val="continue"/>
          </w:tcPr>
          <w:p>
            <w:pPr>
              <w:spacing w:after="0"/>
              <w:rPr>
                <w:sz w:val="4"/>
                <w:szCs w:val="4"/>
                <w:color w:val="auto"/>
              </w:rPr>
            </w:pPr>
          </w:p>
        </w:tc>
        <w:tc>
          <w:tcPr>
            <w:tcW w:w="83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0" w:right="5500" w:hanging="900"/>
        <w:spacing w:after="0" w:line="357" w:lineRule="auto"/>
        <w:tabs>
          <w:tab w:leader="none" w:pos="380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 4,756,478</w:t>
      </w:r>
      <w:r>
        <w:rPr>
          <w:rFonts w:ascii="Arial" w:cs="Arial" w:eastAsia="Arial" w:hAnsi="Arial"/>
          <w:sz w:val="29"/>
          <w:szCs w:val="29"/>
          <w:color w:val="auto"/>
          <w:vertAlign w:val="superscript"/>
        </w:rPr>
        <w:t>1</w:t>
      </w:r>
    </w:p>
    <w:p>
      <w:pPr>
        <w:ind w:left="1000" w:right="5400" w:hanging="904"/>
        <w:spacing w:after="0" w:line="357" w:lineRule="auto"/>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4,756,478</w:t>
      </w:r>
      <w:r>
        <w:rPr>
          <w:rFonts w:ascii="Arial" w:cs="Arial" w:eastAsia="Arial" w:hAnsi="Arial"/>
          <w:sz w:val="29"/>
          <w:szCs w:val="29"/>
          <w:color w:val="auto"/>
          <w:vertAlign w:val="superscript"/>
        </w:rPr>
        <w:t>1</w:t>
      </w:r>
    </w:p>
    <w:p>
      <w:pPr>
        <w:ind w:left="1000" w:hanging="904"/>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1000" w:hanging="904"/>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19.9%</w:t>
      </w:r>
      <w:r>
        <w:rPr>
          <w:rFonts w:ascii="Arial" w:cs="Arial" w:eastAsia="Arial" w:hAnsi="Arial"/>
          <w:sz w:val="29"/>
          <w:szCs w:val="29"/>
          <w:color w:val="auto"/>
          <w:vertAlign w:val="superscript"/>
        </w:rPr>
        <w:t>2</w:t>
      </w:r>
    </w:p>
    <w:p>
      <w:pPr>
        <w:spacing w:after="0" w:line="54" w:lineRule="exact"/>
        <w:rPr>
          <w:rFonts w:ascii="Arial" w:cs="Arial" w:eastAsia="Arial" w:hAnsi="Arial"/>
          <w:sz w:val="18"/>
          <w:szCs w:val="18"/>
          <w:color w:val="auto"/>
        </w:rPr>
      </w:pPr>
    </w:p>
    <w:p>
      <w:pPr>
        <w:ind w:left="1000" w:hanging="904"/>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6"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89" w:lineRule="exact"/>
        <w:rPr>
          <w:rFonts w:ascii="Arial" w:cs="Arial" w:eastAsia="Arial" w:hAnsi="Arial"/>
          <w:sz w:val="18"/>
          <w:szCs w:val="18"/>
          <w:color w:val="auto"/>
        </w:rPr>
      </w:pPr>
    </w:p>
    <w:p>
      <w:pPr>
        <w:jc w:val="both"/>
        <w:spacing w:after="0" w:line="254" w:lineRule="auto"/>
        <w:tabs>
          <w:tab w:leader="none" w:pos="26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“Reporting Persons”) beneficially own 4,756,478 shares of the Issuer’s Common Stock. All of these shares are directly held by Atlas X AVA X LP is the general partner of Atlas X and AVA X LLC is the general partner of AVA X LP. Each of AVA X LP and AVA X LLC has voting and dispositive power over the shares held by Atlas X. As such, each of the Reporting Persons share voting and dispositive power with respect to the shares held by Atlas X.</w:t>
      </w:r>
    </w:p>
    <w:p>
      <w:pPr>
        <w:spacing w:after="0" w:line="188" w:lineRule="exact"/>
        <w:rPr>
          <w:rFonts w:ascii="Arial" w:cs="Arial" w:eastAsia="Arial" w:hAnsi="Arial"/>
          <w:sz w:val="18"/>
          <w:szCs w:val="18"/>
          <w:color w:val="auto"/>
        </w:rPr>
      </w:pPr>
    </w:p>
    <w:p>
      <w:pPr>
        <w:jc w:val="both"/>
        <w:spacing w:after="0" w:line="261"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upon 23,955,870 outstanding shares of Common Stock of the Issuer as of November 8, 2018, as reported in the Issuer’s quarterly report on Form 10-Q for the quarter ended September 30, 2018 and filed with the Securities and Exchange Commission on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-3510915</wp:posOffset>
            </wp:positionV>
            <wp:extent cx="7086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-1517650</wp:posOffset>
            </wp:positionV>
            <wp:extent cx="7086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-2003425</wp:posOffset>
            </wp:positionV>
            <wp:extent cx="7086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-2514600</wp:posOffset>
            </wp:positionV>
            <wp:extent cx="7086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-3000375</wp:posOffset>
            </wp:positionV>
            <wp:extent cx="7086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389255</wp:posOffset>
            </wp:positionV>
            <wp:extent cx="7086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763" w:right="560" w:bottom="1440" w:gutter="0" w:footer="0" w:header="0"/>
        </w:sectPr>
      </w:pPr>
    </w:p>
    <w:bookmarkStart w:id="3" w:name="page4"/>
    <w:bookmarkEnd w:id="3"/>
    <w:p>
      <w:pPr>
        <w:spacing w:after="0"/>
        <w:tabs>
          <w:tab w:leader="none" w:pos="9900" w:val="left"/>
        </w:tabs>
        <w:rPr>
          <w:sz w:val="20"/>
          <w:szCs w:val="20"/>
          <w:color w:val="auto"/>
        </w:rPr>
      </w:pPr>
      <w:r>
        <w:rPr>
          <w:rFonts w:ascii="Arial" w:cs="Arial" w:eastAsia="Arial" w:hAnsi="Arial"/>
          <w:sz w:val="18"/>
          <w:szCs w:val="18"/>
          <w:color w:val="auto"/>
        </w:rPr>
        <w:t>CUSIP No. 05455M100</w:t>
      </w:r>
      <w:r>
        <w:rPr>
          <w:sz w:val="20"/>
          <w:szCs w:val="20"/>
          <w:color w:val="auto"/>
        </w:rPr>
        <w:tab/>
      </w:r>
      <w:r>
        <w:rPr>
          <w:rFonts w:ascii="Arial" w:cs="Arial" w:eastAsia="Arial" w:hAnsi="Arial"/>
          <w:sz w:val="15"/>
          <w:szCs w:val="15"/>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7086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69" w:lineRule="exact"/>
        <w:rPr>
          <w:sz w:val="20"/>
          <w:szCs w:val="20"/>
          <w:color w:val="auto"/>
        </w:rPr>
      </w:pPr>
    </w:p>
    <w:p>
      <w:pPr>
        <w:ind w:left="1000" w:hanging="904"/>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Atlas Venture Associates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08" w:lineRule="exact"/>
        <w:rPr>
          <w:sz w:val="20"/>
          <w:szCs w:val="20"/>
          <w:color w:val="auto"/>
        </w:rPr>
      </w:pPr>
    </w:p>
    <w:p>
      <w:pPr>
        <w:ind w:left="1000" w:hanging="90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2" w:lineRule="exact"/>
        <w:rPr>
          <w:rFonts w:ascii="Arial" w:cs="Arial" w:eastAsia="Arial" w:hAnsi="Arial"/>
          <w:sz w:val="18"/>
          <w:szCs w:val="18"/>
          <w:color w:val="auto"/>
        </w:rPr>
      </w:pPr>
    </w:p>
    <w:p>
      <w:pPr>
        <w:ind w:left="1280" w:hanging="285"/>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1300" w:hanging="305"/>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x</w:t>
      </w:r>
    </w:p>
    <w:p>
      <w:pPr>
        <w:spacing w:after="0" w:line="113" w:lineRule="exact"/>
        <w:rPr>
          <w:rFonts w:ascii="Arial" w:cs="Arial" w:eastAsia="Arial" w:hAnsi="Arial"/>
          <w:sz w:val="18"/>
          <w:szCs w:val="18"/>
          <w:color w:val="auto"/>
        </w:rPr>
      </w:pPr>
    </w:p>
    <w:p>
      <w:pPr>
        <w:ind w:left="1000" w:hanging="90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1000" w:right="7560" w:hanging="904"/>
        <w:spacing w:after="0" w:line="44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3800" w:hanging="900"/>
        <w:spacing w:after="0"/>
        <w:tabs>
          <w:tab w:leader="none" w:pos="38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-649605</wp:posOffset>
            </wp:positionV>
            <wp:extent cx="7086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-1135380</wp:posOffset>
            </wp:positionV>
            <wp:extent cx="70866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-164465</wp:posOffset>
            </wp:positionV>
            <wp:extent cx="7086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02"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1840" w:type="dxa"/>
            <w:vAlign w:val="bottom"/>
            <w:vMerge w:val="restart"/>
          </w:tcPr>
          <w:p>
            <w:pPr>
              <w:jc w:val="center"/>
              <w:ind w:right="851"/>
              <w:spacing w:after="0"/>
              <w:rPr>
                <w:sz w:val="20"/>
                <w:szCs w:val="20"/>
                <w:color w:val="auto"/>
              </w:rPr>
            </w:pPr>
            <w:r>
              <w:rPr>
                <w:rFonts w:ascii="Arial" w:cs="Arial" w:eastAsia="Arial" w:hAnsi="Arial"/>
                <w:sz w:val="18"/>
                <w:szCs w:val="18"/>
                <w:color w:val="auto"/>
                <w:w w:val="92"/>
              </w:rPr>
              <w:t>Number of</w:t>
            </w:r>
          </w:p>
        </w:tc>
        <w:tc>
          <w:tcPr>
            <w:tcW w:w="620" w:type="dxa"/>
            <w:vAlign w:val="bottom"/>
          </w:tcPr>
          <w:p>
            <w:pPr>
              <w:spacing w:after="0"/>
              <w:rPr>
                <w:sz w:val="19"/>
                <w:szCs w:val="19"/>
                <w:color w:val="auto"/>
              </w:rPr>
            </w:pPr>
          </w:p>
        </w:tc>
        <w:tc>
          <w:tcPr>
            <w:tcW w:w="7740" w:type="dxa"/>
            <w:vAlign w:val="bottom"/>
          </w:tcPr>
          <w:p>
            <w:pPr>
              <w:ind w:left="3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840" w:type="dxa"/>
            <w:vAlign w:val="bottom"/>
            <w:vMerge w:val="continue"/>
          </w:tcPr>
          <w:p>
            <w:pPr>
              <w:spacing w:after="0"/>
              <w:rPr>
                <w:sz w:val="13"/>
                <w:szCs w:val="13"/>
                <w:color w:val="auto"/>
              </w:rPr>
            </w:pPr>
          </w:p>
        </w:tc>
        <w:tc>
          <w:tcPr>
            <w:tcW w:w="620" w:type="dxa"/>
            <w:vAlign w:val="bottom"/>
            <w:vMerge w:val="restart"/>
          </w:tcPr>
          <w:p>
            <w:pPr>
              <w:jc w:val="right"/>
              <w:ind w:right="291"/>
              <w:spacing w:after="0"/>
              <w:rPr>
                <w:sz w:val="20"/>
                <w:szCs w:val="20"/>
                <w:color w:val="auto"/>
              </w:rPr>
            </w:pPr>
            <w:r>
              <w:rPr>
                <w:rFonts w:ascii="Arial" w:cs="Arial" w:eastAsia="Arial" w:hAnsi="Arial"/>
                <w:sz w:val="18"/>
                <w:szCs w:val="18"/>
                <w:color w:val="auto"/>
              </w:rPr>
              <w:t>6.</w:t>
            </w:r>
          </w:p>
        </w:tc>
        <w:tc>
          <w:tcPr>
            <w:tcW w:w="7740" w:type="dxa"/>
            <w:vAlign w:val="bottom"/>
            <w:vMerge w:val="restart"/>
          </w:tcPr>
          <w:p>
            <w:pPr>
              <w:ind w:left="3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7"/>
        </w:trPr>
        <w:tc>
          <w:tcPr>
            <w:tcW w:w="1840" w:type="dxa"/>
            <w:vAlign w:val="bottom"/>
            <w:vMerge w:val="restart"/>
          </w:tcPr>
          <w:p>
            <w:pPr>
              <w:jc w:val="center"/>
              <w:ind w:right="871"/>
              <w:spacing w:after="0"/>
              <w:rPr>
                <w:sz w:val="20"/>
                <w:szCs w:val="20"/>
                <w:color w:val="auto"/>
              </w:rPr>
            </w:pPr>
            <w:r>
              <w:rPr>
                <w:rFonts w:ascii="Arial" w:cs="Arial" w:eastAsia="Arial" w:hAnsi="Arial"/>
                <w:sz w:val="18"/>
                <w:szCs w:val="18"/>
                <w:color w:val="auto"/>
                <w:w w:val="84"/>
              </w:rPr>
              <w:t>Shares</w:t>
            </w:r>
          </w:p>
        </w:tc>
        <w:tc>
          <w:tcPr>
            <w:tcW w:w="620" w:type="dxa"/>
            <w:vAlign w:val="bottom"/>
            <w:vMerge w:val="continue"/>
          </w:tcPr>
          <w:p>
            <w:pPr>
              <w:spacing w:after="0"/>
              <w:rPr>
                <w:sz w:val="9"/>
                <w:szCs w:val="9"/>
                <w:color w:val="auto"/>
              </w:rPr>
            </w:pPr>
          </w:p>
        </w:tc>
        <w:tc>
          <w:tcPr>
            <w:tcW w:w="7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8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7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1840" w:type="dxa"/>
            <w:vAlign w:val="bottom"/>
          </w:tcPr>
          <w:p>
            <w:pPr>
              <w:jc w:val="center"/>
              <w:ind w:right="871"/>
              <w:spacing w:after="0"/>
              <w:rPr>
                <w:sz w:val="20"/>
                <w:szCs w:val="20"/>
                <w:color w:val="auto"/>
              </w:rPr>
            </w:pPr>
            <w:r>
              <w:rPr>
                <w:rFonts w:ascii="Arial" w:cs="Arial" w:eastAsia="Arial" w:hAnsi="Arial"/>
                <w:sz w:val="18"/>
                <w:szCs w:val="18"/>
                <w:color w:val="auto"/>
                <w:w w:val="96"/>
              </w:rPr>
              <w:t>Beneficially</w:t>
            </w:r>
          </w:p>
        </w:tc>
        <w:tc>
          <w:tcPr>
            <w:tcW w:w="620" w:type="dxa"/>
            <w:vAlign w:val="bottom"/>
          </w:tcPr>
          <w:p>
            <w:pPr>
              <w:spacing w:after="0"/>
              <w:rPr>
                <w:sz w:val="24"/>
                <w:szCs w:val="24"/>
                <w:color w:val="auto"/>
              </w:rPr>
            </w:pPr>
          </w:p>
        </w:tc>
        <w:tc>
          <w:tcPr>
            <w:tcW w:w="7740" w:type="dxa"/>
            <w:vAlign w:val="bottom"/>
          </w:tcPr>
          <w:p>
            <w:pPr>
              <w:ind w:left="380"/>
              <w:spacing w:after="0" w:line="281" w:lineRule="exact"/>
              <w:rPr>
                <w:sz w:val="20"/>
                <w:szCs w:val="20"/>
                <w:color w:val="auto"/>
              </w:rPr>
            </w:pPr>
            <w:r>
              <w:rPr>
                <w:rFonts w:ascii="Arial" w:cs="Arial" w:eastAsia="Arial" w:hAnsi="Arial"/>
                <w:sz w:val="18"/>
                <w:szCs w:val="18"/>
                <w:color w:val="auto"/>
              </w:rPr>
              <w:t>4,756,478</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07"/>
        </w:trPr>
        <w:tc>
          <w:tcPr>
            <w:tcW w:w="1840" w:type="dxa"/>
            <w:vAlign w:val="bottom"/>
            <w:vMerge w:val="restart"/>
          </w:tcPr>
          <w:p>
            <w:pPr>
              <w:jc w:val="center"/>
              <w:ind w:right="851"/>
              <w:spacing w:after="0"/>
              <w:rPr>
                <w:sz w:val="20"/>
                <w:szCs w:val="20"/>
                <w:color w:val="auto"/>
              </w:rPr>
            </w:pPr>
            <w:r>
              <w:rPr>
                <w:rFonts w:ascii="Arial" w:cs="Arial" w:eastAsia="Arial" w:hAnsi="Arial"/>
                <w:sz w:val="18"/>
                <w:szCs w:val="18"/>
                <w:color w:val="auto"/>
                <w:w w:val="91"/>
              </w:rPr>
              <w:t>Owned by</w:t>
            </w:r>
          </w:p>
        </w:tc>
        <w:tc>
          <w:tcPr>
            <w:tcW w:w="620" w:type="dxa"/>
            <w:vAlign w:val="bottom"/>
            <w:tcBorders>
              <w:bottom w:val="single" w:sz="8" w:color="auto"/>
            </w:tcBorders>
          </w:tcPr>
          <w:p>
            <w:pPr>
              <w:spacing w:after="0"/>
              <w:rPr>
                <w:sz w:val="9"/>
                <w:szCs w:val="9"/>
                <w:color w:val="auto"/>
              </w:rPr>
            </w:pPr>
          </w:p>
        </w:tc>
        <w:tc>
          <w:tcPr>
            <w:tcW w:w="7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620" w:type="dxa"/>
            <w:vAlign w:val="bottom"/>
            <w:vMerge w:val="restart"/>
          </w:tcPr>
          <w:p>
            <w:pPr>
              <w:jc w:val="right"/>
              <w:ind w:right="291"/>
              <w:spacing w:after="0"/>
              <w:rPr>
                <w:sz w:val="20"/>
                <w:szCs w:val="20"/>
                <w:color w:val="auto"/>
              </w:rPr>
            </w:pPr>
            <w:r>
              <w:rPr>
                <w:rFonts w:ascii="Arial" w:cs="Arial" w:eastAsia="Arial" w:hAnsi="Arial"/>
                <w:sz w:val="18"/>
                <w:szCs w:val="18"/>
                <w:color w:val="auto"/>
              </w:rPr>
              <w:t>7.</w:t>
            </w:r>
          </w:p>
        </w:tc>
        <w:tc>
          <w:tcPr>
            <w:tcW w:w="7740" w:type="dxa"/>
            <w:vAlign w:val="bottom"/>
            <w:vMerge w:val="restart"/>
          </w:tcPr>
          <w:p>
            <w:pPr>
              <w:ind w:left="3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0"/>
        </w:trPr>
        <w:tc>
          <w:tcPr>
            <w:tcW w:w="1840" w:type="dxa"/>
            <w:vAlign w:val="bottom"/>
            <w:vMerge w:val="restart"/>
          </w:tcPr>
          <w:p>
            <w:pPr>
              <w:jc w:val="center"/>
              <w:ind w:right="871"/>
              <w:spacing w:after="0"/>
              <w:rPr>
                <w:sz w:val="20"/>
                <w:szCs w:val="20"/>
                <w:color w:val="auto"/>
              </w:rPr>
            </w:pPr>
            <w:r>
              <w:rPr>
                <w:rFonts w:ascii="Arial" w:cs="Arial" w:eastAsia="Arial" w:hAnsi="Arial"/>
                <w:sz w:val="18"/>
                <w:szCs w:val="18"/>
                <w:color w:val="auto"/>
                <w:w w:val="87"/>
              </w:rPr>
              <w:t>Each</w:t>
            </w:r>
          </w:p>
        </w:tc>
        <w:tc>
          <w:tcPr>
            <w:tcW w:w="620" w:type="dxa"/>
            <w:vAlign w:val="bottom"/>
            <w:vMerge w:val="continue"/>
          </w:tcPr>
          <w:p>
            <w:pPr>
              <w:spacing w:after="0"/>
              <w:rPr>
                <w:sz w:val="13"/>
                <w:szCs w:val="13"/>
                <w:color w:val="auto"/>
              </w:rPr>
            </w:pPr>
          </w:p>
        </w:tc>
        <w:tc>
          <w:tcPr>
            <w:tcW w:w="7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8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tbl>
      <w:tblPr>
        <w:tblLayout w:type="fixed"/>
        <w:tblInd w:w="940" w:type="dxa"/>
        <w:tblCellMar>
          <w:top w:w="0" w:type="dxa"/>
          <w:left w:w="0" w:type="dxa"/>
          <w:bottom w:w="0" w:type="dxa"/>
          <w:right w:w="0" w:type="dxa"/>
        </w:tblCellMar>
      </w:tblPr>
      <w:tr>
        <w:trPr>
          <w:trHeight w:val="229"/>
        </w:trPr>
        <w:tc>
          <w:tcPr>
            <w:tcW w:w="1860" w:type="dxa"/>
            <w:vAlign w:val="bottom"/>
          </w:tcPr>
          <w:p>
            <w:pPr>
              <w:jc w:val="center"/>
              <w:ind w:right="851"/>
              <w:spacing w:after="0"/>
              <w:rPr>
                <w:sz w:val="20"/>
                <w:szCs w:val="20"/>
                <w:color w:val="auto"/>
              </w:rPr>
            </w:pPr>
            <w:r>
              <w:rPr>
                <w:rFonts w:ascii="Arial" w:cs="Arial" w:eastAsia="Arial" w:hAnsi="Arial"/>
                <w:sz w:val="18"/>
                <w:szCs w:val="18"/>
                <w:color w:val="auto"/>
                <w:w w:val="92"/>
              </w:rPr>
              <w:t>Reporting</w:t>
            </w:r>
          </w:p>
        </w:tc>
        <w:tc>
          <w:tcPr>
            <w:tcW w:w="8360" w:type="dxa"/>
            <w:vAlign w:val="bottom"/>
            <w:vMerge w:val="restart"/>
          </w:tcPr>
          <w:p>
            <w:pPr>
              <w:jc w:val="right"/>
              <w:ind w:right="719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4"/>
        </w:trPr>
        <w:tc>
          <w:tcPr>
            <w:tcW w:w="1860" w:type="dxa"/>
            <w:vAlign w:val="bottom"/>
            <w:vMerge w:val="restart"/>
          </w:tcPr>
          <w:p>
            <w:pPr>
              <w:jc w:val="center"/>
              <w:ind w:right="851"/>
              <w:spacing w:after="0"/>
              <w:rPr>
                <w:sz w:val="20"/>
                <w:szCs w:val="20"/>
                <w:color w:val="auto"/>
              </w:rPr>
            </w:pPr>
            <w:r>
              <w:rPr>
                <w:rFonts w:ascii="Arial" w:cs="Arial" w:eastAsia="Arial" w:hAnsi="Arial"/>
                <w:sz w:val="18"/>
                <w:szCs w:val="18"/>
                <w:color w:val="auto"/>
                <w:w w:val="89"/>
              </w:rPr>
              <w:t>Person With:</w:t>
            </w:r>
          </w:p>
        </w:tc>
        <w:tc>
          <w:tcPr>
            <w:tcW w:w="8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860" w:type="dxa"/>
            <w:vAlign w:val="bottom"/>
            <w:vMerge w:val="continue"/>
          </w:tcPr>
          <w:p>
            <w:pPr>
              <w:spacing w:after="0"/>
              <w:rPr>
                <w:sz w:val="4"/>
                <w:szCs w:val="4"/>
                <w:color w:val="auto"/>
              </w:rPr>
            </w:pPr>
          </w:p>
        </w:tc>
        <w:tc>
          <w:tcPr>
            <w:tcW w:w="8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860" w:type="dxa"/>
            <w:vAlign w:val="bottom"/>
            <w:vMerge w:val="continue"/>
          </w:tcPr>
          <w:p>
            <w:pPr>
              <w:spacing w:after="0"/>
              <w:rPr>
                <w:sz w:val="4"/>
                <w:szCs w:val="4"/>
                <w:color w:val="auto"/>
              </w:rPr>
            </w:pPr>
          </w:p>
        </w:tc>
        <w:tc>
          <w:tcPr>
            <w:tcW w:w="83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0" w:right="5500" w:hanging="900"/>
        <w:spacing w:after="0" w:line="357" w:lineRule="auto"/>
        <w:tabs>
          <w:tab w:leader="none" w:pos="38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Dispositive Power 4,756,478</w:t>
      </w:r>
      <w:r>
        <w:rPr>
          <w:rFonts w:ascii="Arial" w:cs="Arial" w:eastAsia="Arial" w:hAnsi="Arial"/>
          <w:sz w:val="29"/>
          <w:szCs w:val="29"/>
          <w:color w:val="auto"/>
          <w:vertAlign w:val="superscript"/>
        </w:rPr>
        <w:t>1</w:t>
      </w:r>
    </w:p>
    <w:p>
      <w:pPr>
        <w:ind w:left="1000" w:right="5400" w:hanging="904"/>
        <w:spacing w:after="0" w:line="35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4,756,478</w:t>
      </w:r>
      <w:r>
        <w:rPr>
          <w:rFonts w:ascii="Arial" w:cs="Arial" w:eastAsia="Arial" w:hAnsi="Arial"/>
          <w:sz w:val="29"/>
          <w:szCs w:val="29"/>
          <w:color w:val="auto"/>
          <w:vertAlign w:val="superscript"/>
        </w:rPr>
        <w:t>1</w:t>
      </w:r>
    </w:p>
    <w:p>
      <w:pPr>
        <w:ind w:left="1000" w:hanging="904"/>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w:t>
      </w:r>
    </w:p>
    <w:p>
      <w:pPr>
        <w:spacing w:after="0" w:line="200" w:lineRule="exact"/>
        <w:rPr>
          <w:rFonts w:ascii="Arial" w:cs="Arial" w:eastAsia="Arial" w:hAnsi="Arial"/>
          <w:sz w:val="18"/>
          <w:szCs w:val="18"/>
          <w:color w:val="auto"/>
        </w:rPr>
      </w:pPr>
    </w:p>
    <w:p>
      <w:pPr>
        <w:spacing w:after="0" w:line="341" w:lineRule="exact"/>
        <w:rPr>
          <w:rFonts w:ascii="Arial" w:cs="Arial" w:eastAsia="Arial" w:hAnsi="Arial"/>
          <w:sz w:val="18"/>
          <w:szCs w:val="18"/>
          <w:color w:val="auto"/>
        </w:rPr>
      </w:pPr>
    </w:p>
    <w:p>
      <w:pPr>
        <w:ind w:left="1000" w:hanging="904"/>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19.9%</w:t>
      </w:r>
      <w:r>
        <w:rPr>
          <w:rFonts w:ascii="Arial" w:cs="Arial" w:eastAsia="Arial" w:hAnsi="Arial"/>
          <w:sz w:val="29"/>
          <w:szCs w:val="29"/>
          <w:color w:val="auto"/>
          <w:vertAlign w:val="superscript"/>
        </w:rPr>
        <w:t>2</w:t>
      </w:r>
    </w:p>
    <w:p>
      <w:pPr>
        <w:spacing w:after="0" w:line="54" w:lineRule="exact"/>
        <w:rPr>
          <w:rFonts w:ascii="Arial" w:cs="Arial" w:eastAsia="Arial" w:hAnsi="Arial"/>
          <w:sz w:val="18"/>
          <w:szCs w:val="18"/>
          <w:color w:val="auto"/>
        </w:rPr>
      </w:pPr>
    </w:p>
    <w:p>
      <w:pPr>
        <w:ind w:left="1000" w:hanging="904"/>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6"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89" w:lineRule="exact"/>
        <w:rPr>
          <w:rFonts w:ascii="Arial" w:cs="Arial" w:eastAsia="Arial" w:hAnsi="Arial"/>
          <w:sz w:val="18"/>
          <w:szCs w:val="18"/>
          <w:color w:val="auto"/>
        </w:rPr>
      </w:pPr>
    </w:p>
    <w:p>
      <w:pPr>
        <w:jc w:val="both"/>
        <w:spacing w:after="0" w:line="254" w:lineRule="auto"/>
        <w:tabs>
          <w:tab w:leader="none" w:pos="2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described in Item 5 below, Atlas Venture Fund X, L.P., a Delaware limited partnership (“Atlas X”), Atlas Venture Associates X, L.P., a Delaware limited partnership (“AVA X LP”) and Atlas Venture Associates X, LLC, a Delaware limited liability company (“AVA X LLC” and together with Atlas X and AVA X LP, the “Reporting Persons”) beneficially own 4,756,478 shares of the Issuer’s Common Stock. All of these shares are directly held by Atlas X AVA X LP is the general partner of Atlas X and AVA X LLC is the general partner of AVA X LP. Each of AVA X LP and AVA X LLC has voting and dispositive power over the shares held by Atlas X. As such, each of the Reporting Persons share voting and dispositive power with respect to the shares held by Atlas X.</w:t>
      </w:r>
    </w:p>
    <w:p>
      <w:pPr>
        <w:spacing w:after="0" w:line="188" w:lineRule="exact"/>
        <w:rPr>
          <w:rFonts w:ascii="Arial" w:cs="Arial" w:eastAsia="Arial" w:hAnsi="Arial"/>
          <w:sz w:val="18"/>
          <w:szCs w:val="18"/>
          <w:color w:val="auto"/>
        </w:rPr>
      </w:pPr>
    </w:p>
    <w:p>
      <w:pPr>
        <w:jc w:val="both"/>
        <w:spacing w:after="0" w:line="261" w:lineRule="auto"/>
        <w:tabs>
          <w:tab w:leader="none" w:pos="2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percentage is calculated based upon 23,955,870 outstanding shares of Common Stock of the Issuer as of November 8, 2018, as reported in the Issuer’s quarterly report on Form 10-Q for the quarter ended September 30, 2018 and filed with the Securities and Exchange Commission on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-3510915</wp:posOffset>
            </wp:positionV>
            <wp:extent cx="7086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-1517650</wp:posOffset>
            </wp:positionV>
            <wp:extent cx="7086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-2003425</wp:posOffset>
            </wp:positionV>
            <wp:extent cx="70866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-2514600</wp:posOffset>
            </wp:positionV>
            <wp:extent cx="7086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-3000375</wp:posOffset>
            </wp:positionV>
            <wp:extent cx="70866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389255</wp:posOffset>
            </wp:positionV>
            <wp:extent cx="7086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763" w:right="560" w:bottom="1440" w:gutter="0" w:footer="0" w:header="0"/>
        </w:sectPr>
      </w:pPr>
    </w:p>
    <w:bookmarkStart w:id="4" w:name="page5"/>
    <w:bookmarkEnd w:id="4"/>
    <w:p>
      <w:pPr>
        <w:spacing w:after="0"/>
        <w:tabs>
          <w:tab w:leader="none" w:pos="9900" w:val="left"/>
        </w:tabs>
        <w:rPr>
          <w:sz w:val="20"/>
          <w:szCs w:val="20"/>
          <w:color w:val="auto"/>
        </w:rPr>
      </w:pPr>
      <w:r>
        <w:rPr>
          <w:rFonts w:ascii="Arial" w:cs="Arial" w:eastAsia="Arial" w:hAnsi="Arial"/>
          <w:sz w:val="18"/>
          <w:szCs w:val="18"/>
          <w:color w:val="auto"/>
        </w:rPr>
        <w:t>CUSIP No. 05455M100</w:t>
      </w:r>
      <w:r>
        <w:rPr>
          <w:sz w:val="20"/>
          <w:szCs w:val="20"/>
          <w:color w:val="auto"/>
        </w:rPr>
        <w:tab/>
      </w:r>
      <w:r>
        <w:rPr>
          <w:rFonts w:ascii="Arial" w:cs="Arial" w:eastAsia="Arial" w:hAnsi="Arial"/>
          <w:sz w:val="15"/>
          <w:szCs w:val="15"/>
          <w:color w:val="auto"/>
        </w:rPr>
        <w:t>Page 5 of 8 Pages</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1(a)</w:t>
      </w:r>
      <w:r>
        <w:rPr>
          <w:sz w:val="20"/>
          <w:szCs w:val="20"/>
          <w:color w:val="auto"/>
        </w:rPr>
        <w:tab/>
      </w:r>
      <w:r>
        <w:rPr>
          <w:rFonts w:ascii="Arial" w:cs="Arial" w:eastAsia="Arial" w:hAnsi="Arial"/>
          <w:sz w:val="16"/>
          <w:szCs w:val="16"/>
          <w:u w:val="single" w:color="auto"/>
          <w:color w:val="auto"/>
        </w:rPr>
        <w:t>Name of Issuer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AVROBIO, Inc. (the “Issuer”)</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 Building 300, Suite 201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2(a)</w:t>
      </w:r>
      <w:r>
        <w:rPr>
          <w:sz w:val="20"/>
          <w:szCs w:val="20"/>
          <w:color w:val="auto"/>
        </w:rPr>
        <w:tab/>
      </w:r>
      <w:r>
        <w:rPr>
          <w:rFonts w:ascii="Arial" w:cs="Arial" w:eastAsia="Arial" w:hAnsi="Arial"/>
          <w:sz w:val="16"/>
          <w:szCs w:val="16"/>
          <w:u w:val="single" w:color="auto"/>
          <w:color w:val="auto"/>
        </w:rPr>
        <w:t>Name of Person Filing</w:t>
      </w:r>
    </w:p>
    <w:p>
      <w:pPr>
        <w:spacing w:after="0" w:line="222"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This Schedule 13G is filed by (i) Atlas Venture Fund X, L.P., a Delaware limited partnership (“Atlas X”), (ii) Atlas Venture Associates X, L.P., a Delaware limited partnership (“AVA X LP”) and (iii) Atlas Venture Associates X, LLC, a Delaware limited liability company (“AVA X LLC” and together with Atlas X and AVA X LP, the “Reporting Persons”).</w:t>
      </w:r>
    </w:p>
    <w:p>
      <w:pPr>
        <w:spacing w:after="0" w:line="1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2(b)</w:t>
      </w:r>
      <w:r>
        <w:rPr>
          <w:sz w:val="20"/>
          <w:szCs w:val="20"/>
          <w:color w:val="auto"/>
        </w:rPr>
        <w:tab/>
      </w:r>
      <w:r>
        <w:rPr>
          <w:rFonts w:ascii="Arial" w:cs="Arial" w:eastAsia="Arial" w:hAnsi="Arial"/>
          <w:sz w:val="16"/>
          <w:szCs w:val="16"/>
          <w:u w:val="single" w:color="auto"/>
          <w:color w:val="auto"/>
        </w:rPr>
        <w:t>Address of Principal Business Office or, if none, Residence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400 Technology Square, 10th Floor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02139</w:t>
      </w:r>
    </w:p>
    <w:p>
      <w:pPr>
        <w:spacing w:after="0" w:line="20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2(c)</w:t>
      </w:r>
      <w:r>
        <w:rPr>
          <w:sz w:val="20"/>
          <w:szCs w:val="20"/>
          <w:color w:val="auto"/>
        </w:rPr>
        <w:tab/>
      </w:r>
      <w:r>
        <w:rPr>
          <w:rFonts w:ascii="Arial" w:cs="Arial" w:eastAsia="Arial" w:hAnsi="Arial"/>
          <w:sz w:val="16"/>
          <w:szCs w:val="16"/>
          <w:u w:val="single" w:color="auto"/>
          <w:color w:val="auto"/>
        </w:rPr>
        <w:t>Citizenship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Each of Atlas X and AVA X LP is a Delaware limited partnership. AVA X LLC is a Delaware limited liability company.</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2(d)</w:t>
      </w:r>
      <w:r>
        <w:rPr>
          <w:sz w:val="20"/>
          <w:szCs w:val="20"/>
          <w:color w:val="auto"/>
        </w:rPr>
        <w:tab/>
      </w:r>
      <w:r>
        <w:rPr>
          <w:rFonts w:ascii="Arial" w:cs="Arial" w:eastAsia="Arial" w:hAnsi="Arial"/>
          <w:sz w:val="16"/>
          <w:szCs w:val="16"/>
          <w:u w:val="single" w:color="auto"/>
          <w:color w:val="auto"/>
        </w:rPr>
        <w:t>Title of Class of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Common Stock, $0.0001 par value</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2(e)</w:t>
      </w:r>
      <w:r>
        <w:rPr>
          <w:sz w:val="20"/>
          <w:szCs w:val="20"/>
          <w:color w:val="auto"/>
        </w:rPr>
        <w:tab/>
      </w:r>
      <w:r>
        <w:rPr>
          <w:rFonts w:ascii="Arial" w:cs="Arial" w:eastAsia="Arial" w:hAnsi="Arial"/>
          <w:sz w:val="16"/>
          <w:szCs w:val="16"/>
          <w:u w:val="single" w:color="auto"/>
          <w:color w:val="auto"/>
        </w:rPr>
        <w:t>CUSIP Number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05455M100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2" w:lineRule="exact"/>
        <w:rPr>
          <w:sz w:val="20"/>
          <w:szCs w:val="20"/>
          <w:color w:val="auto"/>
        </w:rPr>
      </w:pPr>
    </w:p>
    <w:p>
      <w:pPr>
        <w:jc w:val="both"/>
        <w:spacing w:after="0" w:line="284" w:lineRule="auto"/>
        <w:tabs>
          <w:tab w:leader="none" w:pos="244"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Amount beneficially owned: Atlas X is the record owner of 4,756,478 shares of Common Stock. AVA X LP is the general partner of Atlas X and AVA X LLC is the general partner of AVA X LP. Each of Atlas X, AVA X LP and AVA X LLC has shared voting and dispositive power over the shares held by Atlas X. As such, each of Atlas X, AVA X LP and AVA X LLC may be deemed to beneficially own the shares held by Atlas X.</w:t>
      </w:r>
    </w:p>
    <w:p>
      <w:pPr>
        <w:spacing w:after="0" w:line="164" w:lineRule="exact"/>
        <w:rPr>
          <w:rFonts w:ascii="Arial" w:cs="Arial" w:eastAsia="Arial" w:hAnsi="Arial"/>
          <w:sz w:val="17"/>
          <w:szCs w:val="17"/>
          <w:color w:val="auto"/>
        </w:rPr>
      </w:pPr>
    </w:p>
    <w:p>
      <w:pPr>
        <w:jc w:val="both"/>
        <w:spacing w:after="0" w:line="309" w:lineRule="auto"/>
        <w:tabs>
          <w:tab w:leader="none" w:pos="253"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Percent of class: Each of the Reporting Persons may be deemed to beneficially own 19.9% of the Issuer’s outstanding Common Stock, which percentage is calculated based upon 23,955,870 outstanding shares of Common Stock of the Issuer as of November 8, 2018, as reported in the Issuer’s quarterly report on Form 10-Q for the quarter ended September 30, 2018 and filed with the Securities and Exchange Commission on November 13, 2018.</w:t>
      </w:r>
    </w:p>
    <w:p>
      <w:pPr>
        <w:spacing w:after="0" w:line="147" w:lineRule="exact"/>
        <w:rPr>
          <w:rFonts w:ascii="Arial" w:cs="Arial" w:eastAsia="Arial" w:hAnsi="Arial"/>
          <w:sz w:val="16"/>
          <w:szCs w:val="16"/>
          <w:color w:val="auto"/>
        </w:rPr>
      </w:pPr>
    </w:p>
    <w:p>
      <w:pPr>
        <w:ind w:left="240" w:hanging="240"/>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2" w:lineRule="exact"/>
        <w:rPr>
          <w:rFonts w:ascii="Arial" w:cs="Arial" w:eastAsia="Arial" w:hAnsi="Arial"/>
          <w:sz w:val="18"/>
          <w:szCs w:val="18"/>
          <w:color w:val="auto"/>
        </w:rPr>
      </w:pPr>
    </w:p>
    <w:p>
      <w:pPr>
        <w:ind w:left="540" w:hanging="218"/>
        <w:spacing w:after="0"/>
        <w:tabs>
          <w:tab w:leader="none" w:pos="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power to vote or to direct the vote: None of the Reporting Persons have the sole power to direct the vote of the Common Stock.</w:t>
      </w:r>
    </w:p>
    <w:p>
      <w:pPr>
        <w:spacing w:after="0" w:line="222" w:lineRule="exact"/>
        <w:rPr>
          <w:rFonts w:ascii="Arial" w:cs="Arial" w:eastAsia="Arial" w:hAnsi="Arial"/>
          <w:sz w:val="18"/>
          <w:szCs w:val="18"/>
          <w:color w:val="auto"/>
        </w:rPr>
      </w:pPr>
    </w:p>
    <w:p>
      <w:pPr>
        <w:ind w:left="580" w:hanging="258"/>
        <w:spacing w:after="0"/>
        <w:tabs>
          <w:tab w:leader="none" w:pos="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Shared power to vote or to direct the vote: Each Reporting Person shares power to vote or direct the vote of 4,756,478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086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763" w:right="560" w:bottom="1440" w:gutter="0" w:footer="0" w:header="0"/>
        </w:sectPr>
      </w:pPr>
    </w:p>
    <w:bookmarkStart w:id="5" w:name="page6"/>
    <w:bookmarkEnd w:id="5"/>
    <w:p>
      <w:pPr>
        <w:spacing w:after="0"/>
        <w:tabs>
          <w:tab w:leader="none" w:pos="9900" w:val="left"/>
        </w:tabs>
        <w:rPr>
          <w:sz w:val="20"/>
          <w:szCs w:val="20"/>
          <w:color w:val="auto"/>
        </w:rPr>
      </w:pPr>
      <w:r>
        <w:rPr>
          <w:rFonts w:ascii="Arial" w:cs="Arial" w:eastAsia="Arial" w:hAnsi="Arial"/>
          <w:sz w:val="18"/>
          <w:szCs w:val="18"/>
          <w:color w:val="auto"/>
        </w:rPr>
        <w:t>CUSIP No. 05455M100</w:t>
      </w:r>
      <w:r>
        <w:rPr>
          <w:sz w:val="20"/>
          <w:szCs w:val="20"/>
          <w:color w:val="auto"/>
        </w:rPr>
        <w:tab/>
      </w:r>
      <w:r>
        <w:rPr>
          <w:rFonts w:ascii="Arial" w:cs="Arial" w:eastAsia="Arial" w:hAnsi="Arial"/>
          <w:sz w:val="15"/>
          <w:szCs w:val="15"/>
          <w:color w:val="auto"/>
        </w:rPr>
        <w:t>Page 6 of 8 Pages</w:t>
      </w:r>
    </w:p>
    <w:p>
      <w:pPr>
        <w:spacing w:after="0" w:line="222" w:lineRule="exact"/>
        <w:rPr>
          <w:sz w:val="20"/>
          <w:szCs w:val="20"/>
          <w:color w:val="auto"/>
        </w:rPr>
      </w:pPr>
    </w:p>
    <w:p>
      <w:pPr>
        <w:ind w:left="320" w:firstLine="2"/>
        <w:spacing w:after="0" w:line="274" w:lineRule="auto"/>
        <w:tabs>
          <w:tab w:leader="none" w:pos="641"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None of the Reporting Persons have the sole power to dispose or to direct the disposition of the Common Stock.</w:t>
      </w:r>
    </w:p>
    <w:p>
      <w:pPr>
        <w:spacing w:after="0" w:line="171" w:lineRule="exact"/>
        <w:rPr>
          <w:rFonts w:ascii="Arial" w:cs="Arial" w:eastAsia="Arial" w:hAnsi="Arial"/>
          <w:sz w:val="18"/>
          <w:szCs w:val="18"/>
          <w:color w:val="auto"/>
        </w:rPr>
      </w:pPr>
    </w:p>
    <w:p>
      <w:pPr>
        <w:ind w:left="320" w:firstLine="2"/>
        <w:spacing w:after="0" w:line="274" w:lineRule="auto"/>
        <w:tabs>
          <w:tab w:leader="none" w:pos="6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Each Reporting Person shares power to dispose or to direct the disposition of 4,756,478 shares of Common Stock.</w:t>
      </w:r>
    </w:p>
    <w:p>
      <w:pPr>
        <w:spacing w:after="0" w:line="1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6</w:t>
      </w:r>
      <w:r>
        <w:rPr>
          <w:sz w:val="20"/>
          <w:szCs w:val="20"/>
          <w:color w:val="auto"/>
        </w:rPr>
        <w:tab/>
      </w:r>
      <w:r>
        <w:rPr>
          <w:rFonts w:ascii="Arial" w:cs="Arial" w:eastAsia="Arial" w:hAnsi="Arial"/>
          <w:sz w:val="16"/>
          <w:szCs w:val="16"/>
          <w:u w:val="single" w:color="auto"/>
          <w:color w:val="auto"/>
        </w:rPr>
        <w:t>Ownership of More than Five Percent of Another Person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9</w:t>
      </w:r>
      <w:r>
        <w:rPr>
          <w:sz w:val="20"/>
          <w:szCs w:val="20"/>
          <w:color w:val="auto"/>
        </w:rPr>
        <w:tab/>
      </w:r>
      <w:r>
        <w:rPr>
          <w:rFonts w:ascii="Arial" w:cs="Arial" w:eastAsia="Arial" w:hAnsi="Arial"/>
          <w:sz w:val="16"/>
          <w:szCs w:val="16"/>
          <w:u w:val="single" w:color="auto"/>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u w:val="single" w:color="auto"/>
          <w:color w:val="auto"/>
        </w:rPr>
        <w:t>Item 10</w:t>
      </w:r>
      <w:r>
        <w:rPr>
          <w:sz w:val="20"/>
          <w:szCs w:val="20"/>
          <w:color w:val="auto"/>
        </w:rPr>
        <w:tab/>
      </w:r>
      <w:r>
        <w:rPr>
          <w:rFonts w:ascii="Arial" w:cs="Arial" w:eastAsia="Arial" w:hAnsi="Arial"/>
          <w:sz w:val="17"/>
          <w:szCs w:val="17"/>
          <w:u w:val="single" w:color="auto"/>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70866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763" w:right="560" w:bottom="1440" w:gutter="0" w:footer="0" w:header="0"/>
        </w:sectPr>
      </w:pPr>
    </w:p>
    <w:bookmarkStart w:id="6" w:name="page7"/>
    <w:bookmarkEnd w:id="6"/>
    <w:p>
      <w:pPr>
        <w:spacing w:after="0"/>
        <w:tabs>
          <w:tab w:leader="none" w:pos="9900" w:val="left"/>
        </w:tabs>
        <w:rPr>
          <w:sz w:val="20"/>
          <w:szCs w:val="20"/>
          <w:color w:val="auto"/>
        </w:rPr>
      </w:pPr>
      <w:r>
        <w:rPr>
          <w:rFonts w:ascii="Arial" w:cs="Arial" w:eastAsia="Arial" w:hAnsi="Arial"/>
          <w:sz w:val="18"/>
          <w:szCs w:val="18"/>
          <w:color w:val="auto"/>
        </w:rPr>
        <w:t>CUSIP No. 05455M100</w:t>
      </w:r>
      <w:r>
        <w:rPr>
          <w:sz w:val="20"/>
          <w:szCs w:val="20"/>
          <w:color w:val="auto"/>
        </w:rPr>
        <w:tab/>
      </w:r>
      <w:r>
        <w:rPr>
          <w:rFonts w:ascii="Arial" w:cs="Arial" w:eastAsia="Arial" w:hAnsi="Arial"/>
          <w:sz w:val="15"/>
          <w:szCs w:val="15"/>
          <w:color w:val="auto"/>
        </w:rPr>
        <w:t>Page 7 of 8 Pages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2019.</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ATLAS VENTURE FUND X, L.P.</w:t>
      </w: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Atlas Venture Associates X, L.P., its general partner</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Atlas Venture Associates X, LLC, its general partner</w:t>
      </w:r>
    </w:p>
    <w:p>
      <w:pPr>
        <w:spacing w:after="0" w:line="208" w:lineRule="exact"/>
        <w:rPr>
          <w:sz w:val="20"/>
          <w:szCs w:val="20"/>
          <w:color w:val="auto"/>
        </w:rPr>
      </w:pPr>
    </w:p>
    <w:tbl>
      <w:tblPr>
        <w:tblLayout w:type="fixed"/>
        <w:tblInd w:w="560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9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ATLAS VENTURE ASSOCIATES X, L.P.</w:t>
      </w: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Atlas Venture Associates X, LLC, its general partner</w:t>
      </w:r>
    </w:p>
    <w:p>
      <w:pPr>
        <w:spacing w:after="0" w:line="222" w:lineRule="exact"/>
        <w:rPr>
          <w:sz w:val="20"/>
          <w:szCs w:val="20"/>
          <w:color w:val="auto"/>
        </w:rPr>
      </w:pPr>
    </w:p>
    <w:tbl>
      <w:tblPr>
        <w:tblLayout w:type="fixed"/>
        <w:tblInd w:w="560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9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ATLAS VENTURE ASSOCIATES X, LLC</w:t>
      </w:r>
    </w:p>
    <w:p>
      <w:pPr>
        <w:spacing w:after="0" w:line="226" w:lineRule="exact"/>
        <w:rPr>
          <w:sz w:val="20"/>
          <w:szCs w:val="20"/>
          <w:color w:val="auto"/>
        </w:rPr>
      </w:pPr>
    </w:p>
    <w:tbl>
      <w:tblPr>
        <w:tblLayout w:type="fixed"/>
        <w:tblInd w:w="560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6" w:lineRule="exact"/>
        <w:rPr>
          <w:sz w:val="20"/>
          <w:szCs w:val="20"/>
          <w:color w:val="auto"/>
        </w:rPr>
      </w:pPr>
    </w:p>
    <w:p>
      <w:pPr>
        <w:ind w:left="640" w:hanging="64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414020</wp:posOffset>
            </wp:positionV>
            <wp:extent cx="7086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763" w:right="56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A</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FILING AGREEMENT</w:t>
      </w:r>
    </w:p>
    <w:p>
      <w:pPr>
        <w:spacing w:after="0" w:line="222"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AVROBIO, Inc. and further agree that this agreement be included as an exhibit to such filing. Each party to the agreement expressly authorizes each other party to file on its behalf any and al amendments to such statement. Each party to this agreement agrees that this joint filing agreement may be signed in counterparts.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Joint Filing Agreement as of February 13, 2019.</w:t>
      </w: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ATLAS VENTURE FUND X, L.P.</w:t>
      </w: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Atlas Venture Associates X, L.P., its general partner</w:t>
      </w:r>
    </w:p>
    <w:p>
      <w:pPr>
        <w:spacing w:after="0" w:line="2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Atlas Venture Associates X, LLC, its general partner</w:t>
      </w:r>
    </w:p>
    <w:p>
      <w:pPr>
        <w:spacing w:after="0" w:line="208" w:lineRule="exact"/>
        <w:rPr>
          <w:sz w:val="20"/>
          <w:szCs w:val="20"/>
          <w:color w:val="auto"/>
        </w:rPr>
      </w:pPr>
    </w:p>
    <w:tbl>
      <w:tblPr>
        <w:tblLayout w:type="fixed"/>
        <w:tblInd w:w="560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9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ATLAS VENTURE ASSOCIATES X, L.P.</w:t>
      </w: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Atlas Venture Associates X, LLC, its general partner</w:t>
      </w:r>
    </w:p>
    <w:p>
      <w:pPr>
        <w:spacing w:after="0" w:line="222" w:lineRule="exact"/>
        <w:rPr>
          <w:sz w:val="20"/>
          <w:szCs w:val="20"/>
          <w:color w:val="auto"/>
        </w:rPr>
      </w:pPr>
    </w:p>
    <w:tbl>
      <w:tblPr>
        <w:tblLayout w:type="fixed"/>
        <w:tblInd w:w="5600" w:type="dxa"/>
        <w:tblCellMar>
          <w:top w:w="0" w:type="dxa"/>
          <w:left w:w="0" w:type="dxa"/>
          <w:bottom w:w="0" w:type="dxa"/>
          <w:right w:w="0" w:type="dxa"/>
        </w:tblCellMar>
      </w:tblP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Ommer Chohan</w:t>
            </w:r>
          </w:p>
        </w:tc>
      </w:tr>
      <w:tr>
        <w:trPr>
          <w:trHeight w:val="208"/>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19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ATLAS VENTURE ASSOCIATES X, LLC</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tcPr>
          <w:p>
            <w:pPr>
              <w:ind w:left="56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Ommer Chohan</w:t>
            </w:r>
          </w:p>
        </w:tc>
      </w:tr>
      <w:tr>
        <w:trPr>
          <w:trHeight w:val="208"/>
        </w:trPr>
        <w:tc>
          <w:tcPr>
            <w:tcW w:w="6380" w:type="dxa"/>
            <w:vAlign w:val="bottom"/>
          </w:tcPr>
          <w:p>
            <w:pPr>
              <w:ind w:left="560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Ommer Chohan</w:t>
            </w:r>
          </w:p>
        </w:tc>
      </w:tr>
      <w:tr>
        <w:trPr>
          <w:trHeight w:val="208"/>
        </w:trPr>
        <w:tc>
          <w:tcPr>
            <w:tcW w:w="6380" w:type="dxa"/>
            <w:vAlign w:val="bottom"/>
          </w:tcPr>
          <w:p>
            <w:pPr>
              <w:ind w:left="560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r>
        <w:trPr>
          <w:trHeight w:val="624"/>
        </w:trPr>
        <w:tc>
          <w:tcPr>
            <w:tcW w:w="63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2240" w:h="15840" w:orient="portrait"/>
      <w:cols w:equalWidth="0" w:num="1">
        <w:col w:w="11160"/>
      </w:cols>
      <w:pgMar w:left="520" w:top="759" w:right="5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3">
    <w:nsid w:val="1190CDE7"/>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66EF438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8">
    <w:nsid w:val="DED7263"/>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9">
    <w:nsid w:val="7FDCC233"/>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0">
    <w:nsid w:val="1BEFD79F"/>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13">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4">
    <w:nsid w:val="25E45D32"/>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5">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6">
    <w:nsid w:val="431BD7B7"/>
    <w:multiLevelType w:val="hybridMultilevel"/>
    <w:lvl w:ilvl="0">
      <w:lvlJc w:val="left"/>
      <w:lvlText w:val="(%1)"/>
      <w:numFmt w:val="lowerLetter"/>
      <w:start w:val="1"/>
    </w:lvl>
    <w:lvl w:ilvl="1">
      <w:lvlJc w:val="left"/>
      <w:lvlText w:val="(%2)"/>
      <w:numFmt w:val="lowerRoman"/>
      <w:start w:val="1"/>
    </w:lvl>
  </w:abstractNum>
  <w:abstractNum w:abstractNumId="17">
    <w:nsid w:val="3F2DBA31"/>
    <w:multiLevelType w:val="hybridMultilevel"/>
    <w:lvl w:ilvl="0">
      <w:lvlJc w:val="left"/>
      <w:lvlText w:val="(%1)"/>
      <w:numFmt w:val="lowerRoman"/>
      <w:start w:val="3"/>
    </w:lvl>
  </w:abstractNum>
  <w:abstractNum w:abstractNumId="18">
    <w:nsid w:val="7C83E45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2019-12-15T19:56:38Z</dcterms:created>
  <dcterms:modified xsi:type="dcterms:W3CDTF">2019-12-15T19:56:38Z</dcterms:modified>
</cp:coreProperties>
</file>