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001-38537</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81-0710585</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700" w:space="720"/>
            <w:col w:w="322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Technology Square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0"/>
        </w:trPr>
        <w:tc>
          <w:tcPr>
            <w:tcW w:w="6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6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AVRO</w:t>
            </w:r>
          </w:p>
        </w:tc>
        <w:tc>
          <w:tcPr>
            <w:tcW w:w="100" w:type="dxa"/>
            <w:vAlign w:val="bottom"/>
          </w:tcPr>
          <w:p>
            <w:pPr>
              <w:spacing w:after="0"/>
              <w:rPr>
                <w:sz w:val="20"/>
                <w:szCs w:val="20"/>
                <w:color w:val="auto"/>
              </w:rPr>
            </w:pPr>
          </w:p>
        </w:tc>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23, 2023, AVROBIO, Inc. (the “Company”) issued a press release containing information about the Company’s results of operations for the three months and year ended December 31, 2022. A copy of this press release is furnished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issued by AVROBIO, Inc., dated March 23, 2023.</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23, 2023</w:t>
      </w:r>
      <w:r>
        <w:rPr>
          <w:sz w:val="20"/>
          <w:szCs w:val="20"/>
          <w:color w:val="auto"/>
        </w:rPr>
        <w:tab/>
      </w:r>
      <w:r>
        <w:rPr>
          <w:rFonts w:ascii="Times New Roman" w:cs="Times New Roman" w:eastAsia="Times New Roman" w:hAnsi="Times New Roman"/>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Geoff MacKay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Reports Fourth Quarter and Fiscal Year 2022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Business Update</w:t>
      </w:r>
    </w:p>
    <w:p>
      <w:pPr>
        <w:spacing w:after="0" w:line="20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Following positive regulatory feedback, plan to initiate registrational global Phase 2/3 clinical trial for Gaucher disease type 3 (GD3) in second half 2023, subject to regulatory alignment</w:t>
      </w:r>
    </w:p>
    <w:p>
      <w:pPr>
        <w:spacing w:after="0" w:line="158"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i w:val="1"/>
          <w:iCs w:val="1"/>
          <w:color w:val="auto"/>
        </w:rPr>
        <w:t>Patient dosing completed in collaborator-sponsored Phase 1/2 clinical trial for cystinosis; plan to initiate late-stage clinical trial activities in second half 2023, subject to regulatory alignment; expect to provide clinical and regulatory update at the American Society of Gene &amp; Cell Therapy (ASGCT) annual meeting in May 2023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Plan to initiate collaborator-sponsored Phase 1/2 clinical trial for mucopolysaccharidosis type II (MPS-II), or Hunter syndrome, in 2023</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CAMBRIDGE, Mass., March 23, 2023 -- AVROBIO, Inc. (Nasdaq: AVRO), a leading clinical-stage gene therapy company working to free people from a lifetime of genetic disease, today reported financial results for the fourth quarter and year ended Dec. 31, 2022 and provided a business update.</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“2022 was a transformative year for AVROBIO, topped in December with a robust clinical and regulatory update for our Gaucher disease program. Gaucher disease is one of the most common lysosomal disorders, and the data presented highlighted the potential systemic impact of hematopoietic stem cell (HSC) gene therapy, including data suggesting certain improvements in some significant refractory elements of disease, for people living with Gaucher disease type 1 (GD1) and Gaucher disease type 3 (GD3),” said Geoff MacKay, president and CEO of AVROBIO. “Additionally, we’re excited the collaborator-sponsored Phase 1/2 clinical trial for cystinosis has completed dosing and that data to date show the potential of the HSC gene therapy approach to stabilize or reduce the impact of cystinosis on different tissues throughout the body with a one-time dose. In 2023, we have already started and look forward to continuing to advance our Gaucher disease and cystinosis programs through anticipated near-term milestones.”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w:t>
      </w:r>
    </w:p>
    <w:p>
      <w:pPr>
        <w:spacing w:after="0" w:line="219" w:lineRule="exact"/>
        <w:rPr>
          <w:sz w:val="20"/>
          <w:szCs w:val="20"/>
          <w:color w:val="auto"/>
        </w:rPr>
      </w:pPr>
    </w:p>
    <w:p>
      <w:pPr>
        <w:ind w:right="160"/>
        <w:spacing w:after="0" w:line="204" w:lineRule="auto"/>
        <w:rPr>
          <w:sz w:val="20"/>
          <w:szCs w:val="20"/>
          <w:color w:val="auto"/>
        </w:rPr>
      </w:pPr>
      <w:r>
        <w:rPr>
          <w:rFonts w:ascii="Times New Roman" w:cs="Times New Roman" w:eastAsia="Times New Roman" w:hAnsi="Times New Roman"/>
          <w:sz w:val="18"/>
          <w:szCs w:val="18"/>
          <w:u w:val="single" w:color="auto"/>
          <w:color w:val="auto"/>
        </w:rPr>
        <w:t>Presented new and encore clinical and preclinical data for AVROBIO’s lysosomal disorder pipeline at the 19</w:t>
      </w:r>
      <w:r>
        <w:rPr>
          <w:rFonts w:ascii="Times New Roman" w:cs="Times New Roman" w:eastAsia="Times New Roman" w:hAnsi="Times New Roman"/>
          <w:sz w:val="29"/>
          <w:szCs w:val="29"/>
          <w:u w:val="single" w:color="auto"/>
          <w:color w:val="auto"/>
          <w:vertAlign w:val="superscript"/>
        </w:rPr>
        <w:t>th</w:t>
      </w:r>
      <w:r>
        <w:rPr>
          <w:rFonts w:ascii="Times New Roman" w:cs="Times New Roman" w:eastAsia="Times New Roman" w:hAnsi="Times New Roman"/>
          <w:sz w:val="18"/>
          <w:szCs w:val="18"/>
          <w:u w:val="single" w:color="auto"/>
          <w:color w:val="auto"/>
        </w:rPr>
        <w:t xml:space="preserve"> annual WORLD</w:t>
      </w:r>
      <w:r>
        <w:rPr>
          <w:rFonts w:ascii="Times New Roman" w:cs="Times New Roman" w:eastAsia="Times New Roman" w:hAnsi="Times New Roman"/>
          <w:sz w:val="18"/>
          <w:szCs w:val="18"/>
          <w:i w:val="1"/>
          <w:iCs w:val="1"/>
          <w:u w:val="single" w:color="auto"/>
          <w:color w:val="auto"/>
        </w:rPr>
        <w:t>Symposium</w:t>
      </w:r>
      <w:r>
        <w:rPr>
          <w:rFonts w:ascii="Times New Roman" w:cs="Times New Roman" w:eastAsia="Times New Roman" w:hAnsi="Times New Roman"/>
          <w:sz w:val="18"/>
          <w:szCs w:val="18"/>
          <w:u w:val="single" w:color="auto"/>
          <w:color w:val="auto"/>
        </w:rPr>
        <w:t>™, Feb. 22-26, 2023:</w:t>
      </w:r>
    </w:p>
    <w:p>
      <w:pPr>
        <w:spacing w:after="0" w:line="196" w:lineRule="exact"/>
        <w:rPr>
          <w:sz w:val="20"/>
          <w:szCs w:val="20"/>
          <w:color w:val="auto"/>
        </w:rPr>
      </w:pPr>
    </w:p>
    <w:p>
      <w:pPr>
        <w:ind w:left="340" w:right="80" w:hanging="332"/>
        <w:spacing w:after="0" w:line="25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Sustained improvement of clinical CNS and somatic features of GD3 after HSC gene therapy: A first-in-world report</w:t>
      </w:r>
      <w:r>
        <w:rPr>
          <w:rFonts w:ascii="Times New Roman" w:cs="Times New Roman" w:eastAsia="Times New Roman" w:hAnsi="Times New Roman"/>
          <w:sz w:val="18"/>
          <w:szCs w:val="18"/>
          <w:color w:val="auto"/>
        </w:rPr>
        <w:t>” -- Clinical data from the first pediatric GD3 patient, dosed with investigational AVR-RD-02, was presented by one of the patient’s physicians from the University of Manchester (UoM), U.K. GD3 is a more severe, progressive form of Gaucher disease than GD1, the first indication that was dosed with AVR-RD-02. These data were initially presented during AVROBIO’s Dec. 7, 2022, Gaucher disease program update, and included some new data, including longer time points for peripheral blood glucocerebrosidase, chitotriosidase and albumin levels, all trending consistently with previously presented data. The 11-year-old GD3 patient was dosed at UoM on a named patient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ind w:left="340" w:right="100" w:hanging="332"/>
        <w:spacing w:after="0" w:line="273"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Guard1 clinical trial – A first in-human, Phase 1/2 study evaluating AVR-RD-02, an HSC gene therapy for Gaucher disease: Preliminary safety,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pharmacodynamic and clinical efficacy results from the subjects observed for up to 24 months post-infusion</w:t>
      </w:r>
      <w:r>
        <w:rPr>
          <w:rFonts w:ascii="Times New Roman" w:cs="Times New Roman" w:eastAsia="Times New Roman" w:hAnsi="Times New Roman"/>
          <w:sz w:val="17"/>
          <w:szCs w:val="17"/>
          <w:color w:val="auto"/>
        </w:rPr>
        <w:t>” -- AVROBIO presented safety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efficacy data of AVR-RD-02, AVROBIO’s investigational gene therapy for GD1, which were previously shared by the company on Dec. 7, 2022.</w:t>
      </w:r>
    </w:p>
    <w:p>
      <w:pPr>
        <w:spacing w:after="0" w:line="1" w:lineRule="exact"/>
        <w:rPr>
          <w:rFonts w:ascii="Times New Roman" w:cs="Times New Roman" w:eastAsia="Times New Roman" w:hAnsi="Times New Roman"/>
          <w:sz w:val="17"/>
          <w:szCs w:val="17"/>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Phase 1/2 clinical trial of autologous hematopoietic stem and progenitor cell (HSPC) gene therapy for cystinosis</w:t>
      </w:r>
      <w:r>
        <w:rPr>
          <w:rFonts w:ascii="Times New Roman" w:cs="Times New Roman" w:eastAsia="Times New Roman" w:hAnsi="Times New Roman"/>
          <w:sz w:val="18"/>
          <w:szCs w:val="18"/>
          <w:color w:val="auto"/>
        </w:rPr>
        <w:t>” -- Collaborators at the University of California, San Diego, presented some updated data on the six patients dosed in the fully enrolled Phase 1/2 clinical trial since the last data update at ASGCT 2022, including additional vector copy number (VCN) data, as well as longer time points for leukocyte cystine levels and skin and GI mucosa cystine crystal data, for some patients. As of the most recent safety data cut-off date of Jan. 9, 2023, all clinical and safety data updates are trending consistently with the prior reported data.</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See ASGCT 2022 data press release here.</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Validation of a GMP stem cell gene therapy manufacturing process for mucopolysaccharidosis type II (MPS II) in preparation for an approved Phase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1/2 clinical trial</w:t>
      </w:r>
      <w:r>
        <w:rPr>
          <w:rFonts w:ascii="Times New Roman" w:cs="Times New Roman" w:eastAsia="Times New Roman" w:hAnsi="Times New Roman"/>
          <w:sz w:val="18"/>
          <w:szCs w:val="18"/>
          <w:color w:val="auto"/>
        </w:rPr>
        <w:t>” -- Collaborators at UoM highlighted data validating their manufacturing process in preparation for a Phase 1/2 clinical trial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Hunter syndrome anticipated to start later this year.</w:t>
      </w:r>
    </w:p>
    <w:p>
      <w:pPr>
        <w:spacing w:after="0" w:line="1"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Validation of an assay to measure iduronate-2-sulfatase activity in cerebrospinal fluid to assess the efficacy of an HSC gene therapy</w:t>
      </w:r>
      <w:r>
        <w:rPr>
          <w:rFonts w:ascii="Times New Roman" w:cs="Times New Roman" w:eastAsia="Times New Roman" w:hAnsi="Times New Roman"/>
          <w:sz w:val="18"/>
          <w:szCs w:val="18"/>
          <w:color w:val="auto"/>
        </w:rPr>
        <w:t>” -- Collaborators at UoM shared a poster with new data validating their assay to measure changes in Iduronate-2-sulphatase (IDS) enzyme activity in the cerebrospinal fluid (CSF) in MPS-II, or Hunter syndrome, to be used in the Phase 1/2 clinical trial evaluating HSC gene therapy. Data also demonstrated repeatability and reproducibility of the assay.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Using IVIM/SAGA as screening tools during lentiviral vector lead selection for detection of clinically translatable insertional transformational risk</w:t>
      </w:r>
      <w:r>
        <w:rPr>
          <w:rFonts w:ascii="Times New Roman" w:cs="Times New Roman" w:eastAsia="Times New Roman" w:hAnsi="Times New Roman"/>
          <w:sz w:val="18"/>
          <w:szCs w:val="18"/>
          <w:color w:val="auto"/>
        </w:rPr>
        <w:t>” - - AVROBIO shared a poster reporting favorable data on the combined use of two state-of-the-art assays to evaluate the genotoxicity risk of integrating vectors used in HSC gene therapy prior to clinical use.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Announced new positive clinical data and outlined clinical development plan for AVR-RD-02 in Gaucher disease on Dec. 7, 2022:</w:t>
      </w:r>
    </w:p>
    <w:p>
      <w:pPr>
        <w:spacing w:after="0" w:line="225" w:lineRule="exact"/>
        <w:rPr>
          <w:sz w:val="20"/>
          <w:szCs w:val="20"/>
          <w:color w:val="auto"/>
        </w:rPr>
      </w:pPr>
    </w:p>
    <w:p>
      <w:pPr>
        <w:ind w:left="340" w:right="880" w:hanging="332"/>
        <w:spacing w:after="0" w:line="276" w:lineRule="auto"/>
        <w:tabs>
          <w:tab w:leader="none" w:pos="3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compelling data from first-ever pediatric GD3 patient showing biochemical correction with lymphadenopathy and enteropathy improvements and neurological stabilization, indicating improvement in major refractory elements of disease 15 months post gene therapy.</w:t>
      </w:r>
    </w:p>
    <w:p>
      <w:pPr>
        <w:ind w:left="340" w:right="1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Guard1 clinical trial for GD1, data from first adult patients out more than 26 weeks post gene therapy included clinically significant reductions below baseline enzyme replacement therapy (ERT) levels in liver and spleen volume.</w:t>
      </w:r>
    </w:p>
    <w:p>
      <w:pPr>
        <w:ind w:left="340" w:right="88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data to date from GD1 and GD3 patients indicate no adverse events (AEs) related to drug product. All AEs observed were related to myeloablative conditioning, stem cell mobilization, underlying disease or pre-existing conditions.</w:t>
      </w:r>
    </w:p>
    <w:p>
      <w:pPr>
        <w:ind w:left="340" w:right="6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positive feedback from the U.S. Food and Drug Administration (FDA) and U.K. Medicines and Healthcare products Regulatory Agency (MHRA), a registrational, global Phase 2/3 clinical trial for GD3, now referred to as Guard3, is planned for the second half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regulatory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ind w:left="340" w:right="5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major chemistry, manufacturing and controls (CMC) changes are anticipated for AVROBIO’s plato® gene therapy platform as the company prepares to enter a registrational trial for GD3.</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full press release here</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Approval received from MHRA, Research Ethics Committee (REC) and Health Research Authority (HRA) for the clinical trial application (CTA) submitted by AVROBIO’s collaborators at UoM for initiation of the Phase 1/2 clinical trial of investigational HSC gene therapy for infants diagnosed with MPS-II or Hunter syndrome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Designations Obtained in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Investigational AVR-RD-02 for Gaucher disease</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Rare Pediatric Disease Designation (RPDD) by FDA</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an Innovation Passport by MHRA under the Innovative Licensing and Access Pathway (ILAP)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Investigational AVR-RD-04 for cystinosis</w:t>
      </w:r>
    </w:p>
    <w:p>
      <w:pPr>
        <w:spacing w:after="0" w:line="225" w:lineRule="exact"/>
        <w:rPr>
          <w:sz w:val="20"/>
          <w:szCs w:val="20"/>
          <w:color w:val="auto"/>
        </w:rPr>
      </w:pPr>
    </w:p>
    <w:p>
      <w:pPr>
        <w:ind w:right="8760" w:firstLine="8"/>
        <w:spacing w:after="0" w:line="530" w:lineRule="auto"/>
        <w:tabs>
          <w:tab w:leader="none" w:pos="3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Granted RPDD by FDA </w:t>
      </w:r>
      <w:r>
        <w:rPr>
          <w:rFonts w:ascii="Times New Roman" w:cs="Times New Roman" w:eastAsia="Times New Roman" w:hAnsi="Times New Roman"/>
          <w:sz w:val="17"/>
          <w:szCs w:val="17"/>
          <w:u w:val="single" w:color="auto"/>
          <w:color w:val="auto"/>
        </w:rPr>
        <w:t>AVR-RD-05 for Hunter syndrome</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Orphan Drug Designation by FDA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Milestones Over Next 12 Months</w:t>
      </w:r>
    </w:p>
    <w:p>
      <w:pPr>
        <w:spacing w:after="0" w:line="227" w:lineRule="exact"/>
        <w:rPr>
          <w:sz w:val="20"/>
          <w:szCs w:val="20"/>
          <w:color w:val="auto"/>
        </w:rPr>
      </w:pPr>
    </w:p>
    <w:p>
      <w:pPr>
        <w:ind w:left="340" w:right="640" w:hanging="332"/>
        <w:spacing w:after="0" w:line="26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AVR-RD-02 for Gaucher disease:</w:t>
      </w:r>
      <w:r>
        <w:rPr>
          <w:rFonts w:ascii="Times New Roman" w:cs="Times New Roman" w:eastAsia="Times New Roman" w:hAnsi="Times New Roman"/>
          <w:sz w:val="18"/>
          <w:szCs w:val="18"/>
          <w:color w:val="auto"/>
        </w:rPr>
        <w:t xml:space="preserve"> Plan to initiate Guard3, a global registrational Phase 2/3 trial for GD3, in the second half of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regulatory alignment</w:t>
      </w:r>
    </w:p>
    <w:p>
      <w:pPr>
        <w:ind w:left="340" w:right="52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AVR-RD-04 for cystinosis:</w:t>
      </w:r>
      <w:r>
        <w:rPr>
          <w:rFonts w:ascii="Times New Roman" w:cs="Times New Roman" w:eastAsia="Times New Roman" w:hAnsi="Times New Roman"/>
          <w:sz w:val="18"/>
          <w:szCs w:val="18"/>
          <w:color w:val="auto"/>
        </w:rPr>
        <w:t xml:space="preserve"> Plan to provide clinical and regulatory update on collaborator-sponsored Phase 1/2 trial at ASGCT in May 2023 and initiate activities for Phase 1/2 clinical trial designed to be registration-enabling in the second half of 2023, subject to regulatory alignment</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AVR-RD-05 for Hunter syndrome:</w:t>
      </w:r>
      <w:r>
        <w:rPr>
          <w:rFonts w:ascii="Times New Roman" w:cs="Times New Roman" w:eastAsia="Times New Roman" w:hAnsi="Times New Roman"/>
          <w:sz w:val="18"/>
          <w:szCs w:val="18"/>
          <w:color w:val="auto"/>
        </w:rPr>
        <w:t xml:space="preserve"> Plan to initiate collaborator-sponsored Phase 1/2 trial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Year End 2022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AVROBIO reported a net loss of $25.0 million for the fourth quarter of 2022, and a net loss of $105.9 million for the year ended 2022, as compared to a net loss of $28.2 million and a net loss of $119.1 million for the comparable periods in 2021, respectively.</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$18.1 million for the fourth quarter of 2022, and $72.2 million for the year ended 2022, as compared to $19.0 million and $83.1 million for the comparable periods in 2021, respectively. This decrease was driven by a reduction in program development expenses and personnel-related costs, including non-cash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ind w:right="4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$7.1 million for the fourth quarter of 2022, and $33.2 million for the year ended 2022, as compared to $9.0 million and $35.7 million for the comparable periods in 2021, respectively. This decrease was attributable to a decrease in personnel-related costs, including non-cash stock-based compensation, and a decrease in other expenses, primarily related to professional fees.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income (expense), net was $0.2 million for the fourth quarter of 2022 and ($0.5) million for the year ended 2022, as compared to ($0.3) million and ($0.3) million for the comparable periods in 2021, respectively. This increase in expense for the year is due to interest expense related to our term loan which was partially offset by an increase in interest income.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 31, 2022, AVROBIO had $92.6 million in cash and cash equivalents, as compared to $189.6 million in cash and cash equivalents as of Dec. 31, 2021. Based on AVROBIO’s current operating plan, AVROBIO expects its cash and cash equivalents as of Dec. 31, 2022, will enable AVROBIO to fund its operating expenses and capital expenditure requirements into the first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vision is to bring personalized gene therapy to the world. We target the root cause of genetic disease by introducing a functional copy of the affected gene into patients’ own hematopoietic stem cells (HSCs), with the goal of durably expressing the therapeutic protein throughout the body, including the central nervous system. Our first-in-class pipeline includes clinical programs for Gaucher disease and cystinosis, as well as preclinical programs for Hunter syndrome and Pompe disease. Our proprietary plato® gene therapy platform is scalable for planned global commercialization. We are headquartered in Cambridge, Mass. For additional information, visit avrobio.com, and follow us on Twitter and LinkedIn.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forward-looking terminology such as “aims,” “anticipates,” “believes,” “continue,” “could,” “designed to,” “estimates,” “expects,” “forecasts,” “goal,” “intends,” “may,” “plans,” “possible,” “potential,” “predicts,” “projects,” “seeks,” “strives,” “should,” “will,” and similar expressions or the negative of these terms. These forward-looking statements include, without limitation, statements regarding our business strategy for and the potential therapeutic benefits of our current and prospective preclinical and clinical product candidates, the expected safety profile of our investigational gene therapies, results of preclinical studies, the design, commencement, enrollment and timing of ongoing or planned clinical trials, preclinical, compassionate use or clinical trial results, product approvals and regulatory pathways, the timing of patient recruitment and enrollment activities, our expectations with respect to our plans with collaborators, our plans and expectations with respect to interactions with regulatory agencies and the timing and likelihood of success thereof, the expected benefits and results of our implementation of the plato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in our clinical trials and gene therapy programs and its potential impact on our manufacturing and commercialization activities, and statements regarding our financial and cash position and expected cash runway, including impact on anticipated milestones.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line="238"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we may be unable to realize the potential benefits associated with rare pediatric disease designation, the Innovative Licensing and Access Pathway, or any other regulatory strategy, the risk that the size and growth potential of the market for our product candidates will not materialize as expected, risks associated with our dependence on third-party suppliers and manufacturers, including sole source suppliers, risks regarding the accuracy of our estimates of expenses and future revenue, risks relating to our capital requirements and needs for additional financing, including our ability to continue as a going concern, risks relating to our identification and pursuit of any strategic opportunities with respect to one or more of our programs, our technology or our plato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 Rodophele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617-999-9620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103,949</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203,837</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169,476</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103,949</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203,837</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Pr>
          <w:p>
            <w:pPr>
              <w:spacing w:after="0"/>
              <w:rPr>
                <w:sz w:val="20"/>
                <w:szCs w:val="20"/>
                <w:color w:val="auto"/>
              </w:rPr>
            </w:pPr>
          </w:p>
        </w:tc>
        <w:tc>
          <w:tcPr>
            <w:tcW w:w="23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72,186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83,114</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8,962</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33,248</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35,727</w:t>
            </w: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105,434</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118,841</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(25,257)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(27,962)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(105,434)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(118,841)</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r>
      <w:tr>
        <w:trPr>
          <w:trHeight w:val="257"/>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42,854</w:t>
            </w:r>
          </w:p>
        </w:tc>
        <w:tc>
          <w:tcPr>
            <w:tcW w:w="100" w:type="dxa"/>
            <w:vAlign w:val="bottom"/>
            <w:shd w:val="clear" w:color="auto" w:fill="CCEEFF"/>
          </w:tcPr>
          <w:p>
            <w:pPr>
              <w:spacing w:after="0"/>
              <w:rPr>
                <w:sz w:val="18"/>
                <w:szCs w:val="18"/>
                <w:color w:val="auto"/>
              </w:rPr>
            </w:pPr>
          </w:p>
        </w:tc>
      </w:tr>
      <w:tr>
        <w:trPr>
          <w:trHeight w:val="534"/>
        </w:trPr>
        <w:tc>
          <w:tcPr>
            <w:tcW w:w="5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2023-03-23T06:55:03Z</dcterms:created>
  <dcterms:modified xsi:type="dcterms:W3CDTF">2023-03-23T06:55:03Z</dcterms:modified>
</cp:coreProperties>
</file>