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278130</wp:posOffset>
            </wp:positionH>
            <wp:positionV relativeFrom="page">
              <wp:posOffset>115570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278130</wp:posOffset>
            </wp:positionH>
            <wp:positionV relativeFrom="page">
              <wp:posOffset>158115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1" w:lineRule="exact"/>
        <w:rPr>
          <w:sz w:val="24"/>
          <w:szCs w:val="24"/>
          <w:color w:val="auto"/>
        </w:rPr>
      </w:pPr>
    </w:p>
    <w:p>
      <w:pPr>
        <w:jc w:val="center"/>
        <w:ind w:right="-11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11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2759075</wp:posOffset>
            </wp:positionH>
            <wp:positionV relativeFrom="paragraph">
              <wp:posOffset>227330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26" w:lineRule="exact"/>
        <w:rPr>
          <w:sz w:val="24"/>
          <w:szCs w:val="24"/>
          <w:color w:val="auto"/>
        </w:rPr>
      </w:pPr>
    </w:p>
    <w:p>
      <w:pPr>
        <w:jc w:val="center"/>
        <w:ind w:right="-119"/>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2759075</wp:posOffset>
            </wp:positionH>
            <wp:positionV relativeFrom="paragraph">
              <wp:posOffset>247015</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71"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Pursuant to Section 13 or 15(d)</w:t>
      </w:r>
    </w:p>
    <w:p>
      <w:pPr>
        <w:jc w:val="center"/>
        <w:ind w:right="-119"/>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182"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Date of Report (Date of earliest event reported): January 17, 2019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2759075</wp:posOffset>
            </wp:positionH>
            <wp:positionV relativeFrom="paragraph">
              <wp:posOffset>233680</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35" w:lineRule="exact"/>
        <w:rPr>
          <w:sz w:val="24"/>
          <w:szCs w:val="24"/>
          <w:color w:val="auto"/>
        </w:rPr>
      </w:pPr>
    </w:p>
    <w:p>
      <w:pPr>
        <w:jc w:val="center"/>
        <w:ind w:right="-119"/>
        <w:spacing w:after="0"/>
        <w:rPr>
          <w:sz w:val="20"/>
          <w:szCs w:val="20"/>
          <w:color w:val="auto"/>
        </w:rPr>
      </w:pPr>
      <w:r>
        <w:rPr>
          <w:rFonts w:ascii="Arial" w:cs="Arial" w:eastAsia="Arial" w:hAnsi="Arial"/>
          <w:sz w:val="43"/>
          <w:szCs w:val="43"/>
          <w:b w:val="1"/>
          <w:bCs w:val="1"/>
          <w:color w:val="auto"/>
        </w:rPr>
        <w:t>AVROBIO, INC.</w:t>
      </w:r>
    </w:p>
    <w:p>
      <w:pPr>
        <w:spacing w:after="0" w:line="50"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2759075</wp:posOffset>
            </wp:positionH>
            <wp:positionV relativeFrom="paragraph">
              <wp:posOffset>236220</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ectPr>
          <w:pgSz w:w="11900" w:h="16838" w:orient="portrait"/>
          <w:cols w:equalWidth="0" w:num="1">
            <w:col w:w="10900"/>
          </w:cols>
          <w:pgMar w:left="440" w:top="288" w:right="559"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37" w:lineRule="exact"/>
        <w:rPr>
          <w:sz w:val="24"/>
          <w:szCs w:val="24"/>
          <w:color w:val="auto"/>
        </w:rPr>
      </w:pPr>
    </w:p>
    <w:p>
      <w:pPr>
        <w:ind w:left="1500"/>
        <w:spacing w:after="0"/>
        <w:rPr>
          <w:sz w:val="20"/>
          <w:szCs w:val="20"/>
          <w:color w:val="auto"/>
        </w:rPr>
      </w:pPr>
      <w:r>
        <w:rPr>
          <w:rFonts w:ascii="Arial" w:cs="Arial" w:eastAsia="Arial" w:hAnsi="Arial"/>
          <w:sz w:val="16"/>
          <w:szCs w:val="16"/>
          <w:b w:val="1"/>
          <w:bCs w:val="1"/>
          <w:color w:val="auto"/>
        </w:rPr>
        <w:t>Delaware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p>
      <w:pPr>
        <w:jc w:val="center"/>
        <w:ind w:right="2080"/>
        <w:spacing w:after="0"/>
        <w:rPr>
          <w:sz w:val="20"/>
          <w:szCs w:val="20"/>
          <w:color w:val="auto"/>
        </w:rPr>
      </w:pPr>
      <w:r>
        <w:rPr>
          <w:rFonts w:ascii="Arial" w:cs="Arial" w:eastAsia="Arial" w:hAnsi="Arial"/>
          <w:sz w:val="16"/>
          <w:szCs w:val="16"/>
          <w:b w:val="1"/>
          <w:bCs w:val="1"/>
          <w:color w:val="auto"/>
        </w:rPr>
        <w:t>001-38537</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81-0710585</w:t>
      </w:r>
    </w:p>
    <w:p>
      <w:pPr>
        <w:spacing w:after="0" w:line="31" w:lineRule="exact"/>
        <w:rPr>
          <w:sz w:val="24"/>
          <w:szCs w:val="24"/>
          <w:color w:val="auto"/>
        </w:rPr>
      </w:pPr>
    </w:p>
    <w:p>
      <w:pPr>
        <w:sectPr>
          <w:pgSz w:w="11900" w:h="16838" w:orient="portrait"/>
          <w:cols w:equalWidth="0" w:num="3">
            <w:col w:w="4520" w:space="720"/>
            <w:col w:w="2860" w:space="720"/>
            <w:col w:w="2080"/>
          </w:cols>
          <w:pgMar w:left="440" w:top="288" w:right="559" w:bottom="1440" w:gutter="0" w:footer="0" w:header="0"/>
          <w:type w:val="continuous"/>
        </w:sectPr>
      </w:pPr>
    </w:p>
    <w:p>
      <w:pPr>
        <w:spacing w:after="0" w:line="12" w:lineRule="exact"/>
        <w:rPr>
          <w:sz w:val="24"/>
          <w:szCs w:val="24"/>
          <w:color w:val="auto"/>
        </w:rPr>
      </w:pPr>
    </w:p>
    <w:p>
      <w:pPr>
        <w:jc w:val="center"/>
        <w:ind w:right="760"/>
        <w:spacing w:after="0"/>
        <w:rPr>
          <w:sz w:val="20"/>
          <w:szCs w:val="20"/>
          <w:color w:val="auto"/>
        </w:rPr>
      </w:pPr>
      <w:r>
        <w:rPr>
          <w:rFonts w:ascii="Arial" w:cs="Arial" w:eastAsia="Arial" w:hAnsi="Arial"/>
          <w:sz w:val="13"/>
          <w:szCs w:val="13"/>
          <w:b w:val="1"/>
          <w:bCs w:val="1"/>
          <w:color w:val="auto"/>
        </w:rPr>
        <w:t>(State or other jurisdiction</w:t>
      </w:r>
    </w:p>
    <w:p>
      <w:pPr>
        <w:jc w:val="center"/>
        <w:ind w:right="760"/>
        <w:spacing w:after="0"/>
        <w:rPr>
          <w:sz w:val="20"/>
          <w:szCs w:val="20"/>
          <w:color w:val="auto"/>
        </w:rPr>
      </w:pPr>
      <w:r>
        <w:rPr>
          <w:rFonts w:ascii="Arial" w:cs="Arial" w:eastAsia="Arial" w:hAnsi="Arial"/>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ind w:left="20"/>
        <w:spacing w:after="0"/>
        <w:rPr>
          <w:sz w:val="20"/>
          <w:szCs w:val="20"/>
          <w:color w:val="auto"/>
        </w:rPr>
      </w:pPr>
      <w:r>
        <w:rPr>
          <w:rFonts w:ascii="Arial" w:cs="Arial" w:eastAsia="Arial" w:hAnsi="Arial"/>
          <w:sz w:val="12"/>
          <w:szCs w:val="12"/>
          <w:b w:val="1"/>
          <w:bCs w:val="1"/>
          <w:color w:val="auto"/>
        </w:rPr>
        <w:t>(Commission</w:t>
      </w:r>
    </w:p>
    <w:p>
      <w:pPr>
        <w:spacing w:after="0" w:line="4" w:lineRule="exact"/>
        <w:rPr>
          <w:sz w:val="24"/>
          <w:szCs w:val="24"/>
          <w:color w:val="auto"/>
        </w:rPr>
      </w:pPr>
    </w:p>
    <w:p>
      <w:pPr>
        <w:spacing w:after="0"/>
        <w:rPr>
          <w:sz w:val="20"/>
          <w:szCs w:val="20"/>
          <w:color w:val="auto"/>
        </w:rPr>
      </w:pPr>
      <w:r>
        <w:rPr>
          <w:rFonts w:ascii="Arial" w:cs="Arial" w:eastAsia="Arial" w:hAnsi="Arial"/>
          <w:sz w:val="13"/>
          <w:szCs w:val="13"/>
          <w:b w:val="1"/>
          <w:bCs w:val="1"/>
          <w:color w:val="auto"/>
        </w:rPr>
        <w:t>File Number)</w:t>
      </w:r>
    </w:p>
    <w:p>
      <w:pPr>
        <w:spacing w:after="0" w:line="20" w:lineRule="exact"/>
        <w:rPr>
          <w:sz w:val="24"/>
          <w:szCs w:val="24"/>
          <w:color w:val="auto"/>
        </w:rPr>
      </w:pPr>
      <w:r>
        <w:rPr>
          <w:sz w:val="24"/>
          <w:szCs w:val="24"/>
          <w:color w:val="auto"/>
        </w:rPr>
        <w:br w:type="column"/>
      </w:r>
    </w:p>
    <w:p>
      <w:pPr>
        <w:ind w:left="60"/>
        <w:spacing w:after="0"/>
        <w:rPr>
          <w:sz w:val="20"/>
          <w:szCs w:val="20"/>
          <w:color w:val="auto"/>
        </w:rPr>
      </w:pPr>
      <w:r>
        <w:rPr>
          <w:rFonts w:ascii="Arial" w:cs="Arial" w:eastAsia="Arial" w:hAnsi="Arial"/>
          <w:sz w:val="14"/>
          <w:szCs w:val="14"/>
          <w:b w:val="1"/>
          <w:bCs w:val="1"/>
          <w:color w:val="auto"/>
        </w:rPr>
        <w:t>(I.R.S. Employer</w:t>
      </w:r>
    </w:p>
    <w:p>
      <w:pPr>
        <w:spacing w:after="0"/>
        <w:rPr>
          <w:sz w:val="20"/>
          <w:szCs w:val="20"/>
          <w:color w:val="auto"/>
        </w:rPr>
      </w:pPr>
      <w:r>
        <w:rPr>
          <w:rFonts w:ascii="Arial" w:cs="Arial" w:eastAsia="Arial" w:hAnsi="Arial"/>
          <w:sz w:val="13"/>
          <w:szCs w:val="13"/>
          <w:b w:val="1"/>
          <w:bCs w:val="1"/>
          <w:color w:val="auto"/>
        </w:rPr>
        <w:t>Identification No.)</w:t>
      </w:r>
    </w:p>
    <w:p>
      <w:pPr>
        <w:spacing w:after="0" w:line="211" w:lineRule="exact"/>
        <w:rPr>
          <w:sz w:val="24"/>
          <w:szCs w:val="24"/>
          <w:color w:val="auto"/>
        </w:rPr>
      </w:pPr>
    </w:p>
    <w:p>
      <w:pPr>
        <w:sectPr>
          <w:pgSz w:w="11900" w:h="16838" w:orient="portrait"/>
          <w:cols w:equalWidth="0" w:num="3">
            <w:col w:w="4480" w:space="720"/>
            <w:col w:w="2760" w:space="720"/>
            <w:col w:w="2220"/>
          </w:cols>
          <w:pgMar w:left="440" w:top="288" w:right="559" w:bottom="1440" w:gutter="0" w:footer="0" w:header="0"/>
          <w:type w:val="continuous"/>
        </w:sectPr>
      </w:pPr>
    </w:p>
    <w:p>
      <w:pPr>
        <w:spacing w:after="0" w:line="5"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One Kendall Square</w:t>
      </w:r>
    </w:p>
    <w:p>
      <w:pPr>
        <w:spacing w:after="0" w:line="27"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Building 300, Suite 201</w:t>
      </w:r>
    </w:p>
    <w:p>
      <w:pPr>
        <w:spacing w:after="0" w:line="9"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Cambridge, MA 02139</w:t>
      </w:r>
    </w:p>
    <w:p>
      <w:pPr>
        <w:spacing w:after="0" w:line="2" w:lineRule="exact"/>
        <w:rPr>
          <w:sz w:val="24"/>
          <w:szCs w:val="24"/>
          <w:color w:val="auto"/>
        </w:rPr>
      </w:pPr>
    </w:p>
    <w:p>
      <w:pPr>
        <w:jc w:val="center"/>
        <w:ind w:right="-119"/>
        <w:spacing w:after="0"/>
        <w:rPr>
          <w:sz w:val="20"/>
          <w:szCs w:val="20"/>
          <w:color w:val="auto"/>
        </w:rPr>
      </w:pPr>
      <w:r>
        <w:rPr>
          <w:rFonts w:ascii="Arial" w:cs="Arial" w:eastAsia="Arial" w:hAnsi="Arial"/>
          <w:sz w:val="14"/>
          <w:szCs w:val="14"/>
          <w:b w:val="1"/>
          <w:bCs w:val="1"/>
          <w:color w:val="auto"/>
        </w:rPr>
        <w:t>(Address of principal executive offices, including zip code)</w:t>
      </w:r>
    </w:p>
    <w:p>
      <w:pPr>
        <w:spacing w:after="0" w:line="192"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(617) 914-8420</w:t>
      </w:r>
    </w:p>
    <w:p>
      <w:pPr>
        <w:spacing w:after="0" w:line="21" w:lineRule="exact"/>
        <w:rPr>
          <w:sz w:val="24"/>
          <w:szCs w:val="24"/>
          <w:color w:val="auto"/>
        </w:rPr>
      </w:pPr>
    </w:p>
    <w:p>
      <w:pPr>
        <w:jc w:val="center"/>
        <w:ind w:right="-119"/>
        <w:spacing w:after="0"/>
        <w:rPr>
          <w:sz w:val="20"/>
          <w:szCs w:val="20"/>
          <w:color w:val="auto"/>
        </w:rPr>
      </w:pPr>
      <w:r>
        <w:rPr>
          <w:rFonts w:ascii="Arial" w:cs="Arial" w:eastAsia="Arial" w:hAnsi="Arial"/>
          <w:sz w:val="14"/>
          <w:szCs w:val="14"/>
          <w:b w:val="1"/>
          <w:bCs w:val="1"/>
          <w:color w:val="auto"/>
        </w:rPr>
        <w:t>(Registrantâ€™s telephone number, including area code)</w:t>
      </w:r>
    </w:p>
    <w:p>
      <w:pPr>
        <w:spacing w:after="0" w:line="192"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Not Applicable</w:t>
      </w:r>
    </w:p>
    <w:p>
      <w:pPr>
        <w:spacing w:after="0" w:line="21" w:lineRule="exact"/>
        <w:rPr>
          <w:sz w:val="24"/>
          <w:szCs w:val="24"/>
          <w:color w:val="auto"/>
        </w:rPr>
      </w:pPr>
    </w:p>
    <w:p>
      <w:pPr>
        <w:jc w:val="center"/>
        <w:ind w:right="-119"/>
        <w:spacing w:after="0"/>
        <w:rPr>
          <w:sz w:val="20"/>
          <w:szCs w:val="20"/>
          <w:color w:val="auto"/>
        </w:rPr>
      </w:pPr>
      <w:r>
        <w:rPr>
          <w:rFonts w:ascii="Arial" w:cs="Arial" w:eastAsia="Arial" w:hAnsi="Arial"/>
          <w:sz w:val="13"/>
          <w:szCs w:val="13"/>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2759075</wp:posOffset>
            </wp:positionH>
            <wp:positionV relativeFrom="paragraph">
              <wp:posOffset>234950</wp:posOffset>
            </wp:positionV>
            <wp:extent cx="14744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ectPr>
          <w:pgSz w:w="11900" w:h="16838" w:orient="portrait"/>
          <w:cols w:equalWidth="0" w:num="1">
            <w:col w:w="10900"/>
          </w:cols>
          <w:pgMar w:left="440" w:top="288" w:right="559" w:bottom="1440" w:gutter="0" w:footer="0" w:header="0"/>
          <w:type w:val="continuous"/>
        </w:sectPr>
      </w:pPr>
    </w:p>
    <w:p>
      <w:pPr>
        <w:spacing w:after="0" w:line="200" w:lineRule="exact"/>
        <w:rPr>
          <w:sz w:val="24"/>
          <w:szCs w:val="24"/>
          <w:color w:val="auto"/>
        </w:rPr>
      </w:pPr>
    </w:p>
    <w:p>
      <w:pPr>
        <w:spacing w:after="0" w:line="385" w:lineRule="exact"/>
        <w:rPr>
          <w:sz w:val="24"/>
          <w:szCs w:val="24"/>
          <w:color w:val="auto"/>
        </w:rPr>
      </w:pPr>
    </w:p>
    <w:p>
      <w:pPr>
        <w:ind w:right="36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ectPr>
          <w:pgSz w:w="11900" w:h="16838" w:orient="portrait"/>
          <w:cols w:equalWidth="0" w:num="1">
            <w:col w:w="10900"/>
          </w:cols>
          <w:pgMar w:left="440" w:top="288" w:right="559" w:bottom="1440" w:gutter="0" w:footer="0" w:header="0"/>
          <w:type w:val="continuous"/>
        </w:sectPr>
      </w:pPr>
    </w:p>
    <w:p>
      <w:pPr>
        <w:spacing w:after="0" w:line="76" w:lineRule="exact"/>
        <w:rPr>
          <w:sz w:val="24"/>
          <w:szCs w:val="24"/>
          <w:color w:val="auto"/>
        </w:rPr>
      </w:pPr>
    </w:p>
    <w:p>
      <w:pPr>
        <w:spacing w:after="0"/>
        <w:rPr>
          <w:sz w:val="20"/>
          <w:szCs w:val="20"/>
          <w:color w:val="auto"/>
        </w:rPr>
      </w:pPr>
      <w:r>
        <w:rPr>
          <w:rFonts w:ascii="Arial" w:cs="Arial" w:eastAsia="Arial" w:hAnsi="Arial"/>
          <w:sz w:val="15"/>
          <w:szCs w:val="15"/>
          <w:color w:val="auto"/>
        </w:rPr>
        <w:t>â˜</w:t>
      </w:r>
    </w:p>
    <w:p>
      <w:pPr>
        <w:spacing w:after="0" w:line="20" w:lineRule="exact"/>
        <w:rPr>
          <w:sz w:val="24"/>
          <w:szCs w:val="24"/>
          <w:color w:val="auto"/>
        </w:rPr>
      </w:pPr>
      <w:r>
        <w:rPr>
          <w:sz w:val="24"/>
          <w:szCs w:val="24"/>
          <w:color w:val="auto"/>
        </w:rPr>
        <w:br w:type="column"/>
      </w:r>
    </w:p>
    <w:p>
      <w:pPr>
        <w:spacing w:after="0" w:line="56" w:lineRule="exact"/>
        <w:rPr>
          <w:sz w:val="24"/>
          <w:szCs w:val="24"/>
          <w:color w:val="auto"/>
        </w:rPr>
      </w:pPr>
    </w:p>
    <w:p>
      <w:pPr>
        <w:spacing w:after="0"/>
        <w:rPr>
          <w:sz w:val="20"/>
          <w:szCs w:val="20"/>
          <w:color w:val="auto"/>
        </w:rPr>
      </w:pPr>
      <w:r>
        <w:rPr>
          <w:rFonts w:ascii="Arial" w:cs="Arial" w:eastAsia="Arial" w:hAnsi="Arial"/>
          <w:sz w:val="16"/>
          <w:szCs w:val="16"/>
          <w:color w:val="auto"/>
        </w:rPr>
        <w:t>Written communications pursuant to Rule 425 under the Securities Act (17 CFR 230.425)</w:t>
      </w:r>
    </w:p>
    <w:p>
      <w:pPr>
        <w:spacing w:after="0" w:line="154" w:lineRule="exact"/>
        <w:rPr>
          <w:sz w:val="24"/>
          <w:szCs w:val="24"/>
          <w:color w:val="auto"/>
        </w:rPr>
      </w:pPr>
    </w:p>
    <w:p>
      <w:pPr>
        <w:sectPr>
          <w:pgSz w:w="11900" w:h="16838" w:orient="portrait"/>
          <w:cols w:equalWidth="0" w:num="2">
            <w:col w:w="140" w:space="300"/>
            <w:col w:w="10460"/>
          </w:cols>
          <w:pgMar w:left="440" w:top="288" w:right="559" w:bottom="1440" w:gutter="0" w:footer="0" w:header="0"/>
          <w:type w:val="continuous"/>
        </w:sectPr>
      </w:pPr>
    </w:p>
    <w:p>
      <w:pPr>
        <w:spacing w:after="0"/>
        <w:rPr>
          <w:sz w:val="20"/>
          <w:szCs w:val="20"/>
          <w:color w:val="auto"/>
        </w:rPr>
      </w:pPr>
      <w:r>
        <w:rPr>
          <w:rFonts w:ascii="Arial" w:cs="Arial" w:eastAsia="Arial" w:hAnsi="Arial"/>
          <w:sz w:val="15"/>
          <w:szCs w:val="15"/>
          <w:color w:val="auto"/>
        </w:rPr>
        <w:t>â˜</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6"/>
          <w:szCs w:val="16"/>
          <w:color w:val="auto"/>
        </w:rPr>
        <w:t>Soliciting material pursuant to Rule 14a-12 under the Exchange Act (17 CFR 240.14a-12)</w:t>
      </w:r>
    </w:p>
    <w:p>
      <w:pPr>
        <w:spacing w:after="0" w:line="154" w:lineRule="exact"/>
        <w:rPr>
          <w:sz w:val="24"/>
          <w:szCs w:val="24"/>
          <w:color w:val="auto"/>
        </w:rPr>
      </w:pPr>
    </w:p>
    <w:p>
      <w:pPr>
        <w:sectPr>
          <w:pgSz w:w="11900" w:h="16838" w:orient="portrait"/>
          <w:cols w:equalWidth="0" w:num="2">
            <w:col w:w="140" w:space="300"/>
            <w:col w:w="10460"/>
          </w:cols>
          <w:pgMar w:left="440" w:top="288" w:right="559" w:bottom="1440" w:gutter="0" w:footer="0" w:header="0"/>
          <w:type w:val="continuous"/>
        </w:sectPr>
      </w:pPr>
    </w:p>
    <w:p>
      <w:pPr>
        <w:spacing w:after="0"/>
        <w:rPr>
          <w:sz w:val="20"/>
          <w:szCs w:val="20"/>
          <w:color w:val="auto"/>
        </w:rPr>
      </w:pPr>
      <w:r>
        <w:rPr>
          <w:rFonts w:ascii="Arial" w:cs="Arial" w:eastAsia="Arial" w:hAnsi="Arial"/>
          <w:sz w:val="15"/>
          <w:szCs w:val="15"/>
          <w:color w:val="auto"/>
        </w:rPr>
        <w:t>â˜</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6"/>
          <w:szCs w:val="16"/>
          <w:color w:val="auto"/>
        </w:rPr>
        <w:t>Pre-commencement communications pursuant to Rule 14d-2(b) under the Exchange Act (17 CFR 240.14d-2(b))</w:t>
      </w:r>
    </w:p>
    <w:p>
      <w:pPr>
        <w:spacing w:after="0" w:line="154" w:lineRule="exact"/>
        <w:rPr>
          <w:sz w:val="24"/>
          <w:szCs w:val="24"/>
          <w:color w:val="auto"/>
        </w:rPr>
      </w:pPr>
    </w:p>
    <w:p>
      <w:pPr>
        <w:sectPr>
          <w:pgSz w:w="11900" w:h="16838" w:orient="portrait"/>
          <w:cols w:equalWidth="0" w:num="2">
            <w:col w:w="140" w:space="300"/>
            <w:col w:w="10460"/>
          </w:cols>
          <w:pgMar w:left="440" w:top="288" w:right="559" w:bottom="1440" w:gutter="0" w:footer="0" w:header="0"/>
          <w:type w:val="continuous"/>
        </w:sectPr>
      </w:pPr>
    </w:p>
    <w:p>
      <w:pPr>
        <w:spacing w:after="0"/>
        <w:rPr>
          <w:sz w:val="20"/>
          <w:szCs w:val="20"/>
          <w:color w:val="auto"/>
        </w:rPr>
      </w:pPr>
      <w:r>
        <w:rPr>
          <w:rFonts w:ascii="Arial" w:cs="Arial" w:eastAsia="Arial" w:hAnsi="Arial"/>
          <w:sz w:val="15"/>
          <w:szCs w:val="15"/>
          <w:color w:val="auto"/>
        </w:rPr>
        <w:t>â˜</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6"/>
          <w:szCs w:val="16"/>
          <w:color w:val="auto"/>
        </w:rPr>
        <w:t>Pre-commencement communications pursuant to Rule 13e-4(c) under the Exchange Act (17 CFR 240.13e-4(c))</w:t>
      </w:r>
    </w:p>
    <w:p>
      <w:pPr>
        <w:spacing w:after="0" w:line="200" w:lineRule="exact"/>
        <w:rPr>
          <w:sz w:val="24"/>
          <w:szCs w:val="24"/>
          <w:color w:val="auto"/>
        </w:rPr>
      </w:pPr>
    </w:p>
    <w:p>
      <w:pPr>
        <w:sectPr>
          <w:pgSz w:w="11900" w:h="16838" w:orient="portrait"/>
          <w:cols w:equalWidth="0" w:num="2">
            <w:col w:w="140" w:space="300"/>
            <w:col w:w="10460"/>
          </w:cols>
          <w:pgMar w:left="440" w:top="288" w:right="559" w:bottom="1440" w:gutter="0" w:footer="0" w:header="0"/>
          <w:type w:val="continuous"/>
        </w:sectPr>
      </w:pPr>
    </w:p>
    <w:p>
      <w:pPr>
        <w:spacing w:after="0" w:line="48"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(Â§ 230.405 of this chapter) or Rule 12b-2 of the Securities Exchange Act of 1934 (Â§ 240.12b-2 of this chapter).</w:t>
      </w:r>
    </w:p>
    <w:p>
      <w:pPr>
        <w:spacing w:after="0" w:line="62" w:lineRule="exact"/>
        <w:rPr>
          <w:sz w:val="24"/>
          <w:szCs w:val="24"/>
          <w:color w:val="auto"/>
        </w:rPr>
      </w:pPr>
    </w:p>
    <w:p>
      <w:pPr>
        <w:spacing w:after="0"/>
        <w:rPr>
          <w:sz w:val="20"/>
          <w:szCs w:val="20"/>
          <w:color w:val="auto"/>
        </w:rPr>
      </w:pPr>
      <w:r>
        <w:rPr>
          <w:rFonts w:ascii="Arial" w:cs="Arial" w:eastAsia="Arial" w:hAnsi="Arial"/>
          <w:sz w:val="18"/>
          <w:szCs w:val="18"/>
          <w:color w:val="auto"/>
        </w:rPr>
        <w:t>Emerging growth company  â˜’</w:t>
      </w:r>
    </w:p>
    <w:p>
      <w:pPr>
        <w:spacing w:after="0" w:line="225" w:lineRule="exact"/>
        <w:rPr>
          <w:sz w:val="24"/>
          <w:szCs w:val="24"/>
          <w:color w:val="auto"/>
        </w:rPr>
      </w:pPr>
    </w:p>
    <w:p>
      <w:pPr>
        <w:ind w:right="180"/>
        <w:spacing w:after="0" w:line="277" w:lineRule="auto"/>
        <w:rPr>
          <w:sz w:val="20"/>
          <w:szCs w:val="20"/>
          <w:color w:val="auto"/>
        </w:rPr>
      </w:pPr>
      <w:r>
        <w:rPr>
          <w:rFonts w:ascii="Arial" w:cs="Arial" w:eastAsia="Arial" w:hAnsi="Arial"/>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 â˜</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-635</wp:posOffset>
            </wp:positionH>
            <wp:positionV relativeFrom="paragraph">
              <wp:posOffset>125730</wp:posOffset>
            </wp:positionV>
            <wp:extent cx="6995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168910</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0900"/>
          </w:cols>
          <w:pgMar w:left="440" w:top="288" w:right="559" w:bottom="1440" w:gutter="0" w:footer="0" w:header="0"/>
          <w:type w:val="continuous"/>
        </w:sectPr>
      </w:pPr>
    </w:p>
    <w:bookmarkStart w:id="1" w:name="page2"/>
    <w:bookmarkEnd w:id="1"/>
    <w:p>
      <w:pPr>
        <w:spacing w:after="0"/>
        <w:tabs>
          <w:tab w:leader="none" w:pos="96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93980</wp:posOffset>
            </wp:positionH>
            <wp:positionV relativeFrom="page">
              <wp:posOffset>38100</wp:posOffset>
            </wp:positionV>
            <wp:extent cx="7380605" cy="3810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380605" cy="38100"/>
                    </a:xfrm>
                    <a:prstGeom prst="rect">
                      <a:avLst/>
                    </a:prstGeom>
                    <a:noFill/>
                  </pic:spPr>
                </pic:pic>
              </a:graphicData>
            </a:graphic>
          </wp:anchor>
        </w:drawing>
        <w:t>Item 8.01.</w:t>
      </w:r>
      <w:r>
        <w:rPr>
          <w:sz w:val="20"/>
          <w:szCs w:val="20"/>
          <w:color w:val="auto"/>
        </w:rPr>
        <w:tab/>
      </w:r>
      <w:r>
        <w:rPr>
          <w:rFonts w:ascii="Arial" w:cs="Arial" w:eastAsia="Arial" w:hAnsi="Arial"/>
          <w:sz w:val="16"/>
          <w:szCs w:val="16"/>
          <w:b w:val="1"/>
          <w:bCs w:val="1"/>
          <w:color w:val="auto"/>
        </w:rPr>
        <w:t>Other Events.</w:t>
      </w:r>
    </w:p>
    <w:p>
      <w:pPr>
        <w:spacing w:after="0" w:line="121"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 xml:space="preserve">On December 19, 2018, the Court of Chancery of the State of Delaware issued a decision in </w:t>
      </w:r>
      <w:r>
        <w:rPr>
          <w:rFonts w:ascii="Arial" w:cs="Arial" w:eastAsia="Arial" w:hAnsi="Arial"/>
          <w:sz w:val="18"/>
          <w:szCs w:val="18"/>
          <w:i w:val="1"/>
          <w:iCs w:val="1"/>
          <w:color w:val="auto"/>
        </w:rPr>
        <w:t>Sciabacucchi v. Salzberg</w:t>
      </w:r>
      <w:r>
        <w:rPr>
          <w:rFonts w:ascii="Arial" w:cs="Arial" w:eastAsia="Arial" w:hAnsi="Arial"/>
          <w:sz w:val="18"/>
          <w:szCs w:val="18"/>
          <w:color w:val="auto"/>
        </w:rPr>
        <w:t>, C.A. No. 2017-0931-JTL (Del. Ch.), declaring that provisions in certificates of incorporation of Delaware companies that purport to require claims under the Securities Act of 1933, as amended (the â€œSecurities Actâ€ ), be brought in federal court are ineffective and invalid under Delaware law. On January 17, 2019, the defendants in this action appealed the Chancery Courtâ€™s decision to the Delaware Supreme Court.</w:t>
      </w:r>
    </w:p>
    <w:p>
      <w:pPr>
        <w:spacing w:after="0" w:line="187" w:lineRule="exact"/>
        <w:rPr>
          <w:sz w:val="20"/>
          <w:szCs w:val="20"/>
          <w:color w:val="auto"/>
        </w:rPr>
      </w:pPr>
    </w:p>
    <w:p>
      <w:pPr>
        <w:ind w:right="100"/>
        <w:spacing w:after="0" w:line="291" w:lineRule="auto"/>
        <w:rPr>
          <w:sz w:val="20"/>
          <w:szCs w:val="20"/>
          <w:color w:val="auto"/>
        </w:rPr>
      </w:pPr>
      <w:r>
        <w:rPr>
          <w:rFonts w:ascii="Arial" w:cs="Arial" w:eastAsia="Arial" w:hAnsi="Arial"/>
          <w:sz w:val="16"/>
          <w:szCs w:val="16"/>
          <w:color w:val="auto"/>
        </w:rPr>
        <w:t xml:space="preserve">Article VI, Section 8 of the Amended and Restated Bylaws (â€œBylawsâ€ ) of AVROBIO, Inc. (the â€œCompanyâ€ ) provides that, unless the Company consents in writing to the selection of an alternative forum, the United States District Court for the District of Massachusetts shall be the sole and exclusive forum for resolving any complaint asserting a cause of action arising under the Securities Act (the â€œFederal Forum Provisionâ€ ). However, unless and until the Court of Chanceryâ€™s decision in </w:t>
      </w:r>
      <w:r>
        <w:rPr>
          <w:rFonts w:ascii="Arial" w:cs="Arial" w:eastAsia="Arial" w:hAnsi="Arial"/>
          <w:sz w:val="16"/>
          <w:szCs w:val="16"/>
          <w:i w:val="1"/>
          <w:iCs w:val="1"/>
          <w:color w:val="auto"/>
        </w:rPr>
        <w:t>Sciabacucchi</w:t>
      </w:r>
      <w:r>
        <w:rPr>
          <w:rFonts w:ascii="Arial" w:cs="Arial" w:eastAsia="Arial" w:hAnsi="Arial"/>
          <w:sz w:val="16"/>
          <w:szCs w:val="16"/>
          <w:color w:val="auto"/>
        </w:rPr>
        <w:t xml:space="preserve"> is reversed by the Delaware Supreme Court on appeal or otherwise abrogated, the Company does not intend to enforce its Federal Forum Provision. In the event that the Delaware Supreme Court affirms the Court of Chanceryâ€™s </w:t>
      </w:r>
      <w:r>
        <w:rPr>
          <w:rFonts w:ascii="Arial" w:cs="Arial" w:eastAsia="Arial" w:hAnsi="Arial"/>
          <w:sz w:val="16"/>
          <w:szCs w:val="16"/>
          <w:i w:val="1"/>
          <w:iCs w:val="1"/>
          <w:color w:val="auto"/>
        </w:rPr>
        <w:t>Sciabacucchi</w:t>
      </w:r>
      <w:r>
        <w:rPr>
          <w:rFonts w:ascii="Arial" w:cs="Arial" w:eastAsia="Arial" w:hAnsi="Arial"/>
          <w:sz w:val="16"/>
          <w:szCs w:val="16"/>
          <w:color w:val="auto"/>
        </w:rPr>
        <w:t xml:space="preserve"> decision or otherwise makes a determination that provisions such as the Federal Forum Provision are invalid, the Companyâ€™s Board of Directors intends to amend promptly the Companyâ€™s Bylaws to remove the Federal Forum Provision.</w:t>
      </w:r>
    </w:p>
    <w:p>
      <w:pPr>
        <w:sectPr>
          <w:pgSz w:w="11900" w:h="16838" w:orient="portrait"/>
          <w:cols w:equalWidth="0" w:num="1">
            <w:col w:w="10980"/>
          </w:cols>
          <w:pgMar w:left="440" w:top="190" w:right="47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93980</wp:posOffset>
            </wp:positionH>
            <wp:positionV relativeFrom="page">
              <wp:posOffset>38100</wp:posOffset>
            </wp:positionV>
            <wp:extent cx="738060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380605" cy="38735"/>
                    </a:xfrm>
                    <a:prstGeom prst="rect">
                      <a:avLst/>
                    </a:prstGeom>
                    <a:noFill/>
                  </pic:spPr>
                </pic:pic>
              </a:graphicData>
            </a:graphic>
          </wp:anchor>
        </w:drawing>
        <w:t>SIGNATURES</w:t>
      </w:r>
    </w:p>
    <w:p>
      <w:pPr>
        <w:spacing w:after="0" w:line="229" w:lineRule="exact"/>
        <w:rPr>
          <w:sz w:val="20"/>
          <w:szCs w:val="20"/>
          <w:color w:val="auto"/>
        </w:rPr>
      </w:pPr>
    </w:p>
    <w:p>
      <w:pPr>
        <w:ind w:right="74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500" w:type="dxa"/>
            <w:vAlign w:val="bottom"/>
          </w:tcPr>
          <w:p>
            <w:pPr>
              <w:spacing w:after="0"/>
              <w:rPr>
                <w:sz w:val="20"/>
                <w:szCs w:val="20"/>
                <w:color w:val="auto"/>
              </w:rPr>
            </w:pPr>
          </w:p>
        </w:tc>
        <w:tc>
          <w:tcPr>
            <w:tcW w:w="7520" w:type="dxa"/>
            <w:vAlign w:val="bottom"/>
            <w:gridSpan w:val="2"/>
          </w:tcPr>
          <w:p>
            <w:pPr>
              <w:ind w:left="1780"/>
              <w:spacing w:after="0"/>
              <w:rPr>
                <w:sz w:val="20"/>
                <w:szCs w:val="20"/>
                <w:color w:val="auto"/>
              </w:rPr>
            </w:pPr>
            <w:r>
              <w:rPr>
                <w:rFonts w:ascii="Arial" w:cs="Arial" w:eastAsia="Arial" w:hAnsi="Arial"/>
                <w:sz w:val="18"/>
                <w:szCs w:val="18"/>
                <w:color w:val="auto"/>
              </w:rPr>
              <w:t>AVROBIO, INC.</w:t>
            </w:r>
          </w:p>
        </w:tc>
      </w:tr>
      <w:tr>
        <w:trPr>
          <w:trHeight w:val="432"/>
        </w:trPr>
        <w:tc>
          <w:tcPr>
            <w:tcW w:w="3500" w:type="dxa"/>
            <w:vAlign w:val="bottom"/>
          </w:tcPr>
          <w:p>
            <w:pPr>
              <w:spacing w:after="0"/>
              <w:rPr>
                <w:sz w:val="20"/>
                <w:szCs w:val="20"/>
                <w:color w:val="auto"/>
              </w:rPr>
            </w:pPr>
            <w:r>
              <w:rPr>
                <w:rFonts w:ascii="Arial" w:cs="Arial" w:eastAsia="Arial" w:hAnsi="Arial"/>
                <w:sz w:val="18"/>
                <w:szCs w:val="18"/>
                <w:color w:val="auto"/>
              </w:rPr>
              <w:t>Date:  January 22, 2019</w:t>
            </w:r>
          </w:p>
        </w:tc>
        <w:tc>
          <w:tcPr>
            <w:tcW w:w="7520" w:type="dxa"/>
            <w:vAlign w:val="bottom"/>
            <w:gridSpan w:val="2"/>
          </w:tcPr>
          <w:p>
            <w:pPr>
              <w:ind w:left="1780"/>
              <w:spacing w:after="0"/>
              <w:rPr>
                <w:sz w:val="20"/>
                <w:szCs w:val="20"/>
                <w:color w:val="auto"/>
              </w:rPr>
            </w:pPr>
            <w:r>
              <w:rPr>
                <w:rFonts w:ascii="Arial" w:cs="Arial" w:eastAsia="Arial" w:hAnsi="Arial"/>
                <w:sz w:val="18"/>
                <w:szCs w:val="18"/>
                <w:color w:val="auto"/>
                <w:w w:val="93"/>
              </w:rPr>
              <w:t>By:/s/  Geoff MacKay</w:t>
            </w:r>
          </w:p>
        </w:tc>
      </w:tr>
      <w:tr>
        <w:trPr>
          <w:trHeight w:val="195"/>
        </w:trPr>
        <w:tc>
          <w:tcPr>
            <w:tcW w:w="3500" w:type="dxa"/>
            <w:vAlign w:val="bottom"/>
          </w:tcPr>
          <w:p>
            <w:pPr>
              <w:spacing w:after="0"/>
              <w:rPr>
                <w:sz w:val="16"/>
                <w:szCs w:val="16"/>
                <w:color w:val="auto"/>
              </w:rPr>
            </w:pPr>
          </w:p>
        </w:tc>
        <w:tc>
          <w:tcPr>
            <w:tcW w:w="2200" w:type="dxa"/>
            <w:vAlign w:val="bottom"/>
          </w:tcPr>
          <w:p>
            <w:pPr>
              <w:spacing w:after="0"/>
              <w:rPr>
                <w:sz w:val="16"/>
                <w:szCs w:val="16"/>
                <w:color w:val="auto"/>
              </w:rPr>
            </w:pPr>
          </w:p>
        </w:tc>
        <w:tc>
          <w:tcPr>
            <w:tcW w:w="5320" w:type="dxa"/>
            <w:vAlign w:val="bottom"/>
            <w:tcBorders>
              <w:top w:val="single" w:sz="8" w:color="auto"/>
            </w:tcBorders>
          </w:tcPr>
          <w:p>
            <w:pPr>
              <w:ind w:left="140"/>
              <w:spacing w:after="0" w:line="195" w:lineRule="exact"/>
              <w:rPr>
                <w:sz w:val="20"/>
                <w:szCs w:val="20"/>
                <w:color w:val="auto"/>
              </w:rPr>
            </w:pPr>
            <w:r>
              <w:rPr>
                <w:rFonts w:ascii="Arial" w:cs="Arial" w:eastAsia="Arial" w:hAnsi="Arial"/>
                <w:sz w:val="18"/>
                <w:szCs w:val="18"/>
                <w:color w:val="auto"/>
              </w:rPr>
              <w:t>Geoff MacKay</w:t>
            </w:r>
          </w:p>
        </w:tc>
      </w:tr>
      <w:tr>
        <w:trPr>
          <w:trHeight w:val="230"/>
        </w:trPr>
        <w:tc>
          <w:tcPr>
            <w:tcW w:w="3500" w:type="dxa"/>
            <w:vAlign w:val="bottom"/>
          </w:tcPr>
          <w:p>
            <w:pPr>
              <w:spacing w:after="0"/>
              <w:rPr>
                <w:sz w:val="20"/>
                <w:szCs w:val="20"/>
                <w:color w:val="auto"/>
              </w:rPr>
            </w:pPr>
          </w:p>
        </w:tc>
        <w:tc>
          <w:tcPr>
            <w:tcW w:w="2200" w:type="dxa"/>
            <w:vAlign w:val="bottom"/>
          </w:tcPr>
          <w:p>
            <w:pPr>
              <w:spacing w:after="0"/>
              <w:rPr>
                <w:sz w:val="20"/>
                <w:szCs w:val="20"/>
                <w:color w:val="auto"/>
              </w:rPr>
            </w:pPr>
          </w:p>
        </w:tc>
        <w:tc>
          <w:tcPr>
            <w:tcW w:w="5320" w:type="dxa"/>
            <w:vAlign w:val="bottom"/>
          </w:tcPr>
          <w:p>
            <w:pPr>
              <w:ind w:left="140"/>
              <w:spacing w:after="0"/>
              <w:rPr>
                <w:sz w:val="20"/>
                <w:szCs w:val="20"/>
                <w:color w:val="auto"/>
              </w:rPr>
            </w:pPr>
            <w:r>
              <w:rPr>
                <w:rFonts w:ascii="Arial" w:cs="Arial" w:eastAsia="Arial" w:hAnsi="Arial"/>
                <w:sz w:val="18"/>
                <w:szCs w:val="18"/>
                <w:color w:val="auto"/>
              </w:rPr>
              <w:t>President and Chief Executive Officer</w:t>
            </w:r>
          </w:p>
        </w:tc>
      </w:tr>
    </w:tbl>
    <w:p>
      <w:pPr>
        <w:spacing w:after="0" w:line="1" w:lineRule="exact"/>
        <w:rPr>
          <w:sz w:val="20"/>
          <w:szCs w:val="20"/>
          <w:color w:val="auto"/>
        </w:rPr>
      </w:pPr>
    </w:p>
    <w:sectPr>
      <w:pgSz w:w="11900" w:h="16838" w:orient="portrait"/>
      <w:cols w:equalWidth="0" w:num="1">
        <w:col w:w="11020"/>
      </w:cols>
      <w:pgMar w:left="440" w:top="190"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2019-12-15T18:14:25Z</dcterms:created>
  <dcterms:modified xsi:type="dcterms:W3CDTF">2019-12-15T18:14:25Z</dcterms:modified>
</cp:coreProperties>
</file>