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___)*</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Tectonic Therapeutic,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3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878972108</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June 20, 2024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2"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20"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15"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8"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0"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878972108</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LLC</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849,143</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849,143</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849,143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5.8%</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OO, IA</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878972108</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Oleg Nodelman</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United States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849,143</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849,143</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849,143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5.8%</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878972108</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60" w:type="dxa"/>
            <w:vAlign w:val="bottom"/>
            <w:vMerge w:val="continue"/>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783,214</w:t>
            </w:r>
          </w:p>
        </w:tc>
        <w:tc>
          <w:tcPr>
            <w:tcW w:w="0" w:type="dxa"/>
            <w:vAlign w:val="bottom"/>
          </w:tcPr>
          <w:p>
            <w:pPr>
              <w:spacing w:after="0"/>
              <w:rPr>
                <w:sz w:val="1"/>
                <w:szCs w:val="1"/>
                <w:color w:val="auto"/>
              </w:rPr>
            </w:pPr>
          </w:p>
        </w:tc>
      </w:tr>
      <w:tr>
        <w:trPr>
          <w:trHeight w:val="14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Borders>
              <w:bottom w:val="single" w:sz="8" w:color="auto"/>
            </w:tcBorders>
            <w:vMerge w:val="continue"/>
          </w:tcPr>
          <w:p>
            <w:pPr>
              <w:spacing w:after="0"/>
              <w:rPr>
                <w:sz w:val="12"/>
                <w:szCs w:val="12"/>
                <w:color w:val="auto"/>
              </w:rPr>
            </w:pPr>
          </w:p>
        </w:tc>
        <w:tc>
          <w:tcPr>
            <w:tcW w:w="8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2160" w:type="dxa"/>
            <w:vAlign w:val="bottom"/>
            <w:vMerge w:val="continue"/>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179" w:lineRule="exact"/>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vMerge w:val="continue"/>
          </w:tcPr>
          <w:p>
            <w:pPr>
              <w:spacing w:after="0"/>
              <w:rPr>
                <w:sz w:val="17"/>
                <w:szCs w:val="17"/>
                <w:color w:val="auto"/>
              </w:rPr>
            </w:pPr>
          </w:p>
        </w:tc>
        <w:tc>
          <w:tcPr>
            <w:tcW w:w="8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783,214</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783,214</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5.3%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878972108</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1.</w:t>
      </w:r>
    </w:p>
    <w:p>
      <w:pPr>
        <w:spacing w:after="0" w:line="220"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Tectonic Therapeutic,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490 Arsenal Way, Suite 210, Watertown, MA 02472</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w:t>
      </w: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2.</w:t>
      </w:r>
    </w:p>
    <w:p>
      <w:pPr>
        <w:spacing w:after="0" w:line="194"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right="52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 (“Qualified Fund”); EcoR1 Capital, LLC (“EcoR1”) and Oleg Nodelman (“Nodelman”) (collectively, the “Filers”).</w:t>
      </w:r>
    </w:p>
    <w:p>
      <w:pPr>
        <w:spacing w:after="0" w:line="165" w:lineRule="exact"/>
        <w:rPr>
          <w:rFonts w:ascii="Times New Roman" w:cs="Times New Roman" w:eastAsia="Times New Roman" w:hAnsi="Times New Roman"/>
          <w:sz w:val="20"/>
          <w:szCs w:val="20"/>
          <w:color w:val="auto"/>
        </w:rPr>
      </w:pPr>
    </w:p>
    <w:p>
      <w:pPr>
        <w:ind w:left="13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89" w:lineRule="exact"/>
        <w:rPr>
          <w:rFonts w:ascii="Times New Roman" w:cs="Times New Roman" w:eastAsia="Times New Roman" w:hAnsi="Times New Roman"/>
          <w:sz w:val="20"/>
          <w:szCs w:val="20"/>
          <w:color w:val="auto"/>
        </w:rPr>
      </w:pPr>
    </w:p>
    <w:p>
      <w:pPr>
        <w:ind w:left="1300" w:right="18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Filer also disclaims beneficial ownership of the Stock except to the extent of that person’s pecuniary interest therein.</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357 Tehama Street #3, San Francisco, CA 94103</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shares of </w:t>
      </w:r>
      <w:r>
        <w:rPr>
          <w:rFonts w:ascii="Times New Roman" w:cs="Times New Roman" w:eastAsia="Times New Roman" w:hAnsi="Times New Roman"/>
          <w:sz w:val="20"/>
          <w:szCs w:val="20"/>
          <w:b w:val="1"/>
          <w:bCs w:val="1"/>
          <w:color w:val="auto"/>
        </w:rPr>
        <w:t>Common Stock, par value $0.0001 per share</w:t>
      </w:r>
      <w:r>
        <w:rPr>
          <w:rFonts w:ascii="Times New Roman" w:cs="Times New Roman" w:eastAsia="Times New Roman" w:hAnsi="Times New Roman"/>
          <w:sz w:val="20"/>
          <w:szCs w:val="20"/>
          <w:color w:val="auto"/>
        </w:rPr>
        <w:t xml:space="preserve"> (the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878972108</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229"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878972108</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20" w:lineRule="exact"/>
        <w:rPr>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An investment adviser in accordance with section 240.13d-1(b)(1)(ii)(E) as to EcoR1.</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section 240.13d-1(b)(1)(ii)(F).</w:t>
      </w:r>
    </w:p>
    <w:p>
      <w:pPr>
        <w:spacing w:after="0" w:line="215" w:lineRule="exact"/>
        <w:rPr>
          <w:rFonts w:ascii="Times New Roman" w:cs="Times New Roman" w:eastAsia="Times New Roman" w:hAnsi="Times New Roman"/>
          <w:sz w:val="20"/>
          <w:szCs w:val="20"/>
          <w:color w:val="auto"/>
        </w:rPr>
      </w:pPr>
    </w:p>
    <w:p>
      <w:pPr>
        <w:ind w:left="1300" w:right="2420" w:hanging="644"/>
        <w:spacing w:after="0" w:line="269" w:lineRule="auto"/>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 parent holding company or control person in accordance with 240.13d-1(b)(1)(ii)(G) as to Mr. Nodelman.</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15" w:lineRule="exact"/>
        <w:rPr>
          <w:rFonts w:ascii="Times New Roman" w:cs="Times New Roman" w:eastAsia="Times New Roman" w:hAnsi="Times New Roman"/>
          <w:sz w:val="20"/>
          <w:szCs w:val="20"/>
          <w:color w:val="auto"/>
        </w:rPr>
      </w:pPr>
    </w:p>
    <w:p>
      <w:pPr>
        <w:ind w:left="1960" w:right="440" w:hanging="1304"/>
        <w:spacing w:after="0" w:line="269" w:lineRule="auto"/>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section 240.13d-1(b)(1)(ii)(J).</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percentages reported in this Schedule 13G are based on 14,734,323 shares of Common Stock outstanding as June 20, 2024, as reported in the Form 8-K filed by the Issuer on June 20, 2024.</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ind w:left="1300" w:right="18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2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EcoR1 is the general partner and investment adviser of investment funds, including Qualified Fund. Mr. Nodelman is the control person of EcoR1.</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EcoR1 and Mr. Nodelman:</w:t>
      </w:r>
    </w:p>
    <w:p>
      <w:pPr>
        <w:spacing w:after="0" w:line="233" w:lineRule="exact"/>
        <w:rPr>
          <w:sz w:val="20"/>
          <w:szCs w:val="20"/>
          <w:color w:val="auto"/>
        </w:rPr>
      </w:pPr>
    </w:p>
    <w:p>
      <w:pPr>
        <w:ind w:left="660" w:right="460"/>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Qualified Fund:</w:t>
      </w:r>
    </w:p>
    <w:p>
      <w:pPr>
        <w:spacing w:after="0" w:line="233" w:lineRule="exact"/>
        <w:rPr>
          <w:sz w:val="20"/>
          <w:szCs w:val="20"/>
          <w:color w:val="auto"/>
        </w:rPr>
      </w:pPr>
    </w:p>
    <w:p>
      <w:pPr>
        <w:ind w:left="660" w:right="54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40"/>
          </w:cols>
          <w:pgMar w:left="320" w:top="229" w:right="539" w:bottom="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019"/>
          </w:cols>
          <w:pgMar w:left="144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878972108</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July 1, 2024</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By:/s/ </w:t>
            </w:r>
            <w:r>
              <w:rPr>
                <w:rFonts w:ascii="Times New Roman" w:cs="Times New Roman" w:eastAsia="Times New Roman" w:hAnsi="Times New Roman"/>
                <w:sz w:val="20"/>
                <w:szCs w:val="20"/>
                <w:i w:val="1"/>
                <w:iCs w:val="1"/>
                <w:color w:val="auto"/>
              </w:rPr>
              <w:t>Oleg Nodelman</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Oleg Nodelman</w:t>
            </w:r>
          </w:p>
        </w:tc>
      </w:tr>
      <w:tr>
        <w:trPr>
          <w:trHeight w:val="20"/>
        </w:trPr>
        <w:tc>
          <w:tcPr>
            <w:tcW w:w="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6"/>
        </w:trPr>
        <w:tc>
          <w:tcPr>
            <w:tcW w:w="300" w:type="dxa"/>
            <w:vAlign w:val="bottom"/>
          </w:tcPr>
          <w:p>
            <w:pPr>
              <w:spacing w:after="0"/>
              <w:rPr>
                <w:sz w:val="22"/>
                <w:szCs w:val="22"/>
                <w:color w:val="auto"/>
              </w:rPr>
            </w:pPr>
          </w:p>
        </w:tc>
        <w:tc>
          <w:tcPr>
            <w:tcW w:w="37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Oleg Nodelman, Manager</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Oleg Nodelman</w:t>
            </w:r>
          </w:p>
        </w:tc>
      </w:tr>
    </w:tbl>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EcoR1 Capital, LLC, General Partner</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Oleg Nodelman, Manager</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229"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878972108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July 1, 2024</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By:/s/ </w:t>
            </w:r>
            <w:r>
              <w:rPr>
                <w:rFonts w:ascii="Times New Roman" w:cs="Times New Roman" w:eastAsia="Times New Roman" w:hAnsi="Times New Roman"/>
                <w:sz w:val="20"/>
                <w:szCs w:val="20"/>
                <w:i w:val="1"/>
                <w:iCs w:val="1"/>
                <w:color w:val="auto"/>
              </w:rPr>
              <w:t>Oleg Nodelman</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Oleg Nodelman</w:t>
            </w:r>
          </w:p>
        </w:tc>
      </w:tr>
      <w:tr>
        <w:trPr>
          <w:trHeight w:val="20"/>
        </w:trPr>
        <w:tc>
          <w:tcPr>
            <w:tcW w:w="3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6"/>
        </w:trPr>
        <w:tc>
          <w:tcPr>
            <w:tcW w:w="300" w:type="dxa"/>
            <w:vAlign w:val="bottom"/>
          </w:tcPr>
          <w:p>
            <w:pPr>
              <w:spacing w:after="0"/>
              <w:rPr>
                <w:sz w:val="22"/>
                <w:szCs w:val="22"/>
                <w:color w:val="auto"/>
              </w:rPr>
            </w:pPr>
          </w:p>
        </w:tc>
        <w:tc>
          <w:tcPr>
            <w:tcW w:w="37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Oleg Nodelman, Manager</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Oleg Nodelman</w:t>
            </w:r>
          </w:p>
        </w:tc>
      </w:tr>
    </w:tbl>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EcoR1 Capital, LLC, General Partner</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Oleg Nodelman, Manager</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2024-07-01T16:00:19Z</dcterms:created>
  <dcterms:modified xsi:type="dcterms:W3CDTF">2024-07-01T16:00:19Z</dcterms:modified>
</cp:coreProperties>
</file>