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0507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05079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40" w:type="dxa"/>
            <w:vAlign w:val="bottom"/>
            <w:gridSpan w:val="3"/>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CLARK IAN T</w:t>
              </w:r>
            </w:hyperlink>
          </w:p>
        </w:tc>
        <w:tc>
          <w:tcPr>
            <w:tcW w:w="10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AVROBIO,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AVRO</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40" w:type="dxa"/>
            <w:vAlign w:val="bottom"/>
            <w:gridSpan w:val="3"/>
            <w:vMerge w:val="continue"/>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5"/>
            <w:vMerge w:val="continue"/>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gridSpan w:val="3"/>
            <w:vMerge w:val="continue"/>
          </w:tcPr>
          <w:p>
            <w:pPr>
              <w:spacing w:after="0"/>
              <w:rPr>
                <w:sz w:val="2"/>
                <w:szCs w:val="2"/>
                <w:color w:val="auto"/>
              </w:rPr>
            </w:pPr>
          </w:p>
        </w:tc>
        <w:tc>
          <w:tcPr>
            <w:tcW w:w="10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gridSpan w:val="4"/>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40" w:type="dxa"/>
            <w:vAlign w:val="bottom"/>
            <w:gridSpan w:val="3"/>
            <w:vMerge w:val="continue"/>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00" w:type="dxa"/>
            <w:vAlign w:val="bottom"/>
            <w:gridSpan w:val="4"/>
            <w:vMerge w:val="continue"/>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5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100" w:type="dxa"/>
            <w:vAlign w:val="bottom"/>
            <w:gridSpan w:val="4"/>
            <w:vMerge w:val="continue"/>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5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vMerge w:val="restart"/>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300" w:type="dxa"/>
            <w:vAlign w:val="bottom"/>
          </w:tcPr>
          <w:p>
            <w:pPr>
              <w:spacing w:after="0"/>
              <w:rPr>
                <w:sz w:val="7"/>
                <w:szCs w:val="7"/>
                <w:color w:val="auto"/>
              </w:rPr>
            </w:pPr>
          </w:p>
        </w:tc>
        <w:tc>
          <w:tcPr>
            <w:tcW w:w="1540" w:type="dxa"/>
            <w:vAlign w:val="bottom"/>
            <w:gridSpan w:val="4"/>
            <w:vMerge w:val="restart"/>
          </w:tcPr>
          <w:p>
            <w:pPr>
              <w:ind w:left="26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74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108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2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vMerge w:val="continue"/>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8"/>
            <w:vMerge w:val="restart"/>
          </w:tcPr>
          <w:p>
            <w:pPr>
              <w:spacing w:after="0"/>
              <w:rPr>
                <w:sz w:val="20"/>
                <w:szCs w:val="20"/>
                <w:color w:val="auto"/>
              </w:rPr>
            </w:pPr>
            <w:r>
              <w:rPr>
                <w:rFonts w:ascii="Arial" w:cs="Arial" w:eastAsia="Arial" w:hAnsi="Arial"/>
                <w:sz w:val="14"/>
                <w:szCs w:val="14"/>
                <w:color w:val="auto"/>
                <w:w w:val="97"/>
              </w:rPr>
              <w:t>3. Date of Earliest Transaction (Month/Day/Year)</w:t>
            </w:r>
          </w:p>
        </w:tc>
        <w:tc>
          <w:tcPr>
            <w:tcW w:w="680" w:type="dxa"/>
            <w:vAlign w:val="bottom"/>
          </w:tcPr>
          <w:p>
            <w:pPr>
              <w:spacing w:after="0"/>
              <w:rPr>
                <w:sz w:val="4"/>
                <w:szCs w:val="4"/>
                <w:color w:val="auto"/>
              </w:rPr>
            </w:pPr>
          </w:p>
        </w:tc>
        <w:tc>
          <w:tcPr>
            <w:tcW w:w="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vMerge w:val="continue"/>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300" w:type="dxa"/>
            <w:vAlign w:val="bottom"/>
          </w:tcPr>
          <w:p>
            <w:pPr>
              <w:spacing w:after="0"/>
              <w:rPr>
                <w:sz w:val="4"/>
                <w:szCs w:val="4"/>
                <w:color w:val="auto"/>
              </w:rPr>
            </w:pPr>
          </w:p>
        </w:tc>
        <w:tc>
          <w:tcPr>
            <w:tcW w:w="15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60" w:type="dxa"/>
            <w:vAlign w:val="bottom"/>
            <w:gridSpan w:val="8"/>
            <w:vMerge w:val="continue"/>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ind w:left="160"/>
              <w:spacing w:after="0"/>
              <w:rPr>
                <w:sz w:val="20"/>
                <w:szCs w:val="20"/>
                <w:color w:val="auto"/>
              </w:rPr>
            </w:pPr>
            <w:r>
              <w:rPr>
                <w:rFonts w:ascii="Arial" w:cs="Arial" w:eastAsia="Arial" w:hAnsi="Arial"/>
                <w:sz w:val="14"/>
                <w:szCs w:val="14"/>
                <w:color w:val="auto"/>
              </w:rPr>
              <w:t>below)</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ind w:left="260"/>
              <w:spacing w:after="0"/>
              <w:rPr>
                <w:sz w:val="20"/>
                <w:szCs w:val="20"/>
                <w:color w:val="auto"/>
              </w:rPr>
            </w:pPr>
            <w:r>
              <w:rPr>
                <w:rFonts w:ascii="Arial" w:cs="Arial" w:eastAsia="Arial" w:hAnsi="Arial"/>
                <w:sz w:val="14"/>
                <w:szCs w:val="14"/>
                <w:color w:val="auto"/>
              </w:rPr>
              <w:t>below)</w:t>
            </w: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C/O AVROBIO, INC.</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06/11/2019</w:t>
            </w: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720" w:type="dxa"/>
            <w:vAlign w:val="bottom"/>
            <w:gridSpan w:val="5"/>
            <w:vMerge w:val="restart"/>
          </w:tcPr>
          <w:p>
            <w:pPr>
              <w:spacing w:after="0"/>
              <w:rPr>
                <w:sz w:val="20"/>
                <w:szCs w:val="20"/>
                <w:color w:val="auto"/>
              </w:rPr>
            </w:pPr>
            <w:r>
              <w:rPr>
                <w:rFonts w:ascii="Arial" w:cs="Arial" w:eastAsia="Arial" w:hAnsi="Arial"/>
                <w:sz w:val="18"/>
                <w:szCs w:val="18"/>
                <w:color w:val="0000FF"/>
                <w:w w:val="97"/>
              </w:rPr>
              <w:t>ONE KENDALL SQUARE, BLDG 300, STE 201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72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1100" w:type="dxa"/>
            <w:vAlign w:val="bottom"/>
            <w:gridSpan w:val="4"/>
            <w:vMerge w:val="restart"/>
          </w:tcPr>
          <w:p>
            <w:pPr>
              <w:ind w:left="80"/>
              <w:spacing w:after="0"/>
              <w:rPr>
                <w:sz w:val="20"/>
                <w:szCs w:val="20"/>
                <w:color w:val="auto"/>
              </w:rPr>
            </w:pPr>
            <w:r>
              <w:rPr>
                <w:rFonts w:ascii="Arial" w:cs="Arial" w:eastAsia="Arial" w:hAnsi="Arial"/>
                <w:sz w:val="14"/>
                <w:szCs w:val="14"/>
                <w:color w:val="auto"/>
              </w:rPr>
              <w:t>Line)</w:t>
            </w: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1100" w:type="dxa"/>
            <w:vAlign w:val="bottom"/>
            <w:gridSpan w:val="4"/>
            <w:vMerge w:val="continue"/>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40" w:type="dxa"/>
            <w:vAlign w:val="bottom"/>
            <w:gridSpan w:val="10"/>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CAMBRIDGE   MA</w:t>
            </w:r>
          </w:p>
        </w:tc>
        <w:tc>
          <w:tcPr>
            <w:tcW w:w="1200" w:type="dxa"/>
            <w:vAlign w:val="bottom"/>
          </w:tcPr>
          <w:p>
            <w:pPr>
              <w:ind w:left="20"/>
              <w:spacing w:after="0"/>
              <w:rPr>
                <w:sz w:val="20"/>
                <w:szCs w:val="20"/>
                <w:color w:val="auto"/>
              </w:rPr>
            </w:pPr>
            <w:r>
              <w:rPr>
                <w:rFonts w:ascii="Arial" w:cs="Arial" w:eastAsia="Arial" w:hAnsi="Arial"/>
                <w:sz w:val="18"/>
                <w:szCs w:val="18"/>
                <w:color w:val="0000FF"/>
              </w:rPr>
              <w:t>02139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80" w:type="dxa"/>
            <w:vAlign w:val="bottom"/>
            <w:gridSpan w:val="7"/>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ind w:left="180"/>
              <w:spacing w:after="0" w:line="136" w:lineRule="exact"/>
              <w:rPr>
                <w:sz w:val="20"/>
                <w:szCs w:val="20"/>
                <w:color w:val="auto"/>
              </w:rPr>
            </w:pPr>
            <w:r>
              <w:rPr>
                <w:rFonts w:ascii="Arial" w:cs="Arial" w:eastAsia="Arial" w:hAnsi="Arial"/>
                <w:sz w:val="14"/>
                <w:szCs w:val="14"/>
                <w:color w:val="auto"/>
                <w:w w:val="99"/>
              </w:rPr>
              <w:t>Person</w:t>
            </w:r>
          </w:p>
        </w:tc>
        <w:tc>
          <w:tcPr>
            <w:tcW w:w="6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38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gridSpan w:val="2"/>
          </w:tcPr>
          <w:p>
            <w:pPr>
              <w:spacing w:after="0"/>
              <w:rPr>
                <w:sz w:val="11"/>
                <w:szCs w:val="11"/>
                <w:color w:val="auto"/>
              </w:rPr>
            </w:pPr>
          </w:p>
        </w:tc>
        <w:tc>
          <w:tcPr>
            <w:tcW w:w="2340" w:type="dxa"/>
            <w:vAlign w:val="bottom"/>
            <w:tcBorders>
              <w:bottom w:val="single" w:sz="8" w:color="2C2C2C"/>
            </w:tcBorders>
            <w:gridSpan w:val="5"/>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gridSpan w:val="2"/>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9"/>
          </w:tcPr>
          <w:p>
            <w:pPr>
              <w:ind w:left="82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4"/>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5"/>
                <w:szCs w:val="15"/>
                <w:color w:val="auto"/>
              </w:rPr>
            </w:pPr>
          </w:p>
        </w:tc>
        <w:tc>
          <w:tcPr>
            <w:tcW w:w="182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 w:type="dxa"/>
            <w:vAlign w:val="bottom"/>
          </w:tcPr>
          <w:p>
            <w:pPr>
              <w:spacing w:after="0"/>
              <w:rPr>
                <w:sz w:val="11"/>
                <w:szCs w:val="11"/>
                <w:color w:val="auto"/>
              </w:rPr>
            </w:pP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0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2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10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20"/>
              <w:spacing w:after="0" w:line="135"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3"/>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2640" w:type="dxa"/>
            <w:vAlign w:val="bottom"/>
            <w:tcBorders>
              <w:bottom w:val="single" w:sz="8" w:color="2C2C2C"/>
            </w:tcBorders>
            <w:gridSpan w:val="6"/>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7520" w:type="dxa"/>
            <w:vAlign w:val="bottom"/>
            <w:tcBorders>
              <w:top w:val="single" w:sz="8" w:color="2C2C2C"/>
            </w:tcBorders>
            <w:gridSpan w:val="19"/>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6"/>
          </w:tcPr>
          <w:p>
            <w:pPr>
              <w:ind w:left="70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8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3"/>
          </w:tcPr>
          <w:p>
            <w:pPr>
              <w:ind w:left="1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3"/>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gridSpan w:val="2"/>
          </w:tcPr>
          <w:p>
            <w:pPr>
              <w:ind w:left="4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Stock</w:t>
            </w: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color w:val="0000FF"/>
              </w:rPr>
              <w:t>Option</w:t>
            </w:r>
          </w:p>
        </w:tc>
        <w:tc>
          <w:tcPr>
            <w:tcW w:w="7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13.6</w:t>
            </w:r>
          </w:p>
        </w:tc>
        <w:tc>
          <w:tcPr>
            <w:tcW w:w="80" w:type="dxa"/>
            <w:vAlign w:val="bottom"/>
          </w:tcPr>
          <w:p>
            <w:pPr>
              <w:spacing w:after="0"/>
              <w:rPr>
                <w:sz w:val="12"/>
                <w:szCs w:val="12"/>
                <w:color w:val="auto"/>
              </w:rPr>
            </w:pPr>
          </w:p>
        </w:tc>
        <w:tc>
          <w:tcPr>
            <w:tcW w:w="1080" w:type="dxa"/>
            <w:vAlign w:val="bottom"/>
            <w:vMerge w:val="restart"/>
          </w:tcPr>
          <w:p>
            <w:pPr>
              <w:ind w:left="260"/>
              <w:spacing w:after="0"/>
              <w:rPr>
                <w:sz w:val="20"/>
                <w:szCs w:val="20"/>
                <w:color w:val="auto"/>
              </w:rPr>
            </w:pPr>
            <w:r>
              <w:rPr>
                <w:rFonts w:ascii="Arial" w:cs="Arial" w:eastAsia="Arial" w:hAnsi="Arial"/>
                <w:sz w:val="14"/>
                <w:szCs w:val="14"/>
                <w:color w:val="0000FF"/>
              </w:rPr>
              <w:t>06/11/2019</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restart"/>
          </w:tcPr>
          <w:p>
            <w:pPr>
              <w:ind w:left="80"/>
              <w:spacing w:after="0"/>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rPr>
                <w:sz w:val="20"/>
                <w:szCs w:val="20"/>
                <w:color w:val="auto"/>
              </w:rPr>
            </w:pPr>
            <w:r>
              <w:rPr>
                <w:rFonts w:ascii="Arial" w:cs="Arial" w:eastAsia="Arial" w:hAnsi="Arial"/>
                <w:sz w:val="14"/>
                <w:szCs w:val="14"/>
                <w:color w:val="0000FF"/>
              </w:rPr>
              <w:t>9,675</w:t>
            </w: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760" w:type="dxa"/>
            <w:vAlign w:val="bottom"/>
            <w:gridSpan w:val="2"/>
            <w:vMerge w:val="restart"/>
          </w:tcPr>
          <w:p>
            <w:pPr>
              <w:ind w:left="60"/>
              <w:spacing w:after="0"/>
              <w:rPr>
                <w:sz w:val="20"/>
                <w:szCs w:val="20"/>
                <w:color w:val="auto"/>
              </w:rPr>
            </w:pPr>
            <w:r>
              <w:rPr>
                <w:rFonts w:ascii="Arial" w:cs="Arial" w:eastAsia="Arial" w:hAnsi="Arial"/>
                <w:sz w:val="14"/>
                <w:szCs w:val="14"/>
                <w:color w:val="0000FF"/>
                <w:w w:val="96"/>
              </w:rPr>
              <w:t>06/10/2029</w:t>
            </w:r>
          </w:p>
        </w:tc>
        <w:tc>
          <w:tcPr>
            <w:tcW w:w="680" w:type="dxa"/>
            <w:vAlign w:val="bottom"/>
          </w:tcPr>
          <w:p>
            <w:pPr>
              <w:ind w:left="60"/>
              <w:spacing w:after="0" w:line="149" w:lineRule="exact"/>
              <w:rPr>
                <w:sz w:val="20"/>
                <w:szCs w:val="20"/>
                <w:color w:val="auto"/>
              </w:rPr>
            </w:pPr>
            <w:r>
              <w:rPr>
                <w:rFonts w:ascii="Arial" w:cs="Arial" w:eastAsia="Arial" w:hAnsi="Arial"/>
                <w:sz w:val="14"/>
                <w:szCs w:val="14"/>
                <w:color w:val="0000FF"/>
              </w:rPr>
              <w:t>Common</w:t>
            </w:r>
          </w:p>
        </w:tc>
        <w:tc>
          <w:tcPr>
            <w:tcW w:w="560" w:type="dxa"/>
            <w:vAlign w:val="bottom"/>
            <w:gridSpan w:val="2"/>
            <w:vMerge w:val="restart"/>
          </w:tcPr>
          <w:p>
            <w:pPr>
              <w:ind w:left="60"/>
              <w:spacing w:after="0"/>
              <w:rPr>
                <w:sz w:val="20"/>
                <w:szCs w:val="20"/>
                <w:color w:val="auto"/>
              </w:rPr>
            </w:pPr>
            <w:r>
              <w:rPr>
                <w:rFonts w:ascii="Arial" w:cs="Arial" w:eastAsia="Arial" w:hAnsi="Arial"/>
                <w:sz w:val="18"/>
                <w:szCs w:val="18"/>
                <w:color w:val="0000FF"/>
              </w:rPr>
              <w:t>9,675</w:t>
            </w:r>
          </w:p>
        </w:tc>
        <w:tc>
          <w:tcPr>
            <w:tcW w:w="40" w:type="dxa"/>
            <w:vAlign w:val="bottom"/>
          </w:tcPr>
          <w:p>
            <w:pPr>
              <w:spacing w:after="0"/>
              <w:rPr>
                <w:sz w:val="12"/>
                <w:szCs w:val="12"/>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vMerge w:val="restart"/>
          </w:tcPr>
          <w:p>
            <w:pPr>
              <w:ind w:left="260"/>
              <w:spacing w:after="0"/>
              <w:rPr>
                <w:sz w:val="20"/>
                <w:szCs w:val="20"/>
                <w:color w:val="auto"/>
              </w:rPr>
            </w:pPr>
            <w:r>
              <w:rPr>
                <w:rFonts w:ascii="Arial" w:cs="Arial" w:eastAsia="Arial" w:hAnsi="Arial"/>
                <w:sz w:val="14"/>
                <w:szCs w:val="14"/>
                <w:color w:val="0000FF"/>
                <w:w w:val="91"/>
              </w:rPr>
              <w:t>9,675</w:t>
            </w:r>
          </w:p>
        </w:tc>
        <w:tc>
          <w:tcPr>
            <w:tcW w:w="300" w:type="dxa"/>
            <w:vAlign w:val="bottom"/>
          </w:tcPr>
          <w:p>
            <w:pPr>
              <w:spacing w:after="0"/>
              <w:rPr>
                <w:sz w:val="12"/>
                <w:szCs w:val="12"/>
                <w:color w:val="auto"/>
              </w:rPr>
            </w:pPr>
          </w:p>
        </w:tc>
        <w:tc>
          <w:tcPr>
            <w:tcW w:w="700" w:type="dxa"/>
            <w:vAlign w:val="bottom"/>
            <w:vMerge w:val="restart"/>
          </w:tcPr>
          <w:p>
            <w:pPr>
              <w:ind w:left="340"/>
              <w:spacing w:after="0"/>
              <w:rPr>
                <w:sz w:val="20"/>
                <w:szCs w:val="20"/>
                <w:color w:val="auto"/>
              </w:rPr>
            </w:pPr>
            <w:r>
              <w:rPr>
                <w:rFonts w:ascii="Arial" w:cs="Arial" w:eastAsia="Arial" w:hAnsi="Arial"/>
                <w:sz w:val="14"/>
                <w:szCs w:val="14"/>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(Right to</w:t>
            </w: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gridSpan w:val="3"/>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Stock</w:t>
            </w:r>
          </w:p>
        </w:tc>
        <w:tc>
          <w:tcPr>
            <w:tcW w:w="560" w:type="dxa"/>
            <w:vAlign w:val="bottom"/>
            <w:gridSpan w:val="2"/>
            <w:vMerge w:val="continue"/>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60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700" w:type="dxa"/>
            <w:vAlign w:val="bottom"/>
            <w:vMerge w:val="continue"/>
          </w:tcPr>
          <w:p>
            <w:pPr>
              <w:spacing w:after="0"/>
              <w:rPr>
                <w:sz w:val="10"/>
                <w:szCs w:val="10"/>
                <w:color w:val="auto"/>
              </w:rPr>
            </w:pPr>
          </w:p>
        </w:tc>
        <w:tc>
          <w:tcPr>
            <w:tcW w:w="7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4"/>
          <w:szCs w:val="14"/>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36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option shall vest in full upon the earlier of June 11, 2020 or the date of the Issuer's 2020 Annual Meeting of Stockholders, subject to the reporting person's continued service as a director through such vesting date.</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0"/>
          <w:szCs w:val="20"/>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ind w:left="6860"/>
        <w:spacing w:after="0" w:line="184" w:lineRule="auto"/>
        <w:rPr>
          <w:sz w:val="20"/>
          <w:szCs w:val="20"/>
          <w:color w:val="auto"/>
        </w:rPr>
      </w:pPr>
      <w:r>
        <w:rPr>
          <w:rFonts w:ascii="Arial" w:cs="Arial" w:eastAsia="Arial" w:hAnsi="Arial"/>
          <w:sz w:val="17"/>
          <w:szCs w:val="17"/>
          <w:color w:val="0000FF"/>
        </w:rPr>
        <w:t xml:space="preserve">/s/ Steven Avruch, as Attorney- </w:t>
      </w:r>
      <w:r>
        <w:rPr>
          <w:rFonts w:ascii="Arial" w:cs="Arial" w:eastAsia="Arial" w:hAnsi="Arial"/>
          <w:sz w:val="34"/>
          <w:szCs w:val="34"/>
          <w:color w:val="0000FF"/>
          <w:vertAlign w:val="subscript"/>
        </w:rPr>
        <w:t>06/13/2019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0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4001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6" w:right="139" w:bottom="1440" w:gutter="0" w:footer="0" w:header="0"/>
          <w:type w:val="continuous"/>
        </w:sectPr>
      </w:pPr>
    </w:p>
    <w:bookmarkStart w:id="1" w:name="page2"/>
    <w:bookmarkEnd w:id="1"/>
    <w:p>
      <w:pPr>
        <w:ind w:left="3380"/>
        <w:spacing w:after="0"/>
        <w:rPr>
          <w:sz w:val="20"/>
          <w:szCs w:val="20"/>
          <w:color w:val="auto"/>
        </w:rPr>
      </w:pPr>
      <w:r>
        <w:rPr>
          <w:rFonts w:ascii="Courier New" w:cs="Courier New" w:eastAsia="Courier New" w:hAnsi="Courier New"/>
          <w:sz w:val="18"/>
          <w:szCs w:val="18"/>
          <w:color w:val="auto"/>
        </w:rPr>
        <w:t>LIMITED POWER OF ATTORNEY</w:t>
      </w:r>
    </w:p>
    <w:p>
      <w:pPr>
        <w:spacing w:after="0" w:line="207" w:lineRule="exact"/>
        <w:rPr>
          <w:sz w:val="20"/>
          <w:szCs w:val="20"/>
          <w:color w:val="auto"/>
        </w:rPr>
      </w:pPr>
    </w:p>
    <w:p>
      <w:pPr>
        <w:ind w:right="1999" w:firstLine="737"/>
        <w:spacing w:after="0" w:line="237" w:lineRule="auto"/>
        <w:rPr>
          <w:sz w:val="20"/>
          <w:szCs w:val="20"/>
          <w:color w:val="auto"/>
        </w:rPr>
      </w:pPr>
      <w:r>
        <w:rPr>
          <w:rFonts w:ascii="Courier New" w:cs="Courier New" w:eastAsia="Courier New" w:hAnsi="Courier New"/>
          <w:sz w:val="18"/>
          <w:szCs w:val="18"/>
          <w:color w:val="auto"/>
        </w:rPr>
        <w:t>The undersigned hereby constitutes and appoints each of Geoff MacKay, Steven Avruch, Erik Ostrowski and Arthur R. McGivern, signing singly, and with full power of substitution, the undersigned's true and lawful attorney-in-fact to:</w:t>
      </w:r>
    </w:p>
    <w:p>
      <w:pPr>
        <w:spacing w:after="0" w:line="207" w:lineRule="exact"/>
        <w:rPr>
          <w:sz w:val="20"/>
          <w:szCs w:val="20"/>
          <w:color w:val="auto"/>
        </w:rPr>
      </w:pPr>
    </w:p>
    <w:p>
      <w:pPr>
        <w:ind w:right="157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officer and/or director of AVROBIO, Inc. (the "Company"), from time to time the following U.S. Securities and Exchange Commission ("SEC") forms: (i) Form ID, including any attached documents (such as Update Passphrase Authentication),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w:t>
      </w:r>
    </w:p>
    <w:p>
      <w:pPr>
        <w:spacing w:after="0" w:line="1" w:lineRule="exact"/>
        <w:rPr>
          <w:rFonts w:ascii="Courier New" w:cs="Courier New" w:eastAsia="Courier New" w:hAnsi="Courier New"/>
          <w:sz w:val="16"/>
          <w:szCs w:val="16"/>
          <w:color w:val="auto"/>
        </w:rPr>
      </w:pP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of Securities, including any attached documents; (iv) Form 5, Annual Statement of Beneficial Ownership of Securities in accordance with Section 16(a) of the Securities Exchange Act of 1934, as amended, and the rules thereunder, including any attached documents; (v) Schedules 13D and 13G and (vi) amendments of each thereof, in accordance with the Securities Exchange Act of 1934, as amended, and the rules thereunder, including any attached documents;</w:t>
      </w:r>
    </w:p>
    <w:p>
      <w:pPr>
        <w:spacing w:after="0" w:line="209" w:lineRule="exact"/>
        <w:rPr>
          <w:rFonts w:ascii="Courier New" w:cs="Courier New" w:eastAsia="Courier New" w:hAnsi="Courier New"/>
          <w:sz w:val="16"/>
          <w:szCs w:val="16"/>
          <w:color w:val="auto"/>
        </w:rPr>
      </w:pPr>
    </w:p>
    <w:p>
      <w:pPr>
        <w:ind w:right="13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Form 3, 4</w:t>
      </w:r>
    </w:p>
    <w:p>
      <w:pPr>
        <w:ind w:right="2099"/>
        <w:spacing w:after="0" w:line="236"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or 5, Schedules 13D and 13G or any amendment(s) thereto, and timely file such form(s) with the SEC and any securities exchange, national association or similar authority; and</w:t>
      </w:r>
    </w:p>
    <w:p>
      <w:pPr>
        <w:spacing w:after="0" w:line="208" w:lineRule="exact"/>
        <w:rPr>
          <w:rFonts w:ascii="Courier New" w:cs="Courier New" w:eastAsia="Courier New" w:hAnsi="Courier New"/>
          <w:sz w:val="16"/>
          <w:szCs w:val="16"/>
          <w:color w:val="auto"/>
        </w:rPr>
      </w:pPr>
    </w:p>
    <w:p>
      <w:pPr>
        <w:ind w:right="1459" w:firstLine="851"/>
        <w:spacing w:after="0" w:line="268" w:lineRule="auto"/>
        <w:tabs>
          <w:tab w:leader="none" w:pos="1686"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209" w:lineRule="exact"/>
        <w:rPr>
          <w:sz w:val="20"/>
          <w:szCs w:val="20"/>
          <w:color w:val="auto"/>
        </w:rPr>
      </w:pPr>
    </w:p>
    <w:p>
      <w:pPr>
        <w:ind w:right="1459" w:firstLine="843"/>
        <w:spacing w:after="0" w:line="236" w:lineRule="auto"/>
        <w:rPr>
          <w:sz w:val="20"/>
          <w:szCs w:val="20"/>
          <w:color w:val="auto"/>
        </w:rPr>
      </w:pPr>
      <w:r>
        <w:rPr>
          <w:rFonts w:ascii="Courier New" w:cs="Courier New" w:eastAsia="Courier New" w:hAnsi="Courier New"/>
          <w:sz w:val="18"/>
          <w:szCs w:val="18"/>
          <w:color w:val="auto"/>
        </w:rPr>
        <w:t>The undersigned hereby grants to each such attorney-in-fact, acting singly, full power and authority to do and perform any and every act and thing whatsoever requisite, necessary or proper to be done in the exercise of any of</w:t>
      </w:r>
    </w:p>
    <w:p>
      <w:pPr>
        <w:spacing w:after="0" w:line="6"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attorneys- in-fact and the Company from and against any demand, damage, loss, cost or expense arising from any false or misleading information provided by the undersigned to the attorneys-in-fact.</w:t>
      </w:r>
    </w:p>
    <w:p>
      <w:pPr>
        <w:spacing w:after="0" w:line="207" w:lineRule="exact"/>
        <w:rPr>
          <w:sz w:val="20"/>
          <w:szCs w:val="20"/>
          <w:color w:val="auto"/>
        </w:rPr>
      </w:pPr>
    </w:p>
    <w:p>
      <w:pPr>
        <w:ind w:right="1879" w:firstLine="843"/>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 This Power of Attorney supersedes any prior power of attorney in connection with the undersigned's capacity as an officer and/or director of the Company. This Power of Attorney shall expire as to any individual attorney-in-fact if such attorney-in-fact ceases to be an executive officer of, or legal counsel to, the Company.</w:t>
      </w:r>
    </w:p>
    <w:p>
      <w:pPr>
        <w:spacing w:after="0" w:line="214" w:lineRule="exact"/>
        <w:rPr>
          <w:sz w:val="20"/>
          <w:szCs w:val="20"/>
          <w:color w:val="auto"/>
        </w:rPr>
      </w:pPr>
    </w:p>
    <w:p>
      <w:pPr>
        <w:ind w:right="1459" w:firstLine="843"/>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June 11, 2019.</w:t>
      </w:r>
    </w:p>
    <w:p>
      <w:pPr>
        <w:spacing w:after="0" w:line="203"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8"/>
          <w:szCs w:val="18"/>
          <w:color w:val="auto"/>
        </w:rPr>
        <w:t>/s/Ian T. Clark</w:t>
      </w:r>
    </w:p>
    <w:p>
      <w:pPr>
        <w:ind w:left="4540"/>
        <w:spacing w:after="0" w:line="238" w:lineRule="auto"/>
        <w:rPr>
          <w:sz w:val="20"/>
          <w:szCs w:val="20"/>
          <w:color w:val="auto"/>
        </w:rPr>
      </w:pPr>
      <w:r>
        <w:rPr>
          <w:rFonts w:ascii="Courier New" w:cs="Courier New" w:eastAsia="Courier New" w:hAnsi="Courier New"/>
          <w:sz w:val="18"/>
          <w:szCs w:val="18"/>
          <w:color w:val="auto"/>
        </w:rPr>
        <w:t>---------------</w:t>
      </w:r>
    </w:p>
    <w:p>
      <w:pPr>
        <w:jc w:val="center"/>
        <w:ind w:right="-120"/>
        <w:spacing w:after="0"/>
        <w:rPr>
          <w:sz w:val="20"/>
          <w:szCs w:val="20"/>
          <w:color w:val="auto"/>
        </w:rPr>
      </w:pPr>
      <w:r>
        <w:rPr>
          <w:rFonts w:ascii="Courier New" w:cs="Courier New" w:eastAsia="Courier New" w:hAnsi="Courier New"/>
          <w:sz w:val="18"/>
          <w:szCs w:val="18"/>
          <w:color w:val="auto"/>
        </w:rPr>
        <w:t>Ian T. Clark</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36504" TargetMode="External"/><Relationship Id="rId13" Type="http://schemas.openxmlformats.org/officeDocument/2006/relationships/hyperlink" Target="http://www.sec.gov/cgi-bin/browse-edgar?action=getcompany&amp;CIK=00016810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2019-12-23T16:05:25Z</dcterms:created>
  <dcterms:modified xsi:type="dcterms:W3CDTF">2019-12-23T16:05:25Z</dcterms:modified>
</cp:coreProperties>
</file>