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PAIGE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AVROBIO,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TECHNOLOGY SQUARE,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AVROBIO, Inc.</w:t>
              </w:r>
            </w:hyperlink>
            <w:r>
              <w:rPr/>
              <w:t xml:space="preserve"> [ </w:t>
            </w:r>
            <w:r>
              <w:rPr>
                <w:rFonts w:ascii="Times;serif" w:hAnsi="Times;serif"/>
                <w:color w:val="0000FF"/>
                <w:sz w:val="24"/>
                <w:shd w:fill="FFFFFF" w:val="clear"/>
              </w:rPr>
              <w:t>AVRO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17,643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in full upon the earlier of June 6, 2024 or the date of the Issuer's 2024 Annual Meeting of Stockholders, subject to the reporting person's continued service as a director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N. Avruch, Attorney-in-Fact for Christopher Paige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2209" TargetMode="External"/><Relationship Id="rId4" Type="http://schemas.openxmlformats.org/officeDocument/2006/relationships/hyperlink" Target="http://www.sec.gov/cgi-bin/browse-edgar?action=getcompany&amp;CIK=000168108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3287</Characters>
  <CharactersWithSpaces>3829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