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 Technology Square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Sixth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January 30, 2024, AVROBIO, Inc., a Delaware corporation (“AVRO”), Alpine Merger Subsidiary, Inc., a Delaware corporation and a wholly owned subsidiary of AVRO (“Merger Sub”), and Tectonic Therapeutic, Inc., a Delaware corporation (“Tectonic”), entered into an Agreement and Plan of Merger and Reorganization (the “Merger Agreement”), pursuant to which, among other matters, and subject to the satisfaction or waiver of the conditions set forth in the Merger Agreement, Merger Sub will merge with and into Tectonic, with Tectonic continuing as a wholly owned subsidiary of AVRO and the surviving corporation of the merger (the “Merger”). The Merger is intended to qualify for federal income tax purposes as a tax-free reorganization under the provisions of Section 368(a) of the Internal Revenue Code of 1986, as amended.</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closing of the Merger, (a) each then-outstanding share of Tectonic common stock (including shares of Tectonic common stock issued upon conversion of Tectonic preferred stock, shares of Tectonic common stock issued upon conversion of Tectonic convertible instruments and shares of Tectonic common stock issued in the financing transactions described below) will be converted into the right to receive a number of shares of AVRO common stock calculated in accordance with the Merger Agreement (the “Exchange Ratio”), (b) each then-outstanding option to purchase Tectonic common stock will be assumed by AVRO, subject to adjustment as set forth in the Merger Agreement, and (c) each then-outstanding restricted stock unit in respect of Tectonic common stock will be assumed by AVRO, subject to adjustment as set forth in the Merger Agreement. Under the terms of the Merger Agreement, prior to the closing of the transaction, the board of directors of AVRO (the “Board”) will take actions to (i) accelerate the vesting of each outstanding in-the-money option to purchase AVRO common stock held by a current employee, director or consultant of AVRO as of the date of the Merger Agreement and cause certain in-the-money options subject to the lock-up agreements described herein to remain outstanding beyond the lock-up period described below and (ii) accelerate the vesting and, at closing, settle into shares of AVRO common stock each outstanding restricted stock unit in respect of AVRO common stock that vests solely on the basis of time.</w:t>
      </w:r>
    </w:p>
    <w:p>
      <w:pPr>
        <w:spacing w:after="0" w:line="18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Under the Exchange Ratio formula in the Merger Agreement, upon the closing of the Merger, and assuming proceeds to Tectonic in the financing transactions described below in the amount of approximately $130.7 million, on a pro forma basis, based upon the number of shares of AVRO common stock expected to be issued in the Merger, pre-Merger Tectonic stockholders (not including in respect of those shares of Tectonic common stock issued in the financing transactions described below) are currently expected to own approximately 40.2% of the combined company, pre-Merger Tectonic stockholders in respect of those shares of Tectonic common stock issued in the financing transactions described below are currently expected to own approximately 37.5% of the combined company, and pre-Merger AVRO stockholders are currently expected to own approximately 22.3% of the combined company. For purposes of calculating the Exchange Ratio, the capitalization of each of AVRO and Tectonic are calculated on a fully diluted basis, at the time of closing of the Merger, with outstanding options calculated on a treasury stock method basis and excluding any treasury stock or unallocated equity pool as further described in the Merger Agreement. The Exchange Ratio may be adjusted if that AVRO’s net cash at closing is less than $64.5 million or greater than $65.5 million, as further described in the Merger Agreement.</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Merger, AVRO will seek the approval of its stockholders to, among other things, (a) issue shares of AVRO common stock issuable in connection with the Merger under the rules of The Nasdaq Stock Market LLC (“Nasdaq”), (b) amend AVRO’s certificate of incorporation to, among other things, effect a reverse stock split of AVRO common stock, (c) approve certain equity plans and (d) approve an amendment to AVRO’s certificate of incorporation to provide for the exculpation of officers.</w:t>
      </w:r>
    </w:p>
    <w:p>
      <w:pPr>
        <w:spacing w:after="0" w:line="18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Each of AVRO and Tectonic has agreed to customary representations, warranties and covenants in the Merger Agreement, including, among others, covenants relating to (1) efforts to obtain the requisite approval of its stockholders, (2) non-solicitation of alternative acquisition proposals, (3) the conduct of their respective businesses during the period between the date of signing the Merger Agreement and the closing of the Merger, (4) AVRO using commercially reasonable efforts to maintain the existing listing of the AVRO common stock on Nasdaq and cause the shares of AVRO common stock to be issued in connection with the Merger to be approved for listing on Nasdaq prior to the closing of the Merger and (5) AVRO filing with the U.S. Securities and Exchange Commission (the “SEC”) and causing to become effective a registration statement to register the shares of AVRO common stock to be issued in connection with the Merger (the “Registration Statement”).</w:t>
      </w:r>
    </w:p>
    <w:p>
      <w:pPr>
        <w:sectPr>
          <w:pgSz w:w="11900" w:h="16838" w:orient="portrait"/>
          <w:cols w:equalWidth="0" w:num="1">
            <w:col w:w="11000"/>
          </w:cols>
          <w:pgMar w:left="440" w:top="293" w:right="459" w:bottom="1440" w:gutter="0" w:footer="0" w:header="0"/>
        </w:sectPr>
      </w:pPr>
    </w:p>
    <w:bookmarkStart w:id="2" w:name="page3"/>
    <w:bookmarkEnd w:id="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Consummation of the Merger is subject to certain closing conditions, including, among other things, (1) approval by AVRO stockholders of specified AVRO voting matters as set forth in the Merger Agreement, (2) approval by the requisite Tectonic stockholders of the adoption and approval of the Merger Agreement and the transactions contemplated thereby, (3) Nasdaq’s approval of the listing of the shares of AVRO common stock to be issued in connection with the Merger and the continued listing of the AVRO common stock on Nasdaq, (4) the effectiveness of the Registration Statement, (5) the financing transactions described below resulting in aggregate cash proceeds of not less than $114,500,000 to Tectonic, (6) absence of material adverse effects on AVRO and Tectonic, respectively, and (7) AVRO’s net cash not being less than $50,000,000 as of immediately prior to the Effective Time of the Merger (the “Effective Time”). Each party’s 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Merger Agreement contains certain termination rights of each of AVRO and Tectonic. Upon termination of the Merger Agreement under specified circumstances, AVRO may be required to pay Tectonic a termination fee of $2,712,500 and/or reimburse Tectonic’s expenses up to a maximum of $650,000, and Tectonic may be required to pay AVRO a termination fee of $4,900,000.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one director of AVRO will be appointed to the Board, with the remaining directors selected by Tectonic.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Concurrently with the Merger Agreement, Tectonic entered into a subscription agreement with certain investors (the “Subscription Agreement”), pursuant to which Tectonic agreed to sell shares of its common stock immediately prior to the closing of the Merger in a private placement financing. The proceeds from the private placement financing expected to be consummated at the closing of the merger, together with additional private placement financings through simple agreements for future equity (the “SAFEs”), are expected to be at least $130.7 million in the aggregate. The closing of the private placement financing contemplated by the Subscription Agreement is conditioned upon the satisfaction or waiver of the conditions set forth in the Merger Agreement and the SAFEs will convert to common stock of Tectonic in connection with the closing of the Merger. Shares of common stock issued pursuant to the Subscription Agreement and upon conversion of the SAFEs will be converted into shares of AVRO in accordance with the Exchange Ratio.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Value Rights Agreement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the Effective Time, AVRO and a rights agent are expected to enter into a Contingent Value Rights Agreement (the “CVR Agreement”), pursuant to which AVRO stockholders of record as of the close of business on the last business day prior to the day on which the Effective Time occurs will receive one contingent value right (each, a “CVR”) for each outstanding share of AVRO common stock held by such stockholder on such date.</w:t>
      </w:r>
    </w:p>
    <w:p>
      <w:pPr>
        <w:spacing w:after="0" w:line="1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Each CVR will represent the contractual right to receive payments from AVRO upon the actual receipt by AVRO or its subsidiaries of certain contingent proceeds derived from any marketable consideration that is paid to AVRO as a result of the direct or indirect sale, license, assignment, transfer, conveyance, grant of any option or other disposition of certain of AVRO’s assets, rights and interests to the extent existing prior to the closing of the Merger relating to AVRO’s (a) plato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manufacturing platform, (b) AVR-RD-01 (Fabry disease), AVR-RD-02 (Gaucher disease), and/or AVR-RD-03 (Pompe disease) research and development programs (none of which are currently active), and (c) certain intellectual property, net of certain tax, transaction costs and certain other expenses or liabilities.</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There can be no assurance that holders of CVRs will receive any payments with respect thereto.</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the Company or any of its affiliates. No interest will accrue on any amounts payable in respect of the CVRs.</w:t>
      </w:r>
    </w:p>
    <w:p>
      <w:pPr>
        <w:sectPr>
          <w:pgSz w:w="11900" w:h="16838" w:orient="portrait"/>
          <w:cols w:equalWidth="0" w:num="1">
            <w:col w:w="10980"/>
          </w:cols>
          <w:pgMar w:left="440" w:top="297" w:right="47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summary of the CVR Agreement does not purport to be complete and is qualified in its entirety by reference to the full text of the form of CVR Agreement, which is filed herewith as Exhibit 10.5 and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 and Lock-Up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(i) certain stockholders of Tectonic (solely in their respective capacities as Tectonic stockholders) holding approximately 88% of the voting power of Tectonic have entered into support agreements with AVRO and Tectonic to vote all of their shares of Tectonic capital stock in favor of the adoption and approval of the Merger Agreement and the transactions contemplated thereby and against any alternative acquisition proposals and certain other matters (the “Tectonic Support Agreements”) and (ii) certain stockholders of AVRO holding approximately 10.8% of the outstanding shares of AVRO common stock have entered into support agreements with AVRO and Tectonic to vote all of their shares of AVRO common stock in favor of certain AVRO voting proposals and against any alternative acquisition proposals (the “AVRO Support Agreements,” and, together with the Tectonic Support Agreements, the “Support Agreements”).</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each of AVRO and Tectonic have entered into lock-up agreements (the “Lock-Up Agreements”) pursuant to which, subject to specified exceptions, they have agreed not to transfer their shares of AVRO common stock for the 180-day period following the closing of the Merger.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preceding summaries of the Merger Agreement, the Support Agreements, the Lock-Up Agreements and the CVR Agreement do not purport to be complete and are qualified in their entirety by reference to the Merger Agreement, the form of Tectonic Support Agreement, the form of AVRO Support Agreement, the form of Lock-Up Agreement and the form of CVR Agreement, which are filed as Exhibits 2.1, 10.1, 10.2, 10.3 and 10.4,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Tectonic or AVRO or to modify or supplement any factual disclosures about AVRO in its public reports filed with the SEC. The Merger Agreement includes representations, warranties and covenants of Tectonic, AVRO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Tectonic, AVRO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33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by this Item, the information included in Item 1.01 of this Current Report on Form 8-K is incorporated herein by reference.</w:t>
      </w:r>
    </w:p>
    <w:p>
      <w:pPr>
        <w:sectPr>
          <w:pgSz w:w="11900" w:h="16838" w:orient="portrait"/>
          <w:cols w:equalWidth="0" w:num="1">
            <w:col w:w="10980"/>
          </w:cols>
          <w:pgMar w:left="440" w:top="297" w:right="47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780"/>
          </w:cols>
          <w:pgMar w:left="440" w:top="297"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 the extent required by this Item, the information included in Item 1.01 of this Current Report on Form 8-K is incorporated herein by reference.</w:t>
      </w:r>
    </w:p>
    <w:p>
      <w:pPr>
        <w:sectPr>
          <w:pgSz w:w="11900" w:h="16838" w:orient="portrait"/>
          <w:cols w:equalWidth="0" w:num="1">
            <w:col w:w="10980"/>
          </w:cols>
          <w:pgMar w:left="440" w:top="297" w:right="479" w:bottom="1440" w:gutter="0" w:footer="0" w:header="0"/>
          <w:type w:val="continuous"/>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On January 30, 2024, AVRO and Tectonic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pacing w:after="0" w:line="176"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right="2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amount, timing and 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 Tectonic, the Merger or the private placement financings will be those that have been anticipated.</w:t>
      </w:r>
    </w:p>
    <w:p>
      <w:pPr>
        <w:spacing w:after="0" w:line="196"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many of which involve factors or circumstances that are beyond AVRO’s control. AVRO’s actual results could differ materially from those stated or implied in forward-looking statements due to a number of factors, including but not limited to (i) the risk that the conditions to the Closing are not satisfied, including the failure to timely obtain stockholder approval for the transaction, if at all; (ii) uncertainties as to the timing of the consummation of the proposed Merger and the ability of each of AVRO and Tectonic to consummate the proposed Merger; (iii) risks related to AVRO’s ability to manage its operating expenses and its expenses associated with the proposed Merger pending the Closing; (iv) risks related to the failure or delay in obtaining any required consents necessary to consummate the proposed Merger;</w:t>
      </w:r>
    </w:p>
    <w:p>
      <w:pPr>
        <w:spacing w:after="0" w:line="5" w:lineRule="exact"/>
        <w:rPr>
          <w:sz w:val="20"/>
          <w:szCs w:val="20"/>
          <w:color w:val="auto"/>
        </w:rPr>
      </w:pPr>
    </w:p>
    <w:p>
      <w:pPr>
        <w:ind w:left="4" w:right="80" w:hanging="4"/>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adjustments to the exchange ratio, AVRO stockholders and Tectonic stockholders could own more or less of the combined company than is currently anticipated; (vi) risks related to the market price of AVRO’s</w:t>
      </w:r>
    </w:p>
    <w:p>
      <w:pPr>
        <w:sectPr>
          <w:pgSz w:w="11900" w:h="16838" w:orient="portrait"/>
          <w:cols w:equalWidth="0" w:num="1">
            <w:col w:w="10984"/>
          </w:cols>
          <w:pgMar w:left="436" w:top="293"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common stock relative to the value suggested by the exchange ratio; (vii) unexpected costs, charges or expenses resulting from the transaction;</w:t>
      </w:r>
    </w:p>
    <w:p>
      <w:pPr>
        <w:spacing w:after="0" w:line="27" w:lineRule="exact"/>
        <w:rPr>
          <w:sz w:val="20"/>
          <w:szCs w:val="20"/>
          <w:color w:val="auto"/>
        </w:rPr>
      </w:pPr>
    </w:p>
    <w:p>
      <w:pPr>
        <w:ind w:left="4" w:right="80" w:hanging="4"/>
        <w:spacing w:after="0" w:line="265" w:lineRule="auto"/>
        <w:tabs>
          <w:tab w:leader="none" w:pos="4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reactions or changes to business relationships resulting from the announcement or completion of the proposed Merger; (ix) the uncertainties associated with Tectonic’s product candidates, as well as risks associated with the clinical development and regulatory approval of product candidates, including potential delays in the completion of clinical trials; (x) risks related to the inability of the combined company to obtain sufficient additional capital to continue to advance these or other product candidates; (xi) uncertainties in obtaining successful clinical results for product candidates and unexpected costs that may result therefrom; (xii) risks related to the failure to realize any value from product candidates currently being developed and anticipated to be developed in light of inherent risks and difficulties involved in successfully bringing product candidates to market;</w:t>
      </w:r>
    </w:p>
    <w:p>
      <w:pPr>
        <w:ind w:left="4" w:hanging="4"/>
        <w:spacing w:after="0" w:line="251" w:lineRule="auto"/>
        <w:tabs>
          <w:tab w:leader="none" w:pos="4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possible failure to realize certain anticipated benefits of the proposed Merger, including with respect to future financial and operating results; and (xiv) the risk that the private placement financings are not consummated upon the Closing.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AVRO’s Annual Report on Form 10-K for the year ended December 31, 2022, which was filed with the SEC on March 23, 2023, subsequent Quarterly Reports on Form 10-Q filed with the SEC, and in other filings that AVRO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 or Tectonic.</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1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9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 SECURITIES OR DETERMINED IF THIS CURRENT REPORT ON FORM 8-K AND THE EXHIBITS FILED OR FURNISHED HEREWITH ARE TRUTHFUL OR COMPLETE.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Important Additional Information About the Proposed Transaction Will be Filed with the SEC</w:t>
      </w:r>
    </w:p>
    <w:p>
      <w:pPr>
        <w:spacing w:after="0" w:line="121"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are not substitutes for the registration statement or for any other document that AVRO may file with the SEC in connection with the proposed transaction. In connection with the proposed transaction between AVRO and Tectonic, AVRO intends to file relevant materials with the SEC, including a registration statement on Form S-4 that will contain a proxy statement/prospectus of AVRO. AVRO URGES INVESTORS AND STOCKHOLDERS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 INFORMATION ABOUT AVRO, TECTONIC, THE PROPOSED TRANSACTION AND RELATED MATTERS. Investors and stockholders will be able to obtain free copies of the proxy statement/prospectus and other documents filed by AVRO with the SEC (when they become available)</w:t>
      </w:r>
    </w:p>
    <w:p>
      <w:pPr>
        <w:sectPr>
          <w:pgSz w:w="11900" w:h="16838" w:orient="portrait"/>
          <w:cols w:equalWidth="0" w:num="1">
            <w:col w:w="11024"/>
          </w:cols>
          <w:pgMar w:left="436" w:top="297" w:right="439" w:bottom="1440" w:gutter="0" w:footer="0" w:header="0"/>
        </w:sectPr>
      </w:pPr>
    </w:p>
    <w:bookmarkStart w:id="6" w:name="page7"/>
    <w:bookmarkEnd w:id="6"/>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through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investors and stockholders should note that AVRO communicates with investors and the public using its website (</w:t>
      </w:r>
      <w:r>
        <w:rPr>
          <w:rFonts w:ascii="Times New Roman" w:cs="Times New Roman" w:eastAsia="Times New Roman" w:hAnsi="Times New Roman"/>
          <w:sz w:val="18"/>
          <w:szCs w:val="18"/>
          <w:i w:val="1"/>
          <w:iCs w:val="1"/>
          <w:color w:val="auto"/>
        </w:rPr>
        <w:t>https://www.avrobio.com</w:t>
      </w:r>
      <w:r>
        <w:rPr>
          <w:rFonts w:ascii="Times New Roman" w:cs="Times New Roman" w:eastAsia="Times New Roman" w:hAnsi="Times New Roman"/>
          <w:sz w:val="18"/>
          <w:szCs w:val="18"/>
          <w:color w:val="auto"/>
        </w:rPr>
        <w:t>) and the investor relations website (</w:t>
      </w:r>
      <w:r>
        <w:rPr>
          <w:rFonts w:ascii="Times New Roman" w:cs="Times New Roman" w:eastAsia="Times New Roman" w:hAnsi="Times New Roman"/>
          <w:sz w:val="18"/>
          <w:szCs w:val="18"/>
          <w:i w:val="1"/>
          <w:iCs w:val="1"/>
          <w:color w:val="auto"/>
        </w:rPr>
        <w:t>https://investors.avrobio.com</w:t>
      </w:r>
      <w:r>
        <w:rPr>
          <w:rFonts w:ascii="Times New Roman" w:cs="Times New Roman" w:eastAsia="Times New Roman" w:hAnsi="Times New Roman"/>
          <w:sz w:val="18"/>
          <w:szCs w:val="18"/>
          <w:color w:val="auto"/>
        </w:rPr>
        <w:t>) where anyone will be able to obtain free copies of the proxy statement/prospectus and other documents filed by AVRO with the SEC and stockholders are urged to read the proxy statement/prospectus and the other relevant materials when they become available before making any voting or investment decision with respect to the proposed transaction.</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color w:val="auto"/>
        </w:rPr>
        <w:t>AVRO, Tectonic and their respective directors and executive officers may be deemed to be participants in the solicitation of proxies from stockholders in connection with the proposed transaction. Information about AVRO’s directors and executive officers including a description of their interests in AVRO is included in AVRO’s most recent Annual Report on Form 10-K, including any information incorporated therein by reference, as filed with the SEC.</w:t>
      </w:r>
    </w:p>
    <w:p>
      <w:pPr>
        <w:spacing w:after="0" w:line="2" w:lineRule="exact"/>
        <w:rPr>
          <w:sz w:val="20"/>
          <w:szCs w:val="20"/>
          <w:color w:val="auto"/>
        </w:rPr>
      </w:pPr>
    </w:p>
    <w:p>
      <w:pPr>
        <w:ind w:left="4" w:right="20"/>
        <w:spacing w:after="0" w:line="260" w:lineRule="auto"/>
        <w:rPr>
          <w:sz w:val="20"/>
          <w:szCs w:val="20"/>
          <w:color w:val="auto"/>
        </w:rPr>
      </w:pPr>
      <w:r>
        <w:rPr>
          <w:rFonts w:ascii="Times New Roman" w:cs="Times New Roman" w:eastAsia="Times New Roman" w:hAnsi="Times New Roman"/>
          <w:sz w:val="18"/>
          <w:szCs w:val="18"/>
          <w:color w:val="auto"/>
        </w:rPr>
        <w:t>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spacing w:after="0" w:line="32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3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173"/>
        </w:trPr>
        <w:tc>
          <w:tcPr>
            <w:tcW w:w="5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6"/>
              </w:rPr>
              <w:t>   No. </w:t>
            </w:r>
          </w:p>
        </w:tc>
        <w:tc>
          <w:tcPr>
            <w:tcW w:w="540" w:type="dxa"/>
            <w:vAlign w:val="bottom"/>
          </w:tcPr>
          <w:p>
            <w:pPr>
              <w:spacing w:after="0"/>
              <w:rPr>
                <w:sz w:val="15"/>
                <w:szCs w:val="15"/>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9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as of January 30, 2024, by and among AVRO, Aspen Merger Subsidiary, Inc. and Tectonic.</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Tectonic Support Agreement</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Form of AVRO Support Agreement</w:t>
            </w:r>
          </w:p>
        </w:tc>
        <w:tc>
          <w:tcPr>
            <w:tcW w:w="120" w:type="dxa"/>
            <w:vAlign w:val="bottom"/>
            <w:tcBorders>
              <w:top w:val="single" w:sz="8" w:color="0000EE"/>
            </w:tcBorders>
          </w:tcPr>
          <w:p>
            <w:pPr>
              <w:spacing w:after="0"/>
              <w:rPr>
                <w:sz w:val="24"/>
                <w:szCs w:val="24"/>
                <w:color w:val="auto"/>
              </w:rPr>
            </w:pPr>
          </w:p>
        </w:tc>
        <w:tc>
          <w:tcPr>
            <w:tcW w:w="6620" w:type="dxa"/>
            <w:vAlign w:val="bottom"/>
            <w:gridSpan w:val="3"/>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2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Lock-Up Agreement</w:t>
            </w:r>
          </w:p>
        </w:tc>
        <w:tc>
          <w:tcPr>
            <w:tcW w:w="7200" w:type="dxa"/>
            <w:vAlign w:val="bottom"/>
            <w:gridSpan w:val="5"/>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3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Form of Contingent Value Rights Agreement</w:t>
            </w:r>
          </w:p>
        </w:tc>
        <w:tc>
          <w:tcPr>
            <w:tcW w:w="6080" w:type="dxa"/>
            <w:vAlign w:val="bottom"/>
            <w:gridSpan w:val="2"/>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3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Joint Press Release, issued on January 30, 2024</w:t>
            </w:r>
          </w:p>
        </w:tc>
        <w:tc>
          <w:tcPr>
            <w:tcW w:w="5900" w:type="dxa"/>
            <w:vAlign w:val="bottom"/>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440" w:hanging="224"/>
        <w:spacing w:after="0" w:line="266"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registrant may request confidential treatment pursuant to Rule 24b-2 under the Exchange Act for any exhibits or schedules so furnished.</w:t>
      </w:r>
    </w:p>
    <w:p>
      <w:pPr>
        <w:sectPr>
          <w:pgSz w:w="11900" w:h="16838" w:orient="portrait"/>
          <w:cols w:equalWidth="0" w:num="1">
            <w:col w:w="11004"/>
          </w:cols>
          <w:pgMar w:left="436" w:top="295" w:right="459" w:bottom="1440" w:gutter="0" w:footer="0" w:header="0"/>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Erik Ostrowski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President, Interim Chief Executive Officer, Chief Financial Officer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0880"/>
          </w:cols>
          <w:pgMar w:left="440" w:top="293" w:right="5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AGREEMENT AND PLAN OF MERGER AND REORGANIZATION</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AVROBIO,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ALPINE MERGER SUBSIDIARY, INC.</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20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5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 Definitions and Interpretative Provisions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 Description of Transaction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Effective Time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 Directors and Officers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Company Equity Securities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Contingent Value Right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of the Company’s Transfer Books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Surrender of Company Capital Stock</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of Net Cash and Company Equity Value.</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Action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Intended Tax Treatment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Appraisal Rights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 Representations and Warranties of the Company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Assets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Leasehold</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4"/>
        </w:trPr>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00" w:type="dxa"/>
            <w:vAlign w:val="bottom"/>
          </w:tcPr>
          <w:p>
            <w:pPr>
              <w:jc w:val="right"/>
              <w:ind w:right="5350"/>
              <w:spacing w:after="0"/>
              <w:rPr>
                <w:sz w:val="20"/>
                <w:szCs w:val="20"/>
                <w:color w:val="auto"/>
              </w:rPr>
            </w:pPr>
            <w:r>
              <w:rPr>
                <w:rFonts w:ascii="Times New Roman" w:cs="Times New Roman" w:eastAsia="Times New Roman" w:hAnsi="Times New Roman"/>
                <w:sz w:val="18"/>
                <w:szCs w:val="18"/>
                <w:color w:val="auto"/>
              </w:rPr>
              <w:t>i</w:t>
            </w:r>
          </w:p>
        </w:tc>
      </w:tr>
    </w:tbl>
    <w:p>
      <w:pPr>
        <w:jc w:val="right"/>
        <w:ind w:right="5350"/>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Financial Advisors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3.24</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Sanctions Laws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3.25</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4. Representations and Warranties of Aspen and Merger Sub</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to Assets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 Leasehold</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Permits; Restrictions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Labor Matters; Benefit Plans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4.19</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4.20</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4.21</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Financial Advisors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4.22</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 Issuance</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4.23</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Privacy and Data Security</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4.24</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4.25</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Sanctions Laws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4.26</w:t>
            </w: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64"/>
        </w:trPr>
        <w:tc>
          <w:tcPr>
            <w:tcW w:w="7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580" w:type="dxa"/>
            <w:vAlign w:val="bottom"/>
          </w:tcPr>
          <w:p>
            <w:pPr>
              <w:jc w:val="right"/>
              <w:ind w:right="5310"/>
              <w:spacing w:after="0"/>
              <w:rPr>
                <w:sz w:val="20"/>
                <w:szCs w:val="20"/>
                <w:color w:val="auto"/>
              </w:rPr>
            </w:pPr>
            <w:r>
              <w:rPr>
                <w:rFonts w:ascii="Times New Roman" w:cs="Times New Roman" w:eastAsia="Times New Roman" w:hAnsi="Times New Roman"/>
                <w:sz w:val="18"/>
                <w:szCs w:val="18"/>
                <w:color w:val="auto"/>
              </w:rPr>
              <w:t>ii</w:t>
            </w:r>
          </w:p>
        </w:tc>
      </w:tr>
    </w:tbl>
    <w:p>
      <w:pPr>
        <w:jc w:val="right"/>
        <w:ind w:right="5310"/>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5. Certain Covenants of the Parties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 of Aspen’s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and Investigation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 Additional Agreements of the Parties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Registration Statement, Proxy Statement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Aspen Stockholder Meeting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Efforts; Regulatory Approvals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Options; Company Restricted Stock Units; Company Warrants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Aspen Equity Awards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Legends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and Directors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of Certain Agreements and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Allocation Certificate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6.17</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6.18</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 Regarding Concurrent Investment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7. Conditions Precedent to Obligations of Each Party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Effectiveness of Registration Statement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Restraints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Approval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Lock-Up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8. Additional Conditions Precedent to Obligations of Aspen and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Documents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Company Material Adverse Effect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64"/>
        </w:trPr>
        <w:tc>
          <w:tcPr>
            <w:tcW w:w="780" w:type="dxa"/>
            <w:vAlign w:val="bottom"/>
          </w:tcPr>
          <w:p>
            <w:pPr>
              <w:spacing w:after="0"/>
              <w:rPr>
                <w:sz w:val="24"/>
                <w:szCs w:val="24"/>
                <w:color w:val="auto"/>
              </w:rPr>
            </w:pPr>
          </w:p>
        </w:tc>
        <w:tc>
          <w:tcPr>
            <w:tcW w:w="78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iii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Stockholder Written Consent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Concurrent Investment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FIRPTA Certificate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 Additional Conditions Precedent to Obligation of the Company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Accuracy of Representations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Performance of Covenants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Aspen Material Adverse Effect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Termination Fees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Miscellaneous Provisions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 Counterparts; Exchanges by Electronic Transmission or Facsimile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Law; Jurisdiction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11.7</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11.10</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11.11</w:t>
            </w:r>
          </w:p>
        </w:tc>
        <w:tc>
          <w:tcPr>
            <w:tcW w:w="8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6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Aspen Stockholder Support Agreement</w:t>
            </w:r>
          </w:p>
        </w:tc>
        <w:tc>
          <w:tcPr>
            <w:tcW w:w="20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Company Stockholder Support Agreement</w:t>
            </w:r>
          </w:p>
        </w:tc>
        <w:tc>
          <w:tcPr>
            <w:tcW w:w="20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Lock-Up Agreement</w:t>
            </w:r>
          </w:p>
        </w:tc>
        <w:tc>
          <w:tcPr>
            <w:tcW w:w="20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20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CVR Agreement</w:t>
            </w:r>
          </w:p>
        </w:tc>
        <w:tc>
          <w:tcPr>
            <w:tcW w:w="2020" w:type="dxa"/>
            <w:vAlign w:val="bottom"/>
          </w:tcPr>
          <w:p>
            <w:pPr>
              <w:spacing w:after="0"/>
              <w:rPr>
                <w:sz w:val="24"/>
                <w:szCs w:val="24"/>
                <w:color w:val="auto"/>
              </w:rPr>
            </w:pPr>
          </w:p>
        </w:tc>
      </w:tr>
      <w:tr>
        <w:trPr>
          <w:trHeight w:val="3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of FIRPTA Certificate</w:t>
            </w:r>
          </w:p>
        </w:tc>
        <w:tc>
          <w:tcPr>
            <w:tcW w:w="2020" w:type="dxa"/>
            <w:vAlign w:val="bottom"/>
          </w:tcPr>
          <w:p>
            <w:pPr>
              <w:spacing w:after="0"/>
              <w:rPr>
                <w:sz w:val="24"/>
                <w:szCs w:val="24"/>
                <w:color w:val="auto"/>
              </w:rPr>
            </w:pPr>
          </w:p>
        </w:tc>
      </w:tr>
      <w:tr>
        <w:trPr>
          <w:trHeight w:val="365"/>
        </w:trPr>
        <w:tc>
          <w:tcPr>
            <w:tcW w:w="900" w:type="dxa"/>
            <w:vAlign w:val="bottom"/>
          </w:tcPr>
          <w:p>
            <w:pPr>
              <w:spacing w:after="0"/>
              <w:rPr>
                <w:sz w:val="24"/>
                <w:szCs w:val="24"/>
                <w:color w:val="auto"/>
              </w:rPr>
            </w:pPr>
          </w:p>
        </w:tc>
        <w:tc>
          <w:tcPr>
            <w:tcW w:w="8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iv</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 AND REORGANIZATION</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January 30, 2024,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among </w:t>
      </w:r>
      <w:r>
        <w:rPr>
          <w:rFonts w:ascii="Times New Roman" w:cs="Times New Roman" w:eastAsia="Times New Roman" w:hAnsi="Times New Roman"/>
          <w:sz w:val="18"/>
          <w:szCs w:val="18"/>
          <w:b w:val="1"/>
          <w:bCs w:val="1"/>
          <w:color w:val="auto"/>
        </w:rPr>
        <w:t>AVROBIO,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Aspen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LPINE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UBSIDIARY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and wholly owned subsidiary of Aspen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A. Aspen and the Company intend to effect a merger of Merger Sub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accordance with this Agreement and the DGCL. Upon consummation of the Merger, Merger Sub will cease to exist and the Company will become a wholly owned subsidiary of Aspen.</w:t>
      </w:r>
    </w:p>
    <w:p>
      <w:pPr>
        <w:spacing w:after="0" w:line="17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B. The Parties intend that, for U.S. federal (and applicable state and local) income Tax purposes,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C. The Aspen Board has (i) determined that the Contemplated Transactions are fair to, advisable and in the best interests of Aspen and its stockholders, (ii) approved and declared advisable this Agreement and the Contemplated Transactions, including the issuance of shares of Aspen Common Stock to the stockholders of the Company pursuant to the terms of this Agreement, and (iii) determined to recommend, upon the terms and subject to the conditions set forth in this Agreement, that the stockholders of Aspen vote (A) to approve the issuance of shares of Aspen Common Stock to the stockholders of the Company pursuant to the terms of this Agreement, (B) to approve an amendment to the Aspen Charter to effect the Nasdaq Reverse Split and (C) to approve an amendment to the Aspen Charter to provide for the exculpation of officers (the matters in clauses (A) through (C), together with Aspen stockholder action to approve the Equity Plan Proposals when approved by the Aspen Board in accordance with the terms of the definition thereof, the “</w:t>
      </w:r>
      <w:r>
        <w:rPr>
          <w:rFonts w:ascii="Times New Roman" w:cs="Times New Roman" w:eastAsia="Times New Roman" w:hAnsi="Times New Roman"/>
          <w:sz w:val="18"/>
          <w:szCs w:val="18"/>
          <w:b w:val="1"/>
          <w:bCs w:val="1"/>
          <w:color w:val="auto"/>
        </w:rPr>
        <w:t>Aspen Stockholder Matters</w:t>
      </w:r>
      <w:r>
        <w:rPr>
          <w:rFonts w:ascii="Times New Roman" w:cs="Times New Roman" w:eastAsia="Times New Roman" w:hAnsi="Times New Roman"/>
          <w:sz w:val="18"/>
          <w:szCs w:val="18"/>
          <w:color w:val="auto"/>
        </w:rPr>
        <w:t>”, with the Aspen Stockholder Matters set forth in clauses (A) and (B) only being the “</w:t>
      </w:r>
      <w:r>
        <w:rPr>
          <w:rFonts w:ascii="Times New Roman" w:cs="Times New Roman" w:eastAsia="Times New Roman" w:hAnsi="Times New Roman"/>
          <w:sz w:val="18"/>
          <w:szCs w:val="18"/>
          <w:b w:val="1"/>
          <w:b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Aspen Stockholder Matters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Aspen Disclosure Schedule (solely in their capacity as stockholders of Aspen) are executing support agreements in favor of the Company in substantially the form attached hereto as Exhibit A-1 (the “</w:t>
      </w:r>
      <w:r>
        <w:rPr>
          <w:rFonts w:ascii="Times New Roman" w:cs="Times New Roman" w:eastAsia="Times New Roman" w:hAnsi="Times New Roman"/>
          <w:sz w:val="18"/>
          <w:szCs w:val="18"/>
          <w:b w:val="1"/>
          <w:bCs w:val="1"/>
          <w:color w:val="auto"/>
        </w:rPr>
        <w:t>Aspen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shares of capital stock of Aspen (a) to approve the Aspen Stockholder Matters and (b) against any Acquisition Proposal.</w:t>
      </w:r>
    </w:p>
    <w:p>
      <w:pPr>
        <w:sectPr>
          <w:pgSz w:w="11900" w:h="16838" w:orient="portrait"/>
          <w:cols w:equalWidth="0" w:num="1">
            <w:col w:w="11020"/>
          </w:cols>
          <w:pgMar w:left="440" w:top="266" w:right="439" w:bottom="1440" w:gutter="0" w:footer="0" w:header="0"/>
        </w:sectPr>
      </w:pPr>
    </w:p>
    <w:bookmarkStart w:id="14" w:name="page15"/>
    <w:bookmarkEnd w:id="1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Concurrently with the execution and delivery of this Agreement and as a condition and inducement to Aspen’s willingness to enter into this Agreement, each of the Persons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Company Disclosure Schedule, who collectively hold shares of Company Capital Stock sufficient to adopt and approve this Agreement and the Merger as required under the DGCL and the Organizational Documents of the Company and represent no less than 88% of the voting power of the Company, are executing (solely in their capacity as stockholders of the Company) support agreements in favor of Aspen in substantially the form attached hereto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Company Stockholder Support Agreement</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 Company Capital Stock (A) to adopt and approve the Merger Agreement, (B) to approve the Contemplated Transactions, (C) to approve an amendment to the Company’ certificate of incorporation to effect the Company Authorized Share Increase, (D) to the extent such Person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H. Concurrently with the execution and delivery of this Agreement and as a condition and inducement to Aspen’s and the Company’s willingness to enter into this Agreement, the Persons listed on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xml:space="preserve"> of the Company Disclosure Schedule and Section B of the Aspen Disclosure Schedule are executing lock-up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 It is expected that within four (4) Business Days after the Registration Statement is declared effective under the Securities Act, the holders of shares of Company Capital Stock sufficient to adopt and approve this Agreement and the Merger as required under the DGCL and the Organizational Documents of the Company will execute and deliver an action by written consent adopting this Agreement, in form and substance reasonably acceptable to Aspen, in order to obtain the Required Company Stockholder Vote.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J. Prior to the date of this Agreement, certain investors (the “</w:t>
      </w:r>
      <w:r>
        <w:rPr>
          <w:rFonts w:ascii="Times New Roman" w:cs="Times New Roman" w:eastAsia="Times New Roman" w:hAnsi="Times New Roman"/>
          <w:sz w:val="18"/>
          <w:szCs w:val="18"/>
          <w:b w:val="1"/>
          <w:bCs w:val="1"/>
          <w:color w:val="auto"/>
        </w:rPr>
        <w:t>Company SAFE Concurrent Investors</w:t>
      </w:r>
      <w:r>
        <w:rPr>
          <w:rFonts w:ascii="Times New Roman" w:cs="Times New Roman" w:eastAsia="Times New Roman" w:hAnsi="Times New Roman"/>
          <w:sz w:val="18"/>
          <w:szCs w:val="18"/>
          <w:color w:val="auto"/>
        </w:rPr>
        <w:t>”) have entered into the Company SAFEs with the Company (the investments contemplated by such Company SAFEs, collectively, the “</w:t>
      </w:r>
      <w:r>
        <w:rPr>
          <w:rFonts w:ascii="Times New Roman" w:cs="Times New Roman" w:eastAsia="Times New Roman" w:hAnsi="Times New Roman"/>
          <w:sz w:val="18"/>
          <w:szCs w:val="18"/>
          <w:b w:val="1"/>
          <w:bCs w:val="1"/>
          <w:color w:val="auto"/>
        </w:rPr>
        <w:t>Company SAFE Concurrent Investment</w:t>
      </w:r>
      <w:r>
        <w:rPr>
          <w:rFonts w:ascii="Times New Roman" w:cs="Times New Roman" w:eastAsia="Times New Roman" w:hAnsi="Times New Roman"/>
          <w:sz w:val="18"/>
          <w:szCs w:val="18"/>
          <w:color w:val="auto"/>
        </w:rPr>
        <w:t>”), pursuant to which such Company SAFEs shall automatically convert into shares of Company Common Stock at the same price per share at which the Concurrent Investment Company Shares are sold pursuant to the Subscription Agreement (which shall be the Public Offering/Conversion Price as defined in the Company SAFEs), in connection with the Closing (such shares of Company Common Stock upon issuance to such Company SAFE Concurrent Investors, the (“</w:t>
      </w:r>
      <w:r>
        <w:rPr>
          <w:rFonts w:ascii="Times New Roman" w:cs="Times New Roman" w:eastAsia="Times New Roman" w:hAnsi="Times New Roman"/>
          <w:sz w:val="18"/>
          <w:szCs w:val="18"/>
          <w:b w:val="1"/>
          <w:bCs w:val="1"/>
          <w:color w:val="auto"/>
        </w:rPr>
        <w:t>Company SAFE Concurrent Investment Company Shares</w:t>
      </w:r>
      <w:r>
        <w:rPr>
          <w:rFonts w:ascii="Times New Roman" w:cs="Times New Roman" w:eastAsia="Times New Roman" w:hAnsi="Times New Roman"/>
          <w:sz w:val="18"/>
          <w:szCs w:val="18"/>
          <w:color w:val="auto"/>
        </w:rPr>
        <w:t>”). In addition, concurrently with the execution and delivery of this Agreement, certain investors (the “</w:t>
      </w:r>
      <w:r>
        <w:rPr>
          <w:rFonts w:ascii="Times New Roman" w:cs="Times New Roman" w:eastAsia="Times New Roman" w:hAnsi="Times New Roman"/>
          <w:sz w:val="18"/>
          <w:szCs w:val="18"/>
          <w:b w:val="1"/>
          <w:bCs w:val="1"/>
          <w:color w:val="auto"/>
        </w:rPr>
        <w:t>Subscription Agreement Concurrent Investors</w:t>
      </w:r>
      <w:r>
        <w:rPr>
          <w:rFonts w:ascii="Times New Roman" w:cs="Times New Roman" w:eastAsia="Times New Roman" w:hAnsi="Times New Roman"/>
          <w:sz w:val="18"/>
          <w:szCs w:val="18"/>
          <w:color w:val="auto"/>
        </w:rPr>
        <w:t>” and, together with the Company SAFE Concurrent Investors, the “</w:t>
      </w:r>
      <w:r>
        <w:rPr>
          <w:rFonts w:ascii="Times New Roman" w:cs="Times New Roman" w:eastAsia="Times New Roman" w:hAnsi="Times New Roman"/>
          <w:sz w:val="18"/>
          <w:szCs w:val="18"/>
          <w:b w:val="1"/>
          <w:bCs w:val="1"/>
          <w:color w:val="auto"/>
        </w:rPr>
        <w:t>Concurrent Investors</w:t>
      </w:r>
      <w:r>
        <w:rPr>
          <w:rFonts w:ascii="Times New Roman" w:cs="Times New Roman" w:eastAsia="Times New Roman" w:hAnsi="Times New Roman"/>
          <w:sz w:val="18"/>
          <w:szCs w:val="18"/>
          <w:color w:val="auto"/>
        </w:rPr>
        <w:t>”) have entered into a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among the Company and the Persons named therein, pursuant to which such Persons have agreed to purchase in the amounts set forth therein shares of Company Common Stock at the Specified Time (collectively, the “</w:t>
      </w:r>
      <w:r>
        <w:rPr>
          <w:rFonts w:ascii="Times New Roman" w:cs="Times New Roman" w:eastAsia="Times New Roman" w:hAnsi="Times New Roman"/>
          <w:sz w:val="18"/>
          <w:szCs w:val="18"/>
          <w:b w:val="1"/>
          <w:bCs w:val="1"/>
          <w:color w:val="auto"/>
        </w:rPr>
        <w:t>Subscription Agreement Concurrent Investment</w:t>
      </w:r>
      <w:r>
        <w:rPr>
          <w:rFonts w:ascii="Times New Roman" w:cs="Times New Roman" w:eastAsia="Times New Roman" w:hAnsi="Times New Roman"/>
          <w:sz w:val="18"/>
          <w:szCs w:val="18"/>
          <w:color w:val="auto"/>
        </w:rPr>
        <w:t>”). The Company SAFEs and the Subscription Agreement are collectively referred to herein as the “</w:t>
      </w:r>
      <w:r>
        <w:rPr>
          <w:rFonts w:ascii="Times New Roman" w:cs="Times New Roman" w:eastAsia="Times New Roman" w:hAnsi="Times New Roman"/>
          <w:sz w:val="18"/>
          <w:szCs w:val="18"/>
          <w:b w:val="1"/>
          <w:bCs w:val="1"/>
          <w:color w:val="auto"/>
        </w:rPr>
        <w:t>Concurrent Investment Agreements</w:t>
      </w:r>
      <w:r>
        <w:rPr>
          <w:rFonts w:ascii="Times New Roman" w:cs="Times New Roman" w:eastAsia="Times New Roman" w:hAnsi="Times New Roman"/>
          <w:sz w:val="18"/>
          <w:szCs w:val="18"/>
          <w:color w:val="auto"/>
        </w:rPr>
        <w:t>”. The Company SAFE Concurrent Investment and the Subscription Agreement Concurrent Investment are collectively referred to herein as the “</w:t>
      </w:r>
      <w:r>
        <w:rPr>
          <w:rFonts w:ascii="Times New Roman" w:cs="Times New Roman" w:eastAsia="Times New Roman" w:hAnsi="Times New Roman"/>
          <w:sz w:val="18"/>
          <w:szCs w:val="18"/>
          <w:b w:val="1"/>
          <w:bCs w:val="1"/>
          <w:color w:val="auto"/>
        </w:rPr>
        <w:t>Concurrent Investment</w:t>
      </w:r>
      <w:r>
        <w:rPr>
          <w:rFonts w:ascii="Times New Roman" w:cs="Times New Roman" w:eastAsia="Times New Roman" w:hAnsi="Times New Roman"/>
          <w:sz w:val="18"/>
          <w:szCs w:val="18"/>
          <w:color w:val="auto"/>
        </w:rPr>
        <w:t>”. The shares of Company Common Stock so issued to Company SAFE Concurrent Investors upon the automatic conversion of their Company SAFEs and to Subscription Agreement Concurrent Investors in accordance with the Subscription Agreement are referred to collectively herein as the “</w:t>
      </w:r>
      <w:r>
        <w:rPr>
          <w:rFonts w:ascii="Times New Roman" w:cs="Times New Roman" w:eastAsia="Times New Roman" w:hAnsi="Times New Roman"/>
          <w:sz w:val="18"/>
          <w:szCs w:val="18"/>
          <w:b w:val="1"/>
          <w:bCs w:val="1"/>
          <w:color w:val="auto"/>
        </w:rPr>
        <w:t>Concurrent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intending to be legally bound, agree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 and Interpretative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(a) For purposes of this Agreement (including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no-hire provisions. Notwithstanding the foregoing, a Person who has previously entered into a confidentiality agreement with Aspen relating to a potential Acquisition Proposal on terms that are not materially less restrictive than the Confidentiality Agreement, in the aggregate, shall not be required to enter into a new or revised confidentiality agreement, and such existing confidentiality agreement shall be deemed to be an Acceptable Confidentiality Agreement.</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Inquiry</w:t>
      </w:r>
      <w:r>
        <w:rPr>
          <w:rFonts w:ascii="Times New Roman" w:cs="Times New Roman" w:eastAsia="Times New Roman" w:hAnsi="Times New Roman"/>
          <w:sz w:val="18"/>
          <w:szCs w:val="18"/>
          <w:color w:val="auto"/>
        </w:rPr>
        <w:t>” means, with respect to a Party, an inquiry, indication of interest or request for information (other than an inquiry, indication of interest or request for information made or submitted by the Company, on the one hand, or Aspen, on the other hand, to the other Party) that could reasonably be expected to lead to an Acquisition Proposal.</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a Party, any offer or proposal, whether written or oral, contemplating or otherwise relating to any Acquisition Transaction with such Party.</w:t>
      </w:r>
    </w:p>
    <w:p>
      <w:pPr>
        <w:spacing w:after="0" w:line="15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with respect to a Party, any transaction or series of related transactions (other than the Contemplated Transactions and, with respect to Aspen, any Aspen Pre-Closing Transaction) involving:</w:t>
      </w:r>
    </w:p>
    <w:p>
      <w:pPr>
        <w:spacing w:after="0" w:line="159" w:lineRule="exact"/>
        <w:rPr>
          <w:sz w:val="20"/>
          <w:szCs w:val="20"/>
          <w:color w:val="auto"/>
        </w:rPr>
      </w:pPr>
    </w:p>
    <w:p>
      <w:pPr>
        <w:ind w:right="120" w:firstLine="436"/>
        <w:spacing w:after="0" w:line="25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such Party is a constituent Entity, (ii) in which a Person or “group” (as defined in the Exchange Act and the rules promulgated thereunder) of Persons directly or indirectly acquires beneficial or record ownership of securities representing 20% or more of the outstanding shares of Aspen Common Stock (in the case of Aspen) or Company Capital Stock (in the case of the Company) or (iii) in which such Party or any of its Subsidiaries issues securities representing 20% or more of the outstanding shares of Aspen Common Stock (in the case of Aspen) or Company Capital Stock (in the case of the Company); or</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fair market value of the assets of such Party and its Subsidiaries, taken as a whole (as determined by such Party’s board of directors or a committee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6" w:name="page17"/>
    <w:bookmarkEnd w:id="16"/>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any transactions, series of related transactions, agreement or discussion entered into or proposed to enter into by the Company for purposes of raising capital that is otherwise in accordance with the terms of this Agreement shall not be deemed an Acquisition Transaction.</w:t>
      </w:r>
    </w:p>
    <w:p>
      <w:pPr>
        <w:spacing w:after="0" w:line="172"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 As used in this definition, the term “control” (including, with correlative meanings, the terms “controlling,” “controlled by” and “under common control with”) means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(i) the Foreign Corrupt Practices Act of 1977, as amended, the Anti-Kickback Act of 1986 and all other applicable Laws of similar effect, and the related rules, regulations and published interpretations thereunder, (ii) all applicable anti-money laundering laws, and the related rules, regulations and published interpretations thereunder, and (iii) all applicable anti-terrorism financing laws, and the related rules, regulations and published interpretations thereunder.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means the anticipated Closing Date, as agreed upon in good faith by Aspen and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Associate</w:t>
      </w:r>
      <w:r>
        <w:rPr>
          <w:rFonts w:ascii="Times New Roman" w:cs="Times New Roman" w:eastAsia="Times New Roman" w:hAnsi="Times New Roman"/>
          <w:sz w:val="18"/>
          <w:szCs w:val="18"/>
          <w:color w:val="auto"/>
        </w:rPr>
        <w:t>” means any current or former employee, independent contractor, officer or director of Aspen or any of its Subsidiaries.</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Balance Sheet</w:t>
      </w:r>
      <w:r>
        <w:rPr>
          <w:rFonts w:ascii="Times New Roman" w:cs="Times New Roman" w:eastAsia="Times New Roman" w:hAnsi="Times New Roman"/>
          <w:sz w:val="18"/>
          <w:szCs w:val="18"/>
          <w:color w:val="auto"/>
        </w:rPr>
        <w:t>” means the audited balance sheet of Aspen as of December 31, 2022, included in Aspen’s Annual Report on Form 10-K for the year ended December 31, 2022, as filed with the SEC.</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Board</w:t>
      </w:r>
      <w:r>
        <w:rPr>
          <w:rFonts w:ascii="Times New Roman" w:cs="Times New Roman" w:eastAsia="Times New Roman" w:hAnsi="Times New Roman"/>
          <w:sz w:val="18"/>
          <w:szCs w:val="18"/>
          <w:color w:val="auto"/>
        </w:rPr>
        <w:t>” means the board of directors of Aspen.</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Capitalization Representations</w:t>
      </w:r>
      <w:r>
        <w:rPr>
          <w:rFonts w:ascii="Times New Roman" w:cs="Times New Roman" w:eastAsia="Times New Roman" w:hAnsi="Times New Roman"/>
          <w:sz w:val="18"/>
          <w:szCs w:val="18"/>
          <w:color w:val="auto"/>
        </w:rPr>
        <w:t xml:space="preserve">” means the representations and warranties of Aspen and Merger Sub set forth in </w:t>
      </w:r>
      <w:r>
        <w:rPr>
          <w:rFonts w:ascii="Times New Roman" w:cs="Times New Roman" w:eastAsia="Times New Roman" w:hAnsi="Times New Roman"/>
          <w:sz w:val="18"/>
          <w:szCs w:val="18"/>
          <w:u w:val="single" w:color="auto"/>
          <w:color w:val="auto"/>
        </w:rPr>
        <w:t>Sections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4.6(d)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Charter</w:t>
      </w:r>
      <w:r>
        <w:rPr>
          <w:rFonts w:ascii="Times New Roman" w:cs="Times New Roman" w:eastAsia="Times New Roman" w:hAnsi="Times New Roman"/>
          <w:sz w:val="18"/>
          <w:szCs w:val="18"/>
          <w:color w:val="auto"/>
        </w:rPr>
        <w:t>” means the Fourth Amended and Restated Certificate of Incorporation of Aspen effective as of June 25, 2018.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Closing Price</w:t>
      </w:r>
      <w:r>
        <w:rPr>
          <w:rFonts w:ascii="Times New Roman" w:cs="Times New Roman" w:eastAsia="Times New Roman" w:hAnsi="Times New Roman"/>
          <w:sz w:val="18"/>
          <w:szCs w:val="18"/>
          <w:color w:val="auto"/>
        </w:rPr>
        <w:t>” means the volume weighted average closing trading price of a share of Aspen Common Stock on Nasdaq for the five</w:t>
      </w:r>
    </w:p>
    <w:p>
      <w:pPr>
        <w:spacing w:after="0" w:line="31" w:lineRule="exact"/>
        <w:rPr>
          <w:sz w:val="20"/>
          <w:szCs w:val="20"/>
          <w:color w:val="auto"/>
        </w:rPr>
      </w:pPr>
    </w:p>
    <w:p>
      <w:pPr>
        <w:ind w:left="444" w:right="1260" w:hanging="444"/>
        <w:spacing w:after="0" w:line="487"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three (3) trading days immediately prior to the date of the public announcement of this Agreement. “</w:t>
      </w:r>
      <w:r>
        <w:rPr>
          <w:rFonts w:ascii="Times New Roman" w:cs="Times New Roman" w:eastAsia="Times New Roman" w:hAnsi="Times New Roman"/>
          <w:sz w:val="18"/>
          <w:szCs w:val="18"/>
          <w:b w:val="1"/>
          <w:bCs w:val="1"/>
          <w:color w:val="auto"/>
        </w:rPr>
        <w:t>Aspen Common Stock</w:t>
      </w:r>
      <w:r>
        <w:rPr>
          <w:rFonts w:ascii="Times New Roman" w:cs="Times New Roman" w:eastAsia="Times New Roman" w:hAnsi="Times New Roman"/>
          <w:sz w:val="18"/>
          <w:szCs w:val="18"/>
          <w:color w:val="auto"/>
        </w:rPr>
        <w:t>” means the common stock, $0.0001 par value per share, of Aspen.</w:t>
      </w:r>
    </w:p>
    <w:p>
      <w:pPr>
        <w:spacing w:after="0" w:line="2"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Contract</w:t>
      </w:r>
      <w:r>
        <w:rPr>
          <w:rFonts w:ascii="Times New Roman" w:cs="Times New Roman" w:eastAsia="Times New Roman" w:hAnsi="Times New Roman"/>
          <w:sz w:val="18"/>
          <w:szCs w:val="18"/>
          <w:color w:val="auto"/>
        </w:rPr>
        <w:t>” means any Contract: (a) to which Aspen is a party, (b) by which Aspen or any Aspen Intellectual Property or any other asset of Aspen is bound or under which Aspen has any obligation or (c) under which Aspen has or may acquire any right or interest.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Aspen Employee Plan</w:t>
      </w:r>
      <w:r>
        <w:rPr>
          <w:rFonts w:ascii="Times New Roman" w:cs="Times New Roman" w:eastAsia="Times New Roman" w:hAnsi="Times New Roman"/>
          <w:sz w:val="17"/>
          <w:szCs w:val="17"/>
          <w:color w:val="auto"/>
        </w:rPr>
        <w:t>” means any Employee Plan that Aspen or any of its Subsidiaries (i) sponsors, maintains, administers, or contributes to, or</w:t>
      </w:r>
    </w:p>
    <w:p>
      <w:pPr>
        <w:spacing w:after="0" w:line="43" w:lineRule="exact"/>
        <w:rPr>
          <w:sz w:val="20"/>
          <w:szCs w:val="20"/>
          <w:color w:val="auto"/>
        </w:rPr>
      </w:pPr>
    </w:p>
    <w:p>
      <w:pPr>
        <w:ind w:left="4" w:right="80" w:hanging="4"/>
        <w:spacing w:after="0" w:line="255"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Aspen or any of its Subsidiaries (or their spouses, dependents, or beneficiaries).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7" w:name="page18"/>
    <w:bookmarkEnd w:id="17"/>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Aspen Fundamental Representations</w:t>
      </w:r>
      <w:r>
        <w:rPr>
          <w:rFonts w:ascii="Times New Roman" w:cs="Times New Roman" w:eastAsia="Times New Roman" w:hAnsi="Times New Roman"/>
          <w:sz w:val="18"/>
          <w:szCs w:val="18"/>
          <w:color w:val="auto"/>
        </w:rPr>
        <w:t xml:space="preserve">” means the representations and warranties of Aspen and Merger Sub set forth in </w:t>
      </w:r>
      <w:r>
        <w:rPr>
          <w:rFonts w:ascii="Times New Roman" w:cs="Times New Roman" w:eastAsia="Times New Roman" w:hAnsi="Times New Roman"/>
          <w:sz w:val="18"/>
          <w:szCs w:val="18"/>
          <w:u w:val="single" w:color="auto"/>
          <w:color w:val="auto"/>
        </w:rPr>
        <w:t>Sections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Intellectual Property</w:t>
      </w:r>
      <w:r>
        <w:rPr>
          <w:rFonts w:ascii="Times New Roman" w:cs="Times New Roman" w:eastAsia="Times New Roman" w:hAnsi="Times New Roman"/>
          <w:sz w:val="18"/>
          <w:szCs w:val="18"/>
          <w:color w:val="auto"/>
        </w:rPr>
        <w:t>” means (i) any and all Intellectual Property owned or purported to be owned, solely or jointly, by Aspen (“</w:t>
      </w:r>
      <w:r>
        <w:rPr>
          <w:rFonts w:ascii="Times New Roman" w:cs="Times New Roman" w:eastAsia="Times New Roman" w:hAnsi="Times New Roman"/>
          <w:sz w:val="18"/>
          <w:szCs w:val="18"/>
          <w:b w:val="1"/>
          <w:bCs w:val="1"/>
          <w:color w:val="auto"/>
        </w:rPr>
        <w:t>Aspen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Owned Intellectual Property</w:t>
      </w:r>
      <w:r>
        <w:rPr>
          <w:rFonts w:ascii="Times New Roman" w:cs="Times New Roman" w:eastAsia="Times New Roman" w:hAnsi="Times New Roman"/>
          <w:sz w:val="18"/>
          <w:szCs w:val="18"/>
          <w:color w:val="auto"/>
        </w:rPr>
        <w:t>”), and (ii) any and all Intellectual Property owned by any other Person and licensed or purported to be licensed to Aspen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which Aspen has or purports to have any other right (“</w:t>
      </w:r>
      <w:r>
        <w:rPr>
          <w:rFonts w:ascii="Times New Roman" w:cs="Times New Roman" w:eastAsia="Times New Roman" w:hAnsi="Times New Roman"/>
          <w:sz w:val="18"/>
          <w:szCs w:val="18"/>
          <w:b w:val="1"/>
          <w:bCs w:val="1"/>
          <w:color w:val="auto"/>
        </w:rPr>
        <w:t>Aspen Licensed Intellectual Property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Key Employee</w:t>
      </w:r>
      <w:r>
        <w:rPr>
          <w:rFonts w:ascii="Times New Roman" w:cs="Times New Roman" w:eastAsia="Times New Roman" w:hAnsi="Times New Roman"/>
          <w:sz w:val="18"/>
          <w:szCs w:val="18"/>
          <w:color w:val="auto"/>
        </w:rPr>
        <w:t>” means (i) an executive officer of Aspen; and (ii) any employee of Aspen that reports directly to the Aspen Board or to an executive officer of Aspen.</w:t>
      </w:r>
    </w:p>
    <w:p>
      <w:pPr>
        <w:spacing w:after="0" w:line="15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Pre-Closing Assets</w:t>
      </w:r>
      <w:r>
        <w:rPr>
          <w:rFonts w:ascii="Times New Roman" w:cs="Times New Roman" w:eastAsia="Times New Roman" w:hAnsi="Times New Roman"/>
          <w:sz w:val="18"/>
          <w:szCs w:val="18"/>
          <w:color w:val="auto"/>
        </w:rPr>
        <w:t>” means those assets of Aspen, to the extent existing as of immediately prior to the Closing, relating to (a) Aspen’s plato manufacturing platform, (b) Aspen’s AVR-RD-01 (Fabry), AVR-RD-02 (Gaucher), and/or AVR-RD-03 (Pompe) research and development programs, and (c) Aspen’s Intellectual Property set forth in Section 4.12(a) of the Aspen Disclosure Schedule.</w:t>
      </w:r>
    </w:p>
    <w:p>
      <w:pPr>
        <w:spacing w:after="0" w:line="171"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Aspen Material Adverse Effect</w:t>
      </w:r>
      <w:r>
        <w:rPr>
          <w:rFonts w:ascii="Times New Roman" w:cs="Times New Roman" w:eastAsia="Times New Roman" w:hAnsi="Times New Roman"/>
          <w:sz w:val="17"/>
          <w:szCs w:val="17"/>
          <w:color w:val="auto"/>
        </w:rPr>
        <w:t xml:space="preserve">” means any Effect that, considered together with all other Effects that have occurred prior to the date of determination of the occurrence of the Aspen Material Adverse Effect, has or would reasonably be expected to have a material adverse effect on the business, financial condition, assets, liabilities or results of operations of Aspen or any of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Effects arising or resulting from the following shall not be taken into account in determining whether there has been an Aspen Material Adverse Effect:</w:t>
      </w:r>
    </w:p>
    <w:p>
      <w:pPr>
        <w:ind w:left="244" w:hanging="244"/>
        <w:spacing w:after="0"/>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this Agreement or the pendency of the Contemplated Transactions, (b) any change in the stock price or trading volume of</w:t>
      </w:r>
    </w:p>
    <w:p>
      <w:pPr>
        <w:spacing w:after="0" w:line="9"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Common Stock (it being understood, however, that any Effect causing or contributing to any change in stock price or trading volume of Aspen Common Stock may be taken into account in determining whether an Aspen Material Adverse Effect has occurred, unless such Effects are otherwise excepted from this definition), (c) the taking of any action, or the failure to take any action, by Aspen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Aspen or any of its Subsidiaries operates (other than to the extent contemplated by the succeeding clause (g)), (g) any government shutdown or slowdown, (h) the sale or winding down of the Aspen’s business or operations as they exist prior to the Closing, and the sale, license or other disposition of the Aspen Pre-Closing Assets in compliance with the terms of this Agreement and applicable Law, or (i) any change in the cash position of Aspen and its Subsidiaries which results from operations in the Ordinary Course of Business; except, in each case with respect to clauses (d), (e) and (f), to the extent materially and disproportionately affecting Aspen and any its Subsidiaries, taken as a whole, relative to other similarly situated companies in the industries in which Aspen or any of its Subsidiaries operates.</w:t>
      </w:r>
    </w:p>
    <w:p>
      <w:pPr>
        <w:spacing w:after="0" w:line="187"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Net Cash</w:t>
      </w:r>
      <w:r>
        <w:rPr>
          <w:rFonts w:ascii="Times New Roman" w:cs="Times New Roman" w:eastAsia="Times New Roman" w:hAnsi="Times New Roman"/>
          <w:sz w:val="18"/>
          <w:szCs w:val="18"/>
          <w:color w:val="auto"/>
        </w:rPr>
        <w:t xml:space="preserve">” means, without duplication, (i) Aspen’s cash and cash equivalents and marketable securities as of immediately prior to the Closing and determined in accordance with GAAP, in a manner consistent with the manner in which such items were historically determined and in accordance with Aspen’s financial statements,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all prepaid expenses or deposits of Aspen and its Subsidiaries set forth on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 xml:space="preserve"> of the Aspen Disclosure Schedule,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(iii) the sum of all cash payments actually required to be made by Aspen under its contractual obligations as set forth on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 xml:space="preserve"> of the Aspen Disclosure Schedule to the extent unpaid as of immediately prior to the Closing,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(iv) all unpaid liabilities accrued at the Closing Date required to be set forth on a balance sheet calculated in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66" w:right="479" w:bottom="1440" w:gutter="0" w:footer="0" w:header="0"/>
        </w:sectPr>
      </w:pPr>
    </w:p>
    <w:bookmarkStart w:id="18" w:name="page19"/>
    <w:bookmarkEnd w:id="18"/>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accordance with GAAP, in each case determined in accordance with GAAP and, to the extent in accordance with GAAP, in a manner consistent with the manner in which such items were historically determined and in accordance with Aspen’s financial statements (which shall include, without limitation, all indebtedness for borrowed money, liabilities evidenced by bonds, debentures, notes or similar instruments, liabilities upon which interest charges are customarily paid, liabilities in respect of liabilities of others that are secured by any lien or security interest on Aspen’s property, liabilities for Taxes relating to the disposition of the Aspen Pre-Closing Assets, and any guarantees relating to each of the foregoing),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(v) the Transaction Expenses of Aspen to the extent unpaid as of the Closing;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(vi) the unpaid cash cost of any change in control payments, severance payments, bonus payments or retention payments payable to employees of Aspen (whether “single” or “double” trigger) (including, without limitation, (a) a reasonable estimate of payment or reimbursement by Aspen for continued coverage under any employee benefit plan in existence immediately prior to the Closing (excluding any such plan contemplated by the Equity Plan Proposals) and (b) including the employer portion of any employment, payroll or similar Taxes with respect to all such compensation),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(vii) all Liabilities with respect to Aspen’s or any of its Subsidiaries’ payment obligations pursuant to real estate leases,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(viii) any unpaid premium of (x) the “D&amp;O tail policy” pursuant to </w:t>
      </w:r>
      <w:r>
        <w:rPr>
          <w:rFonts w:ascii="Times New Roman" w:cs="Times New Roman" w:eastAsia="Times New Roman" w:hAnsi="Times New Roman"/>
          <w:sz w:val="17"/>
          <w:szCs w:val="17"/>
          <w:u w:val="single" w:color="auto"/>
          <w:color w:val="auto"/>
        </w:rPr>
        <w:t>Section 6.8(d)</w:t>
      </w:r>
      <w:r>
        <w:rPr>
          <w:rFonts w:ascii="Times New Roman" w:cs="Times New Roman" w:eastAsia="Times New Roman" w:hAnsi="Times New Roman"/>
          <w:sz w:val="17"/>
          <w:szCs w:val="17"/>
          <w:color w:val="auto"/>
        </w:rPr>
        <w:t xml:space="preserve"> and (y) the clinical trial liability insurance tail policy,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(ix) any unpaid Taxes of Aspen and its Subsidiaries for Tax periods (or portions thereof) ending on or before the Closing and which are accrued in accordance with GAAP as of immediately prior to Closing (unless otherwise required by Law),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(x) all unpaid costs and expenses (including a reasonable estimate of any Taxes) relating to the winding down of any portion of Aspen’s pre-Closing business, which is either not to be held for sale after the Closing Date or subject to the terms of the CVR Agreement,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(xi) any unpaid income withholding Taxes or employer portion of payroll or employment Taxes incurred in connection with the grant, exercise, conversion, settlement or cancellation of any RSUs, options, equity compensation and other change in control or severance payments (including any bonuses payable),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(xii) all withholding Taxes payable in connection with the distribution of any contingent value rights to any former Aspen shareholder,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(xiii) all amounts paid prior to, or actually incurred as of, the Closing not otherwise already reducing cash and cash equivalents, by Aspen as a result of any Aspen Transaction Litigation, </w:t>
      </w:r>
      <w:r>
        <w:rPr>
          <w:rFonts w:ascii="Times New Roman" w:cs="Times New Roman" w:eastAsia="Times New Roman" w:hAnsi="Times New Roman"/>
          <w:sz w:val="17"/>
          <w:szCs w:val="17"/>
          <w:i w:val="1"/>
          <w:iCs w:val="1"/>
          <w:u w:val="single" w:color="auto"/>
          <w:color w:val="auto"/>
        </w:rPr>
        <w:t>plus</w:t>
      </w:r>
    </w:p>
    <w:p>
      <w:pPr>
        <w:spacing w:after="0" w:line="208" w:lineRule="exact"/>
        <w:rPr>
          <w:sz w:val="20"/>
          <w:szCs w:val="20"/>
          <w:color w:val="auto"/>
        </w:rPr>
      </w:pPr>
    </w:p>
    <w:p>
      <w:pPr>
        <w:ind w:left="4" w:right="120" w:hanging="4"/>
        <w:spacing w:after="0" w:line="260" w:lineRule="auto"/>
        <w:tabs>
          <w:tab w:leader="none" w:pos="3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of Company Portion paid by Aspen or its Subsidiaries prior to the Closing,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(xv) 80% of the IP Expense Fund (as defined in the CVR Agreement).</w:t>
      </w:r>
    </w:p>
    <w:p>
      <w:pPr>
        <w:spacing w:after="0" w:line="177"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Options</w:t>
      </w:r>
      <w:r>
        <w:rPr>
          <w:rFonts w:ascii="Times New Roman" w:cs="Times New Roman" w:eastAsia="Times New Roman" w:hAnsi="Times New Roman"/>
          <w:sz w:val="18"/>
          <w:szCs w:val="18"/>
          <w:color w:val="auto"/>
        </w:rPr>
        <w:t>” means options to purchase shares of Aspen Common Stock granted by Aspen whether or not granted pursuant to any Aspen Stock Plan.</w:t>
      </w:r>
    </w:p>
    <w:p>
      <w:pPr>
        <w:spacing w:after="0" w:line="155" w:lineRule="exact"/>
        <w:rPr>
          <w:sz w:val="20"/>
          <w:szCs w:val="20"/>
          <w:color w:val="auto"/>
        </w:rPr>
      </w:pPr>
    </w:p>
    <w:p>
      <w:pPr>
        <w:ind w:left="4"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Aspen Outbound License</w:t>
      </w:r>
      <w:r>
        <w:rPr>
          <w:rFonts w:ascii="Times New Roman" w:cs="Times New Roman" w:eastAsia="Times New Roman" w:hAnsi="Times New Roman"/>
          <w:sz w:val="17"/>
          <w:szCs w:val="17"/>
          <w:color w:val="auto"/>
        </w:rPr>
        <w:t>” means any Aspen Contract pursuant to which Aspen grants any license or any other right or immunity (including any sublicense, option, right of first refusal or other preferential right or covenant not to sue) under any Aspen Intellectual Property that is material to the business of Aspen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Aspen or (ii) incidental to any assays or other materials obtained from third parties under material transfer agreements or other similar contracts, in each case, consistent with industry standard, and (b) agreements between any of Aspen or any Subsidiary thereof and another Subsidiary of Aspen.</w:t>
      </w:r>
    </w:p>
    <w:p>
      <w:pPr>
        <w:spacing w:after="0" w:line="168" w:lineRule="exact"/>
        <w:rPr>
          <w:sz w:val="20"/>
          <w:szCs w:val="20"/>
          <w:color w:val="auto"/>
        </w:rPr>
      </w:pPr>
    </w:p>
    <w:p>
      <w:pPr>
        <w:ind w:left="4" w:right="4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Product</w:t>
      </w:r>
      <w:r>
        <w:rPr>
          <w:rFonts w:ascii="Times New Roman" w:cs="Times New Roman" w:eastAsia="Times New Roman" w:hAnsi="Times New Roman"/>
          <w:sz w:val="18"/>
          <w:szCs w:val="18"/>
          <w:color w:val="auto"/>
        </w:rPr>
        <w:t>” means any pharmaceutical, biological or medicinal therapy, compound, drug, product candidate or product that is being developed, researched, manufactured, tested, licensed, offered, marketed, sold, or distributed by or on behalf of Aspen, including any discovery or clinical programs or platforms and the therapies and compounds made and tested in such programs, including through collaboration with others, or through compassionate use/named patient activities.</w:t>
      </w:r>
    </w:p>
    <w:p>
      <w:pPr>
        <w:spacing w:after="0" w:line="176"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Restricted Stock Units</w:t>
      </w:r>
      <w:r>
        <w:rPr>
          <w:rFonts w:ascii="Times New Roman" w:cs="Times New Roman" w:eastAsia="Times New Roman" w:hAnsi="Times New Roman"/>
          <w:sz w:val="18"/>
          <w:szCs w:val="18"/>
          <w:color w:val="auto"/>
        </w:rPr>
        <w:t>” means any equity award of restricted stock units with respect to Aspen Common Stock that represents the right to receive in the future shares of Aspen Common Stock granted by Aspen whether or not granted pursuant to any Aspen Stock Plan.</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9" w:name="page20"/>
    <w:bookmarkEnd w:id="1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Aspen Triggering Event</w:t>
      </w:r>
      <w:r>
        <w:rPr>
          <w:rFonts w:ascii="Times New Roman" w:cs="Times New Roman" w:eastAsia="Times New Roman" w:hAnsi="Times New Roman"/>
          <w:sz w:val="18"/>
          <w:szCs w:val="18"/>
          <w:color w:val="auto"/>
        </w:rPr>
        <w:t xml:space="preserve">” shall be deemed to have occurred if: (a) Aspen shall have failed to include in the Proxy Statement the Aspen Board Recommendation, (b)(i) the Aspen Board or any committee thereof shall have made an Aspen Board Adverse Recommendation Change or (ii) the Aspen Board or any committee thereof shall have approved, endorsed or recommended any Acquisition Proposal with respect to an acquisition of Aspen (other than by the Company or an Affiliate thereof and other than actions made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(except for an Aspen Board Adverse Recommendation Change)), (c) Aspen shall have entered into any letter of intent or similar document or any similar Contract relating to any Acquisition Proposal (other than an Acceptable Confidentiality Agreement permitted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(d) upon willful and material breach of Aspen’s obligations set forth in the first sentence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day on which banks in the State of New York are authorized or obligated to be closed.</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Section 6 of Title I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8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Partner</w:t>
      </w:r>
      <w:r>
        <w:rPr>
          <w:rFonts w:ascii="Times New Roman" w:cs="Times New Roman" w:eastAsia="Times New Roman" w:hAnsi="Times New Roman"/>
          <w:sz w:val="18"/>
          <w:szCs w:val="18"/>
          <w:color w:val="auto"/>
        </w:rPr>
        <w:t>” means any research, development, collaboration or similar commercialization partner of the Company or its Subsidiaries with respect to the Company Products or of Aspen or its Subsidiaries with respect to the Aspen Products,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Associate</w:t>
      </w:r>
      <w:r>
        <w:rPr>
          <w:rFonts w:ascii="Times New Roman" w:cs="Times New Roman" w:eastAsia="Times New Roman" w:hAnsi="Times New Roman"/>
          <w:sz w:val="18"/>
          <w:szCs w:val="18"/>
          <w:color w:val="auto"/>
        </w:rPr>
        <w:t>” means any current employee, independent contractor, officer or director of the Company or any of its Subsidiaries.</w:t>
      </w:r>
    </w:p>
    <w:p>
      <w:pPr>
        <w:spacing w:after="0" w:line="225"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Authorized Share Increase</w:t>
      </w:r>
      <w:r>
        <w:rPr>
          <w:rFonts w:ascii="Times New Roman" w:cs="Times New Roman" w:eastAsia="Times New Roman" w:hAnsi="Times New Roman"/>
          <w:sz w:val="18"/>
          <w:szCs w:val="18"/>
          <w:color w:val="auto"/>
        </w:rPr>
        <w:t>” means an increase in the number of authorized shares of Company Common Stock from 11,947,558 shares of Company Common Stock to 30,000,000 shares of Company Common Stock or such other number of shares of Company Common Stock as may be mutually agreed in writing by the Company and Aspen.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 Stock</w:t>
      </w:r>
      <w:r>
        <w:rPr>
          <w:rFonts w:ascii="Times New Roman" w:cs="Times New Roman" w:eastAsia="Times New Roman" w:hAnsi="Times New Roman"/>
          <w:sz w:val="18"/>
          <w:szCs w:val="18"/>
          <w:color w:val="auto"/>
        </w:rPr>
        <w:t>” means the Company Common Stock and the Company Preferred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Capitalization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the Common Stock, $0.0001 par value per share, of the Company.</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Contract</w:t>
      </w:r>
      <w:r>
        <w:rPr>
          <w:rFonts w:ascii="Times New Roman" w:cs="Times New Roman" w:eastAsia="Times New Roman" w:hAnsi="Times New Roman"/>
          <w:sz w:val="18"/>
          <w:szCs w:val="18"/>
          <w:color w:val="auto"/>
        </w:rPr>
        <w:t>” means any Contract: (a) to which the Company or any of its Subsidiaries is a Party, (b) by which the Company or any of its Subsidiaries is bound or under which the Company or any of its Subsidiaries has any obligation or (c) under which the Company or any of its Subsidiaries has any right or interest.</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Convertible Notes</w:t>
      </w:r>
      <w:r>
        <w:rPr>
          <w:rFonts w:ascii="Times New Roman" w:cs="Times New Roman" w:eastAsia="Times New Roman" w:hAnsi="Times New Roman"/>
          <w:sz w:val="18"/>
          <w:szCs w:val="18"/>
          <w:color w:val="auto"/>
        </w:rPr>
        <w:t>” means the convertible promissory notes in respect of shares of Company Capital Stock issued by the Company, as amended or supplemented (for the avoidance of doubt, (i) other than Company Options and (ii) including the Company SAFEs).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20" w:name="page21"/>
    <w:bookmarkEnd w:id="20"/>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Employee Plan</w:t>
      </w:r>
      <w:r>
        <w:rPr>
          <w:rFonts w:ascii="Times New Roman" w:cs="Times New Roman" w:eastAsia="Times New Roman" w:hAnsi="Times New Roman"/>
          <w:sz w:val="18"/>
          <w:szCs w:val="18"/>
          <w:color w:val="auto"/>
        </w:rPr>
        <w:t>” means any Employee Plan that the Company or any of its Subsidiaries (i) sponsors, maintains, administers, or contributes to, or (ii) provides benefits under or through, or (iii) has any obligation to contribute to or provide benefits under or through, or (iv) may reasonably be expected to have any Liability, or (v) utilizes to provide benefits to or otherwise cover any current or former employee, officer, director or other service provider of the Company or any of its Subsidiaries (or their spouses, dependents, or beneficiaries).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Incentive Plan</w:t>
      </w:r>
      <w:r>
        <w:rPr>
          <w:rFonts w:ascii="Times New Roman" w:cs="Times New Roman" w:eastAsia="Times New Roman" w:hAnsi="Times New Roman"/>
          <w:sz w:val="18"/>
          <w:szCs w:val="18"/>
          <w:color w:val="auto"/>
        </w:rPr>
        <w:t>” means the Company’s 2019 Equity Incentive Plan.</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Exclusively Licensed Intellectual Property</w:t>
      </w:r>
      <w:r>
        <w:rPr>
          <w:rFonts w:ascii="Times New Roman" w:cs="Times New Roman" w:eastAsia="Times New Roman" w:hAnsi="Times New Roman"/>
          <w:sz w:val="18"/>
          <w:szCs w:val="18"/>
          <w:color w:val="auto"/>
        </w:rPr>
        <w:t>” means any and all Company Licensed Intellectual Property that is, or is purported to be, exclusively licensed to the Company, or to which the Company has or purports to have any other exclusive right, but excluding agreements between any of the Company or any Subsidiary thereof and another Subsidiary of the Company.</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Inbound License</w:t>
      </w:r>
      <w:r>
        <w:rPr>
          <w:rFonts w:ascii="Times New Roman" w:cs="Times New Roman" w:eastAsia="Times New Roman" w:hAnsi="Times New Roman"/>
          <w:sz w:val="17"/>
          <w:szCs w:val="17"/>
          <w:color w:val="auto"/>
        </w:rPr>
        <w:t>” means any Company Contract pursuant to which the Company is granted any license or obtains any other right or immunity (including any sublicense, option, right of first refusal or other preferential right or covenant not to be sued) under (a) any Intellectual Property of any other Person that is material to the business of the Company taken as a whole (or to the further research, development and commercialization of Company Products as currently planned by Company), in each case, other than (i) agreements between the Company and its employees or consultants, with this exception limited to the extent of the assignment of Intellectual Property created by such individuals to the Company thereunder and (ii) agreements for any Third Party non-customized commercially available object code software licensed to the Company on generally available, standard commercial pricing and other terms for less than $250,000; or (b) any Company Exclusively Licensed Intellectual Property.</w:t>
      </w:r>
    </w:p>
    <w:p>
      <w:pPr>
        <w:spacing w:after="0" w:line="171"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Intellectual Property</w:t>
      </w:r>
      <w:r>
        <w:rPr>
          <w:rFonts w:ascii="Times New Roman" w:cs="Times New Roman" w:eastAsia="Times New Roman" w:hAnsi="Times New Roman"/>
          <w:sz w:val="17"/>
          <w:szCs w:val="17"/>
          <w:color w:val="auto"/>
        </w:rPr>
        <w:t>” means (i) any and all Intellectual Property owned or purported to be owned, solely or jointly, by any the Company (“</w:t>
      </w:r>
      <w:r>
        <w:rPr>
          <w:rFonts w:ascii="Times New Roman" w:cs="Times New Roman" w:eastAsia="Times New Roman" w:hAnsi="Times New Roman"/>
          <w:sz w:val="17"/>
          <w:szCs w:val="17"/>
          <w:b w:val="1"/>
          <w:bCs w:val="1"/>
          <w:color w:val="auto"/>
        </w:rPr>
        <w:t>Company Owned Intellectual Property</w:t>
      </w:r>
      <w:r>
        <w:rPr>
          <w:rFonts w:ascii="Times New Roman" w:cs="Times New Roman" w:eastAsia="Times New Roman" w:hAnsi="Times New Roman"/>
          <w:sz w:val="17"/>
          <w:szCs w:val="17"/>
          <w:color w:val="auto"/>
        </w:rPr>
        <w:t>”), and (ii) any and all Intellectual Property owned by any other Person and licensed or purported to be licensed to the Company or to which the Company has or purports to have any other right (“</w:t>
      </w:r>
      <w:r>
        <w:rPr>
          <w:rFonts w:ascii="Times New Roman" w:cs="Times New Roman" w:eastAsia="Times New Roman" w:hAnsi="Times New Roman"/>
          <w:sz w:val="17"/>
          <w:szCs w:val="17"/>
          <w:b w:val="1"/>
          <w:bCs w:val="1"/>
          <w:color w:val="auto"/>
        </w:rPr>
        <w:t>Company Licensed Intellectual Property</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Key Employee</w:t>
      </w:r>
      <w:r>
        <w:rPr>
          <w:rFonts w:ascii="Times New Roman" w:cs="Times New Roman" w:eastAsia="Times New Roman" w:hAnsi="Times New Roman"/>
          <w:sz w:val="18"/>
          <w:szCs w:val="18"/>
          <w:color w:val="auto"/>
        </w:rPr>
        <w:t>” means (i) any executive officer of the Company or any of its Subsidiaries; and (ii) any employee of the Company or any of its Subsidiaries that reports directly to the Company Board.</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1" w:name="page22"/>
    <w:bookmarkEnd w:id="21"/>
    <w:p>
      <w:pPr>
        <w:ind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applicable Law or the interpretation thereof, (e) any change in the cash position of the Company and its Subsidiaries which results from operations in the Ordinary Course of Business, or (f) general economic or political conditions or conditions generally affecting the industries in which the Company and its Subsidiaries operate; except in each case with respect to clauses (c), (d) and (f), to the extent disproportionately affecting the Company and its Subsidiaries, taken as a whole, relative to other similarly situated companies in the industries in which the Company and its Subsidiaries operate.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Merger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the product determined by </w:t>
      </w:r>
      <w:r>
        <w:rPr>
          <w:rFonts w:ascii="Times New Roman" w:cs="Times New Roman" w:eastAsia="Times New Roman" w:hAnsi="Times New Roman"/>
          <w:sz w:val="18"/>
          <w:szCs w:val="18"/>
          <w:i w:val="1"/>
          <w:iCs w:val="1"/>
          <w:u w:val="single" w:color="auto"/>
          <w:color w:val="auto"/>
        </w:rPr>
        <w:t>multiplying</w:t>
      </w:r>
      <w:r>
        <w:rPr>
          <w:rFonts w:ascii="Times New Roman" w:cs="Times New Roman" w:eastAsia="Times New Roman" w:hAnsi="Times New Roman"/>
          <w:sz w:val="18"/>
          <w:szCs w:val="18"/>
          <w:color w:val="auto"/>
        </w:rPr>
        <w:t xml:space="preserve"> (i) the Post-Closing Aspen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Allocation Percentage, in which:</w:t>
      </w:r>
    </w:p>
    <w:p>
      <w:pPr>
        <w:spacing w:after="0" w:line="108" w:lineRule="exact"/>
        <w:rPr>
          <w:sz w:val="20"/>
          <w:szCs w:val="20"/>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Valuation</w:t>
      </w:r>
      <w:r>
        <w:rPr>
          <w:rFonts w:ascii="Times New Roman" w:cs="Times New Roman" w:eastAsia="Times New Roman" w:hAnsi="Times New Roman"/>
          <w:sz w:val="18"/>
          <w:szCs w:val="18"/>
          <w:color w:val="auto"/>
        </w:rPr>
        <w:t xml:space="preserve">” means the sum of (i) the Company Valuation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Aspen Valuation.</w:t>
      </w:r>
    </w:p>
    <w:p>
      <w:pPr>
        <w:spacing w:after="0" w:line="130" w:lineRule="exact"/>
        <w:rPr>
          <w:rFonts w:ascii="Times New Roman" w:cs="Times New Roman" w:eastAsia="Times New Roman" w:hAnsi="Times New Roman"/>
          <w:sz w:val="18"/>
          <w:szCs w:val="18"/>
          <w:color w:val="auto"/>
        </w:rPr>
      </w:pPr>
    </w:p>
    <w:p>
      <w:pPr>
        <w:ind w:left="1420" w:right="60" w:hanging="331"/>
        <w:spacing w:after="0" w:line="286"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Allocation Percentage</w:t>
      </w:r>
      <w:r>
        <w:rPr>
          <w:rFonts w:ascii="Times New Roman" w:cs="Times New Roman" w:eastAsia="Times New Roman" w:hAnsi="Times New Roman"/>
          <w:sz w:val="18"/>
          <w:szCs w:val="18"/>
          <w:color w:val="auto"/>
        </w:rPr>
        <w:t xml:space="preserve">” means the quotient (expressed as a percentage and rounded to eight decimal places)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 the Aspen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Aggregate Valuation.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Equity Value</w:t>
      </w:r>
      <w:r>
        <w:rPr>
          <w:rFonts w:ascii="Times New Roman" w:cs="Times New Roman" w:eastAsia="Times New Roman" w:hAnsi="Times New Roman"/>
          <w:sz w:val="18"/>
          <w:szCs w:val="18"/>
          <w:color w:val="auto"/>
        </w:rPr>
        <w:t>” means $77,500,000.</w:t>
      </w:r>
    </w:p>
    <w:p>
      <w:pPr>
        <w:spacing w:after="0" w:line="130" w:lineRule="exact"/>
        <w:rPr>
          <w:rFonts w:ascii="Times New Roman" w:cs="Times New Roman" w:eastAsia="Times New Roman" w:hAnsi="Times New Roman"/>
          <w:sz w:val="18"/>
          <w:szCs w:val="18"/>
          <w:color w:val="auto"/>
        </w:rPr>
      </w:pPr>
    </w:p>
    <w:p>
      <w:pPr>
        <w:ind w:left="1420" w:hanging="331"/>
        <w:spacing w:after="0" w:line="253"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xml:space="preserve"> (including, without limitation, the effects of the Nasdaq Reverse Split), the total number of shares of Aspen Common Stock outstanding immediately prior to the Effective Time, expressed on a fully-diluted and as-converted-to-Aspen Common Stock basis, and assuming, without limitation or duplication, (i) the issuance of shares of Aspen Common Stock in respect of all Aspen Options, warrants or other rights to receive shares, whether conditional or unconditional, that will be outstanding as of immediately prior to the Effective Time, calculated on a treasury stock method basis, (ii) the settlement in shares of Aspen Common Stock of Aspen Restricted Stock Units outstanding as of immediately prior to the Effective Time on a net settlement basis as provided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and (iii) the exclusion of shares of Aspen Common Stock held immediately prior to the Effective Time by Aspen as treasury stock or in connection with any unallocated equity pool or by the Company, any of its Subsidiaries or any Subsidiary of Aspen. Notwithstanding any of the foregoing, no Out of the Money Aspen Options or performance based Aspen Restricted Stock Units for which the performance condition has not been met as of the Effective Time and no shares reserved for issuance under the Equity Plan Proposals shall be included in the total number of shares of Aspen Common Stock outstanding for purposes of determining the Aspen Outstanding Shares.</w:t>
      </w:r>
    </w:p>
    <w:p>
      <w:pPr>
        <w:spacing w:after="0" w:line="95" w:lineRule="exact"/>
        <w:rPr>
          <w:rFonts w:ascii="Times New Roman" w:cs="Times New Roman" w:eastAsia="Times New Roman" w:hAnsi="Times New Roman"/>
          <w:sz w:val="18"/>
          <w:szCs w:val="18"/>
          <w:color w:val="auto"/>
        </w:rPr>
      </w:pPr>
    </w:p>
    <w:p>
      <w:pPr>
        <w:ind w:left="1420" w:right="320" w:hanging="331"/>
        <w:spacing w:after="0" w:line="286"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Aspen Valuation</w:t>
      </w:r>
      <w:r>
        <w:rPr>
          <w:rFonts w:ascii="Times New Roman" w:cs="Times New Roman" w:eastAsia="Times New Roman" w:hAnsi="Times New Roman"/>
          <w:sz w:val="18"/>
          <w:szCs w:val="18"/>
          <w:color w:val="auto"/>
        </w:rPr>
        <w:t xml:space="preserve">” means (i) the Aspen Equity Value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the Lower Aspen Net Cash Amount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(iii) the Upper Aspen Net Cash Amount (if any).</w:t>
      </w:r>
    </w:p>
    <w:p>
      <w:pPr>
        <w:spacing w:after="0" w:line="60" w:lineRule="exact"/>
        <w:rPr>
          <w:rFonts w:ascii="Times New Roman" w:cs="Times New Roman" w:eastAsia="Times New Roman" w:hAnsi="Times New Roman"/>
          <w:sz w:val="18"/>
          <w:szCs w:val="18"/>
          <w:color w:val="auto"/>
        </w:rPr>
      </w:pPr>
    </w:p>
    <w:p>
      <w:pPr>
        <w:ind w:left="1420" w:right="20" w:hanging="331"/>
        <w:spacing w:after="0" w:line="286"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Allocation Percentage</w:t>
      </w:r>
      <w:r>
        <w:rPr>
          <w:rFonts w:ascii="Times New Roman" w:cs="Times New Roman" w:eastAsia="Times New Roman" w:hAnsi="Times New Roman"/>
          <w:sz w:val="18"/>
          <w:szCs w:val="18"/>
          <w:color w:val="auto"/>
        </w:rPr>
        <w:t xml:space="preserve">” means the quotient (expressed as a percentage and rounded to eight decimal places) determined by </w:t>
      </w:r>
      <w:r>
        <w:rPr>
          <w:rFonts w:ascii="Times New Roman" w:cs="Times New Roman" w:eastAsia="Times New Roman" w:hAnsi="Times New Roman"/>
          <w:sz w:val="18"/>
          <w:szCs w:val="18"/>
          <w:i w:val="1"/>
          <w:iCs w:val="1"/>
          <w:u w:val="single" w:color="auto"/>
          <w:color w:val="auto"/>
        </w:rPr>
        <w:t>subtracting</w:t>
      </w:r>
      <w:r>
        <w:rPr>
          <w:rFonts w:ascii="Times New Roman" w:cs="Times New Roman" w:eastAsia="Times New Roman" w:hAnsi="Times New Roman"/>
          <w:sz w:val="18"/>
          <w:szCs w:val="18"/>
          <w:color w:val="auto"/>
        </w:rPr>
        <w:t xml:space="preserve"> (i) the Aspen Allocation Percentage </w:t>
      </w:r>
      <w:r>
        <w:rPr>
          <w:rFonts w:ascii="Times New Roman" w:cs="Times New Roman" w:eastAsia="Times New Roman" w:hAnsi="Times New Roman"/>
          <w:sz w:val="18"/>
          <w:szCs w:val="18"/>
          <w:i w:val="1"/>
          <w:iCs w:val="1"/>
          <w:u w:val="single" w:color="auto"/>
          <w:color w:val="auto"/>
        </w:rPr>
        <w:t>from</w:t>
      </w:r>
      <w:r>
        <w:rPr>
          <w:rFonts w:ascii="Times New Roman" w:cs="Times New Roman" w:eastAsia="Times New Roman" w:hAnsi="Times New Roman"/>
          <w:sz w:val="18"/>
          <w:szCs w:val="18"/>
          <w:color w:val="auto"/>
        </w:rPr>
        <w:t xml:space="preserve"> (ii) 100 percent.</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Value</w:t>
      </w:r>
      <w:r>
        <w:rPr>
          <w:rFonts w:ascii="Times New Roman" w:cs="Times New Roman" w:eastAsia="Times New Roman" w:hAnsi="Times New Roman"/>
          <w:sz w:val="18"/>
          <w:szCs w:val="18"/>
          <w:color w:val="auto"/>
        </w:rPr>
        <w:t>” means $140,000,000.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2" w:name="page23"/>
    <w:bookmarkEnd w:id="22"/>
    <w:p>
      <w:pPr>
        <w:ind w:left="1420" w:right="40" w:hanging="331"/>
        <w:spacing w:after="0" w:line="254"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2.5(f)</w:t>
      </w:r>
      <w:r>
        <w:rPr>
          <w:rFonts w:ascii="Times New Roman" w:cs="Times New Roman" w:eastAsia="Times New Roman" w:hAnsi="Times New Roman"/>
          <w:sz w:val="18"/>
          <w:szCs w:val="18"/>
          <w:color w:val="auto"/>
        </w:rPr>
        <w:t>, the total number of shares of Company Common Stock outstanding immediately prior to the Effective Time, expressed on a fully-diluted and as-converted-to-Company Common Stock basis (including, without limitation, after giving effect to the Company SAFEs Conversion and the Company Preferred Stock Conversion), and assuming, without limitation or duplication, (i) the inclusion of Concurrent Investment Company Shares, (ii) the issuance of shares of Company Common Stock in respect of all Company Options, or other rights to receive shares, whether conditional or unconditional, that will be outstanding as of immediately prior to the Effective Time, calculated on a treasury stock method basis, and (iii) the exclusion of shares of Company Common Stock held immediately prior to the Effective Time by the Company as treasury stock or in connection with any unallocated equity pool or by Aspen, any of its Subsidiaries or any Subsidiary of the Company.</w:t>
      </w:r>
    </w:p>
    <w:p>
      <w:pPr>
        <w:spacing w:after="0" w:line="93"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Valuation</w:t>
      </w:r>
      <w:r>
        <w:rPr>
          <w:rFonts w:ascii="Times New Roman" w:cs="Times New Roman" w:eastAsia="Times New Roman" w:hAnsi="Times New Roman"/>
          <w:sz w:val="18"/>
          <w:szCs w:val="18"/>
          <w:color w:val="auto"/>
        </w:rPr>
        <w:t xml:space="preserve">” means (i) the Company Equity Value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Concurrent Investment Proceeds.</w:t>
      </w:r>
    </w:p>
    <w:p>
      <w:pPr>
        <w:spacing w:after="0" w:line="130" w:lineRule="exact"/>
        <w:rPr>
          <w:rFonts w:ascii="Times New Roman" w:cs="Times New Roman" w:eastAsia="Times New Roman" w:hAnsi="Times New Roman"/>
          <w:sz w:val="18"/>
          <w:szCs w:val="18"/>
          <w:color w:val="auto"/>
        </w:rPr>
      </w:pPr>
    </w:p>
    <w:p>
      <w:pPr>
        <w:ind w:left="1420" w:right="280" w:hanging="331"/>
        <w:spacing w:after="0" w:line="28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the ratio (rounded to eight decimal places) equal to the quotient obtained by dividing (i) the Company Merger Shares by (ii) the Company Outstanding Shares.</w:t>
      </w:r>
    </w:p>
    <w:p>
      <w:pPr>
        <w:spacing w:after="0" w:line="60" w:lineRule="exact"/>
        <w:rPr>
          <w:rFonts w:ascii="Times New Roman" w:cs="Times New Roman" w:eastAsia="Times New Roman" w:hAnsi="Times New Roman"/>
          <w:sz w:val="18"/>
          <w:szCs w:val="18"/>
          <w:color w:val="auto"/>
        </w:rPr>
      </w:pPr>
    </w:p>
    <w:p>
      <w:pPr>
        <w:ind w:left="1420" w:right="220" w:hanging="331"/>
        <w:spacing w:after="0" w:line="28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Aspen Net Cash Amount</w:t>
      </w:r>
      <w:r>
        <w:rPr>
          <w:rFonts w:ascii="Times New Roman" w:cs="Times New Roman" w:eastAsia="Times New Roman" w:hAnsi="Times New Roman"/>
          <w:sz w:val="18"/>
          <w:szCs w:val="18"/>
          <w:color w:val="auto"/>
        </w:rPr>
        <w:t>” means, if Aspen Net Cash is less than the Lower Target Aspen Net Cash, then the amount, if any, that the Target Aspen Net Cash exceeds the Aspen Net Cash.</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Target Aspen Net Cash</w:t>
      </w:r>
      <w:r>
        <w:rPr>
          <w:rFonts w:ascii="Times New Roman" w:cs="Times New Roman" w:eastAsia="Times New Roman" w:hAnsi="Times New Roman"/>
          <w:sz w:val="18"/>
          <w:szCs w:val="18"/>
          <w:color w:val="auto"/>
        </w:rPr>
        <w:t>” means $64,500,000.</w:t>
      </w:r>
    </w:p>
    <w:p>
      <w:pPr>
        <w:spacing w:after="0" w:line="130" w:lineRule="exact"/>
        <w:rPr>
          <w:rFonts w:ascii="Times New Roman" w:cs="Times New Roman" w:eastAsia="Times New Roman" w:hAnsi="Times New Roman"/>
          <w:sz w:val="18"/>
          <w:szCs w:val="18"/>
          <w:color w:val="auto"/>
        </w:rPr>
      </w:pPr>
    </w:p>
    <w:p>
      <w:pPr>
        <w:ind w:left="1420" w:right="520" w:hanging="331"/>
        <w:spacing w:after="0" w:line="28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Aspen Shares</w:t>
      </w:r>
      <w:r>
        <w:rPr>
          <w:rFonts w:ascii="Times New Roman" w:cs="Times New Roman" w:eastAsia="Times New Roman" w:hAnsi="Times New Roman"/>
          <w:sz w:val="18"/>
          <w:szCs w:val="18"/>
          <w:color w:val="auto"/>
        </w:rPr>
        <w:t xml:space="preserve">” means the quotient determined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(i) the Aspen Outstanding Shares </w:t>
      </w:r>
      <w:r>
        <w:rPr>
          <w:rFonts w:ascii="Times New Roman" w:cs="Times New Roman" w:eastAsia="Times New Roman" w:hAnsi="Times New Roman"/>
          <w:sz w:val="18"/>
          <w:szCs w:val="18"/>
          <w:i w:val="1"/>
          <w:iCs w:val="1"/>
          <w:u w:val="single" w:color="auto"/>
          <w:color w:val="auto"/>
        </w:rPr>
        <w:t>by</w:t>
      </w:r>
      <w:r>
        <w:rPr>
          <w:rFonts w:ascii="Times New Roman" w:cs="Times New Roman" w:eastAsia="Times New Roman" w:hAnsi="Times New Roman"/>
          <w:sz w:val="18"/>
          <w:szCs w:val="18"/>
          <w:color w:val="auto"/>
        </w:rPr>
        <w:t xml:space="preserve"> (ii) the Aspen Allocation Percentage.</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Aspen Net Cash</w:t>
      </w:r>
      <w:r>
        <w:rPr>
          <w:rFonts w:ascii="Times New Roman" w:cs="Times New Roman" w:eastAsia="Times New Roman" w:hAnsi="Times New Roman"/>
          <w:sz w:val="18"/>
          <w:szCs w:val="18"/>
          <w:color w:val="auto"/>
        </w:rPr>
        <w:t>” means $65,000,000.</w:t>
      </w:r>
    </w:p>
    <w:p>
      <w:pPr>
        <w:spacing w:after="0" w:line="130" w:lineRule="exact"/>
        <w:rPr>
          <w:rFonts w:ascii="Times New Roman" w:cs="Times New Roman" w:eastAsia="Times New Roman" w:hAnsi="Times New Roman"/>
          <w:sz w:val="18"/>
          <w:szCs w:val="18"/>
          <w:color w:val="auto"/>
        </w:rPr>
      </w:pPr>
    </w:p>
    <w:p>
      <w:pPr>
        <w:ind w:left="1420" w:right="20" w:hanging="331"/>
        <w:spacing w:after="0" w:line="28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Upper Aspen Net Cash Amount</w:t>
      </w:r>
      <w:r>
        <w:rPr>
          <w:rFonts w:ascii="Times New Roman" w:cs="Times New Roman" w:eastAsia="Times New Roman" w:hAnsi="Times New Roman"/>
          <w:sz w:val="18"/>
          <w:szCs w:val="18"/>
          <w:color w:val="auto"/>
        </w:rPr>
        <w:t>” means, if Aspen Net Cash is greater than the Upper Target Aspen Net Cash, then the amount, if any, that the Aspen Net Cash exceeds the Target Aspen Net Cash.</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Upper Target Aspen Net Cash</w:t>
      </w:r>
      <w:r>
        <w:rPr>
          <w:rFonts w:ascii="Times New Roman" w:cs="Times New Roman" w:eastAsia="Times New Roman" w:hAnsi="Times New Roman"/>
          <w:sz w:val="18"/>
          <w:szCs w:val="18"/>
          <w:color w:val="auto"/>
        </w:rPr>
        <w:t>” means $65,500,000.</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Concurrent Investment Proceeds shall not be included in the calculation or determination of the Company Equity Value, the Aspen Valuation or any component thereof.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is an illustrative example of the calculation of Company Merger Shares.</w:t>
      </w:r>
    </w:p>
    <w:p>
      <w:pPr>
        <w:spacing w:after="0" w:line="172"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options to purchase shares of Company Capital Stock issued by the Company pursuant to the Company Equity Incentive Plan (for the avoidance of doubt, other than Company Convertible Notes).</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Outbound License</w:t>
      </w:r>
      <w:r>
        <w:rPr>
          <w:rFonts w:ascii="Times New Roman" w:cs="Times New Roman" w:eastAsia="Times New Roman" w:hAnsi="Times New Roman"/>
          <w:sz w:val="18"/>
          <w:szCs w:val="18"/>
          <w:color w:val="auto"/>
        </w:rPr>
        <w:t>” means any Company Contract pursuant to which the Company grants any license or any other right or immunity (including any sublicense, option, right of first refusal or other preferential right or covenant not to sue) under any Company Intellectual Property that is material to the business of the Company taken as a whole to any other Person, in each case, other than any (a) outbound non-exclusive license agreements entered into in the ordinary course of business consistent with past practice and where the grants of rights are (i) solely to commercial service providers to perform services for the Company or (ii) incidental to any assays or other materials obtained from third parties under material transfer agreements or other similar contracts, in each case, consistent with industry standard, and (b) agreements between any of the Company or any Subsidiary thereof and another Subsidiary of the Company.</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6" w:right="51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Preferred Stock</w:t>
      </w:r>
      <w:r>
        <w:rPr>
          <w:rFonts w:ascii="Times New Roman" w:cs="Times New Roman" w:eastAsia="Times New Roman" w:hAnsi="Times New Roman"/>
          <w:sz w:val="18"/>
          <w:szCs w:val="18"/>
          <w:color w:val="auto"/>
        </w:rPr>
        <w:t>” means the Preferred Stock, $0.0001 par value per share, of the Company.</w:t>
      </w:r>
    </w:p>
    <w:p>
      <w:pPr>
        <w:spacing w:after="0" w:line="225"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means any pharmaceutical, biological or medicinal therapy, compound, drug, product candidate or product that is being developed, researched, manufactured, tested, licensed, offered, marketed, sold, or distributed by or on behalf of the Company or its Subsidiaries, including any discovery or clinical programs or platforms and the therapies and compounds made and tested in such programs, including through collaboration with others, or through compassionate use/named patient activities.</w:t>
      </w:r>
    </w:p>
    <w:p>
      <w:pPr>
        <w:spacing w:after="0" w:line="176" w:lineRule="exact"/>
        <w:rPr>
          <w:sz w:val="20"/>
          <w:szCs w:val="20"/>
          <w:color w:val="auto"/>
        </w:rPr>
      </w:pPr>
    </w:p>
    <w:p>
      <w:pPr>
        <w:ind w:right="4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Restricted Stock</w:t>
      </w:r>
      <w:r>
        <w:rPr>
          <w:rFonts w:ascii="Times New Roman" w:cs="Times New Roman" w:eastAsia="Times New Roman" w:hAnsi="Times New Roman"/>
          <w:sz w:val="17"/>
          <w:szCs w:val="17"/>
          <w:color w:val="auto"/>
        </w:rPr>
        <w:t>” means any shares of Company Common Stock that are unvested or are subject to a repurchase option, risk of forfeiture or other condition on title or ownership under any applicable restricted stock purchase agreement or other Company Material Contract.</w:t>
      </w:r>
    </w:p>
    <w:p>
      <w:pPr>
        <w:spacing w:after="0" w:line="13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Stock Unit</w:t>
      </w:r>
      <w:r>
        <w:rPr>
          <w:rFonts w:ascii="Times New Roman" w:cs="Times New Roman" w:eastAsia="Times New Roman" w:hAnsi="Times New Roman"/>
          <w:sz w:val="18"/>
          <w:szCs w:val="18"/>
          <w:color w:val="auto"/>
        </w:rPr>
        <w:t>” means a restricted stock unit of the Company, whether issued pursuant to the Company Equity Incentive Plan or otherwise (for the avoidance of doubt, other than Company Convertible Notes, Company Options or Company Warrants).</w:t>
      </w:r>
    </w:p>
    <w:p>
      <w:pPr>
        <w:spacing w:after="0" w:line="155"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SAFEs”</w:t>
      </w:r>
      <w:r>
        <w:rPr>
          <w:rFonts w:ascii="Times New Roman" w:cs="Times New Roman" w:eastAsia="Times New Roman" w:hAnsi="Times New Roman"/>
          <w:sz w:val="17"/>
          <w:szCs w:val="17"/>
          <w:color w:val="auto"/>
        </w:rPr>
        <w:t xml:space="preserve"> means those certain simple agreements for future equity by and between the Company and the holders party thereto in the aggregate principal amount of $34,125,000 and listed as part of the definition of “Safes” in Subsection 3.21 of the Company Disclosure Schedule.</w:t>
      </w:r>
    </w:p>
    <w:p>
      <w:pPr>
        <w:spacing w:after="0" w:line="132"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Triggering Event</w:t>
      </w:r>
      <w:r>
        <w:rPr>
          <w:rFonts w:ascii="Times New Roman" w:cs="Times New Roman" w:eastAsia="Times New Roman" w:hAnsi="Times New Roman"/>
          <w:sz w:val="18"/>
          <w:szCs w:val="18"/>
          <w:color w:val="auto"/>
        </w:rPr>
        <w:t xml:space="preserve">” shall be deemed to have occurred if: (a) the Company Board or any committee thereof shall have made a Company Board Adverse Recommendation Change or approved, endorsed or recommended any Acquisition Proposal with respect to the Company (other than by Aspen or an Affiliate thereof and other than actions made in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(b) the Company shall have entered into any letter of intent or similar document or any Contract relating to any Acquisition Proposal with respect to the Company (other than an Acceptable Confidentiality Agreement permitted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(c) upon willful and material breach of the Company’s obligations set forth in the first sentence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means warrants to purchase shares of Company Capital Stock issued by the Company (for the avoidance of doubt, other than Company Convertible Notes, Company Restricted Stock Units or Company Options).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Concurrent Investment Amount</w:t>
      </w:r>
      <w:r>
        <w:rPr>
          <w:rFonts w:ascii="Times New Roman" w:cs="Times New Roman" w:eastAsia="Times New Roman" w:hAnsi="Times New Roman"/>
          <w:sz w:val="18"/>
          <w:szCs w:val="18"/>
          <w:color w:val="auto"/>
        </w:rPr>
        <w:t>” means $114,500,000.</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Concurrent Investment Proceeds</w:t>
      </w:r>
      <w:r>
        <w:rPr>
          <w:rFonts w:ascii="Times New Roman" w:cs="Times New Roman" w:eastAsia="Times New Roman" w:hAnsi="Times New Roman"/>
          <w:sz w:val="18"/>
          <w:szCs w:val="18"/>
          <w:color w:val="auto"/>
        </w:rPr>
        <w:t>” means the collective proceeds actually resulting from (i) the Subscription Agreement Concurrent Investment and (ii) the Company SAFE Concurrent Investment.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Confidentiality Agreement, dated as of October 24, 2023, between the Company and Aspen.</w:t>
      </w:r>
    </w:p>
    <w:p>
      <w:pPr>
        <w:spacing w:after="0" w:line="225" w:lineRule="exact"/>
        <w:rPr>
          <w:sz w:val="20"/>
          <w:szCs w:val="20"/>
          <w:color w:val="auto"/>
        </w:rPr>
      </w:pPr>
    </w:p>
    <w:p>
      <w:pPr>
        <w:jc w:val="center"/>
        <w:ind w:right="36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 11</w:t>
      </w:r>
    </w:p>
    <w:p>
      <w:pPr>
        <w:sectPr>
          <w:pgSz w:w="11900" w:h="16838" w:orient="portrait"/>
          <w:cols w:equalWidth="0" w:num="1">
            <w:col w:w="10980"/>
          </w:cols>
          <w:pgMar w:left="440" w:top="266" w:right="479" w:bottom="1440" w:gutter="0" w:footer="0" w:header="0"/>
        </w:sectPr>
      </w:pPr>
    </w:p>
    <w:bookmarkStart w:id="24" w:name="page25"/>
    <w:bookmarkEnd w:id="24"/>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means the Merger and the other transactions contemplated by this Agreement, including the CVR Agreement, any Aspen Pre-Closing Transaction and the Concurrent Investment.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Governmental Authority</w:t>
      </w:r>
      <w:r>
        <w:rPr>
          <w:rFonts w:ascii="Times New Roman" w:cs="Times New Roman" w:eastAsia="Times New Roman" w:hAnsi="Times New Roman"/>
          <w:sz w:val="18"/>
          <w:szCs w:val="18"/>
          <w:color w:val="auto"/>
        </w:rPr>
        <w:t>” means any Governmental Authority having jurisdiction over the safety, efficacy, approval, research, development, testing, labeling, manufacture, packaging, import, export, storage, sale, commercialization or distribution of Company Products or Aspen Products, such as the FDA, the European Medicines Agency, or the United Kingdom Medicines and Healthcare Products Regulatory Agency.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(i) each “employee benefit plan,” as defined in Section 3(3) of ERISA (whether or not subject to ERISA), (ii) each compensation, severance, termination protection, change in control, transaction bonus, retention or similar contract, plan, program, arrangement, policy or guidelines, and (iii) each other plan, program, arrangement or policy providing for compensation (including variable cash compensation and commissions), bonuses, profit-sharing, stock option or other stock-related rights or other forms of incentive or deferred compensation, tax gross-up, vacation benefits, insurance (including any self-insured arrangement), health, medical, dental, vision, prescription or fringe benefits, life insurance, relocation or expatriate benefits, perquisites, employee assistance program, disability or sick leave benefits, workers’ compensation, supplemental unemployment benefits, severance benefits or post-employment or retirement benefits (including compensation, pension, health, medical or life insurance benefits), in each case whether or not written.</w:t>
      </w:r>
    </w:p>
    <w:p>
      <w:pPr>
        <w:spacing w:after="0" w:line="18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means the (a) Laws of general application relating to bankruptcy, insolvency and the relief of debtors and (b) rules of law governing specific performance, injunctive relief and other equitable remedies.</w:t>
      </w:r>
    </w:p>
    <w:p>
      <w:pPr>
        <w:spacing w:after="0" w:line="15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25" w:name="page26"/>
    <w:bookmarkEnd w:id="25"/>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Equity Plan Proposals</w:t>
      </w:r>
      <w:r>
        <w:rPr>
          <w:rFonts w:ascii="Times New Roman" w:cs="Times New Roman" w:eastAsia="Times New Roman" w:hAnsi="Times New Roman"/>
          <w:sz w:val="18"/>
          <w:szCs w:val="18"/>
          <w:color w:val="auto"/>
        </w:rPr>
        <w:t>” means, collectively, the 2024 Equity Incentive Plan (the “</w:t>
      </w:r>
      <w:r>
        <w:rPr>
          <w:rFonts w:ascii="Times New Roman" w:cs="Times New Roman" w:eastAsia="Times New Roman" w:hAnsi="Times New Roman"/>
          <w:sz w:val="18"/>
          <w:szCs w:val="18"/>
          <w:b w:val="1"/>
          <w:bCs w:val="1"/>
          <w:color w:val="auto"/>
        </w:rPr>
        <w:t>2024 Plan</w:t>
      </w:r>
      <w:r>
        <w:rPr>
          <w:rFonts w:ascii="Times New Roman" w:cs="Times New Roman" w:eastAsia="Times New Roman" w:hAnsi="Times New Roman"/>
          <w:sz w:val="18"/>
          <w:szCs w:val="18"/>
          <w:color w:val="auto"/>
        </w:rPr>
        <w:t>”) and the 2024 Employee Stock Purchase Plan (the “</w:t>
      </w:r>
      <w:r>
        <w:rPr>
          <w:rFonts w:ascii="Times New Roman" w:cs="Times New Roman" w:eastAsia="Times New Roman" w:hAnsi="Times New Roman"/>
          <w:sz w:val="18"/>
          <w:szCs w:val="18"/>
          <w:b w:val="1"/>
          <w:bCs w:val="1"/>
          <w:color w:val="auto"/>
        </w:rPr>
        <w:t>2024 ESPP</w:t>
      </w:r>
      <w:r>
        <w:rPr>
          <w:rFonts w:ascii="Times New Roman" w:cs="Times New Roman" w:eastAsia="Times New Roman" w:hAnsi="Times New Roman"/>
          <w:sz w:val="18"/>
          <w:szCs w:val="18"/>
          <w:color w:val="auto"/>
        </w:rPr>
        <w:t>”), in a form reasonably acceptable to Aspen.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Entity, any other Person that would be treated as a single employer with such Entity or part of the same “controlled group” as such Entity under Sections 414(b),(c),(m) or (o) of the Code.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 and any successor agency thereto.</w:t>
      </w:r>
    </w:p>
    <w:p>
      <w:pPr>
        <w:spacing w:after="0" w:line="225" w:lineRule="exact"/>
        <w:rPr>
          <w:sz w:val="20"/>
          <w:szCs w:val="20"/>
          <w:color w:val="auto"/>
        </w:rPr>
      </w:pPr>
    </w:p>
    <w:p>
      <w:pPr>
        <w:jc w:val="both"/>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FDA’s standards for the design, conduct, performance, monitoring, auditing, recording, analysis, and reporting of clinical trials, including those standards contained in 21 C.F.R. Parts 11, 50, 54, 56 and 312 and all comparable standards of any other applicable Drug Governmental Authority.</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FDA’s standards for conducting non-clinical laboratory studies, including those standards contained in 21 C.F.R. Parts 11 and 58, and all comparable standards of any other applicable Drug Governmental Authority.</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means the requirements set forth at 21 U.S.C. § 351(a)(2)(B) and in the regulations for drugs contained in 21 C.F.R. Parts 11, 210, 211 and 600-680, and all comparable standards of any other applicable Drug Governmental Authority.</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7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1"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53"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Laws</w:t>
      </w:r>
      <w:r>
        <w:rPr>
          <w:rFonts w:ascii="Times New Roman" w:cs="Times New Roman" w:eastAsia="Times New Roman" w:hAnsi="Times New Roman"/>
          <w:sz w:val="18"/>
          <w:szCs w:val="18"/>
          <w:color w:val="auto"/>
        </w:rPr>
        <w:t>” means all applicable health care Laws, including (i) any and all federal, state and local fraud and abuse Laws, including the federal Anti-Kickback Statute (42 U.S.C. § 1320a-7b(b)), the civil False Claims Act (31 U.S.C. §§ 3729 et seq.), the administrative False Claims Law (42 U.S.C. § 1320a-7b(a)) and the regulations promulgated pursuant to such statutes and equivalent non-U.S. statutory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26" w:name="page27"/>
    <w:bookmarkEnd w:id="26"/>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regulatory provisions; (ii) the Federal Food, Drug, and Cosmetic Act (21 U.S.C. §§ 301 et seq.) and the regulations promulgated thereunder and equivalent non-U.S. statutory and regulatory provisions; (iii) the health care fraud and false statement provisions of HIPAA; (iv) applicable Laws which are cause for exclusion from any federal health care program and the regulations promulgated pursuant to such statutes and equivalent non-U.S. statutory and regulatory provisions; (v) the federal health care program civil monetary penalty (42 U.S.C. § 1320a-7a) and exclusion authorities (42 U.S.C. § 1320a-7) and the regulations promulgated pursuant to such statutes; (vi) the Public Health Service Act (42 U.S.C. §§ 201 et seq.) and the regulations promulgated thereunder and equivalent non-U.S. statutory and regulatory provisions; and (vii) all applicable Laws, rules, regulations, orders, judgments, decrees and injunctions administered by the FDA and other applicable regulatory authorities, including those governing recordkeeping, manufacturing, testing, development and approval of any Company Product or Aspen Product, including but not limited to FDA’s regulations at 21 C.F.R. Parts 11, 50, 54, 56, 58, 210, 211, 312, 600 and 610, each as may be amended from time to time and equivalent non-U.S. statutory and regulatory provisions.</w:t>
      </w:r>
    </w:p>
    <w:p>
      <w:pPr>
        <w:spacing w:after="0" w:line="190"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Healthcare Submissions</w:t>
      </w:r>
      <w:r>
        <w:rPr>
          <w:rFonts w:ascii="Times New Roman" w:cs="Times New Roman" w:eastAsia="Times New Roman" w:hAnsi="Times New Roman"/>
          <w:sz w:val="18"/>
          <w:szCs w:val="18"/>
          <w:color w:val="auto"/>
        </w:rPr>
        <w:t>” means all required material filings, declarations, listings, registrations, reports or submissions, including adverse event reports.</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(42 U.S.C. §§ 1320d et seq.), as amended by the Health Information Technology for Economic and Clinical Health Act (42 U.S.C. §§ 17921 et seq.) and their implementing regulations.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the Money Aspen Options</w:t>
      </w:r>
      <w:r>
        <w:rPr>
          <w:rFonts w:ascii="Times New Roman" w:cs="Times New Roman" w:eastAsia="Times New Roman" w:hAnsi="Times New Roman"/>
          <w:sz w:val="18"/>
          <w:szCs w:val="18"/>
          <w:color w:val="auto"/>
        </w:rPr>
        <w:t>” shall mean Aspen Options with an exercise price less than the Aspen Closing Price</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intellectual property or proprietary rights of any kind or nature throughout the world, including all (i) patents and patent applications, including all provisionals, nonprovisionals, continuations, continuations-in-part, divisionals, reissues, extensions, re-examinations, and substitutions thereof and the equivalents of any of the foregoing in any jurisdiction, and all inventions disclosed in each such patent or patent application (collectively,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(ii) trade names, trade dress, logos, slogans, Internet domain names, registered and unregistered trademarks and service marks, and related registrations and applications for registration of any of the foregoing, and all goodwill associated with any of the foregoing (collectively,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(iii) copyrights in both published and unpublished works, including all compilations, databases and computer programs, manuals and other documentation and all copyright registrations and applications (collectively,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(iv) trade secrets, know-how, inventions (including as disclosed in invention disclosures and discoveries) and confidential information, including manufacturing information, methods and processes, assays, materials, engineering and other manuals and drawings, operating procedures, regulatory, chemical, pharmacological, toxicological, pharmaceutical, physical and analytical, safety, quality assurance, quality control and clinical data and similar data and information (collectively, “</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(v) rights of privacy or publicity; (vi) rights in software, data and databases, and industrial property rights;</w:t>
      </w:r>
    </w:p>
    <w:p>
      <w:pPr>
        <w:spacing w:after="0" w:line="8" w:lineRule="exact"/>
        <w:rPr>
          <w:sz w:val="20"/>
          <w:szCs w:val="20"/>
          <w:color w:val="auto"/>
        </w:rPr>
      </w:pPr>
    </w:p>
    <w:p>
      <w:pPr>
        <w:ind w:left="4" w:right="420" w:hanging="4"/>
        <w:spacing w:after="0" w:line="260" w:lineRule="auto"/>
        <w:tabs>
          <w:tab w:leader="none" w:pos="3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embodiments of any of the foregoing, and (viii) rights to assert, claim, enforce or sue and collect damages or seek other remedies for any past, present or future infringement, misappropriation or other violation of any of the foregoing.</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7" w:name="page28"/>
    <w:bookmarkEnd w:id="27"/>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For the avoidance of doubt, the term “Law” includes any and all Environmental Laws, Healthcare Laws and Privacy Laws.</w:t>
      </w:r>
    </w:p>
    <w:p>
      <w:pPr>
        <w:spacing w:after="0" w:line="176"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Board</w:t>
      </w:r>
      <w:r>
        <w:rPr>
          <w:rFonts w:ascii="Times New Roman" w:cs="Times New Roman" w:eastAsia="Times New Roman" w:hAnsi="Times New Roman"/>
          <w:sz w:val="18"/>
          <w:szCs w:val="18"/>
          <w:color w:val="auto"/>
        </w:rPr>
        <w:t>” means the board of directors of Merger Sub.</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the Nasdaq Global Market or the Nasdaq Capital Market, as may be applicable to Aspen from time to time.</w:t>
      </w:r>
    </w:p>
    <w:p>
      <w:pPr>
        <w:spacing w:after="0" w:line="15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 Reverse Split</w:t>
      </w:r>
      <w:r>
        <w:rPr>
          <w:rFonts w:ascii="Times New Roman" w:cs="Times New Roman" w:eastAsia="Times New Roman" w:hAnsi="Times New Roman"/>
          <w:sz w:val="18"/>
          <w:szCs w:val="18"/>
          <w:color w:val="auto"/>
        </w:rPr>
        <w:t>” means a reverse stock split of all outstanding shares of Aspen Common Stock at a reverse stock split ratio mutually agreed to by Aspen and the Company that is effected by Aspen for the purpose of maintaining compliance with Nasdaq listing requirements or of maintaining compliance with Aspen’s authorized share count, or for other purposes as mutually agreed by the parties.</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xml:space="preserve">” means, in the case of each of the Company and Aspen, such actions taken in the ordinary course of its normal operations and consistent with its past practices,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during the Pre-Closing Period, the Ordinary Course of Business of Aspen shall also be deemed to include actions required to effect and effecting, in one or more transactions, the sale, divestiture, licensing or winding down of Aspen’s business or operations related to the assets listed on Schedule 1.1 of the Aspen Disclosure Schedule or the sale, license or other disposition of any or all of the Aspen Pre-Closing Assets, including the expenditure of monies in connection therewith.</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 of the Money Aspen Options</w:t>
      </w:r>
      <w:r>
        <w:rPr>
          <w:rFonts w:ascii="Times New Roman" w:cs="Times New Roman" w:eastAsia="Times New Roman" w:hAnsi="Times New Roman"/>
          <w:sz w:val="18"/>
          <w:szCs w:val="18"/>
          <w:color w:val="auto"/>
        </w:rPr>
        <w:t>” shall mean Aspen Options with an exercise price greater than the Aspen Closing Price.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Merger Sub and Aspen.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28" w:name="page29"/>
    <w:bookmarkEnd w:id="28"/>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Alternative Agreement</w:t>
      </w:r>
      <w:r>
        <w:rPr>
          <w:rFonts w:ascii="Times New Roman" w:cs="Times New Roman" w:eastAsia="Times New Roman" w:hAnsi="Times New Roman"/>
          <w:sz w:val="18"/>
          <w:szCs w:val="18"/>
          <w:color w:val="auto"/>
        </w:rPr>
        <w:t>” means a definitive agreement that contemplates or otherwise relates to an Acquisition Transaction that constitutes a Superior Offer.</w:t>
      </w:r>
    </w:p>
    <w:p>
      <w:pPr>
        <w:spacing w:after="0" w:line="155"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w:t>
      </w:r>
      <w:r>
        <w:rPr>
          <w:rFonts w:ascii="Times New Roman" w:cs="Times New Roman" w:eastAsia="Times New Roman" w:hAnsi="Times New Roman"/>
          <w:sz w:val="18"/>
          <w:szCs w:val="18"/>
          <w:color w:val="auto"/>
        </w:rPr>
        <w:t>” means (a) any statutory liens for current Taxes not yet due and payable or for Taxes that are being contested in good faith by the appropriate proceedings and for which adequate reserves have been made on the Company Financials or the Aspen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Aspen, as applicable,</w:t>
      </w:r>
    </w:p>
    <w:p>
      <w:pPr>
        <w:spacing w:after="0" w:line="3" w:lineRule="exact"/>
        <w:rPr>
          <w:sz w:val="20"/>
          <w:szCs w:val="20"/>
          <w:color w:val="auto"/>
        </w:rPr>
      </w:pPr>
    </w:p>
    <w:p>
      <w:pPr>
        <w:ind w:left="4" w:right="260" w:hanging="4"/>
        <w:spacing w:after="0" w:line="253"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liens arising under applicable securities Law.</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data and information concerning an identifiable natural person that are subject to regulation by the Privacy Laws.</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mean, collectively, (i)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w:t>
      </w:r>
    </w:p>
    <w:p>
      <w:pPr>
        <w:spacing w:after="0" w:line="3" w:lineRule="exact"/>
        <w:rPr>
          <w:sz w:val="20"/>
          <w:szCs w:val="20"/>
          <w:color w:val="auto"/>
        </w:rPr>
      </w:pPr>
    </w:p>
    <w:p>
      <w:pPr>
        <w:ind w:left="264" w:hanging="264"/>
        <w:spacing w:after="0"/>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privacy policy of the Company and any public statements that the Company has made regarding its privacy policies and practices;</w:t>
      </w:r>
    </w:p>
    <w:p>
      <w:pPr>
        <w:spacing w:after="0" w:line="9" w:lineRule="exact"/>
        <w:rPr>
          <w:rFonts w:ascii="Times New Roman" w:cs="Times New Roman" w:eastAsia="Times New Roman" w:hAnsi="Times New Roman"/>
          <w:sz w:val="18"/>
          <w:szCs w:val="18"/>
          <w:color w:val="auto"/>
        </w:rPr>
      </w:pPr>
    </w:p>
    <w:p>
      <w:pPr>
        <w:ind w:left="4" w:right="20" w:hanging="4"/>
        <w:spacing w:after="0" w:line="253"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privacy policies with which the Company has been or is contractually obligated to comply; and (iv)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directors, officers, employees, agents, attorneys, accountants, investment bankers, advisors and representatives.</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any country or region subject to economic sanctions or trade restrictions of the United States that broadly prohibit or restrict dealings with such country or region (currently including Cuba, Iran, North Korea, Syria, the Crimea region of Ukraine, and the so-called Donetsk People’s Republic and Luhansk People’s Republic regions in Ukraine).</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subject to economic sanctions, trade restrictions or similar restrictions under any Sanctions Laws, including (a) any Person identified in any sanctions list maintained by the U.S. government, including (i) the U.S. Department of the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(ii) the U.S. Department of Commerce, Bureau of Industry and Security, and (iii) the U.S. Department of State;</w:t>
      </w:r>
    </w:p>
    <w:p>
      <w:pPr>
        <w:jc w:val="both"/>
        <w:ind w:left="4" w:right="180" w:hanging="4"/>
        <w:spacing w:after="0" w:line="255"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located, organized or resident in, or a government instrumentality of, any Sanctioned Country; and (c) any Person directly or indirectly owned fifty percent (50%) or more by, or acting for the benefit or on behalf of, a Person described in the Specially Designated Nationals and Blocked Persons list maintained by OFAC or the foregoing clause (b).</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29" w:name="page30"/>
    <w:bookmarkEnd w:id="29"/>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means all applicable Laws concerning embargoes, economic sanctions, export or import controls or restrictions, the ability to make or receive international payments, the ability to export items (including hardware, software, or technology) and/or services, the ability to engage in international transactions, or the ability to take an ownership interest in assets located in a foreign country, including those administered by OFAC, the Bureau of Industry and Security of the U.S. Department of Commerce, the U.S. Department of State, and any other similar Laws of any other jurisdiction.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means the time that is immediately prior to the Effective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 Entity, a Person if such Person directly or indirectly owns or purports to own, beneficially or of record,</w:t>
      </w:r>
    </w:p>
    <w:p>
      <w:pPr>
        <w:spacing w:after="0" w:line="31" w:lineRule="exact"/>
        <w:rPr>
          <w:sz w:val="20"/>
          <w:szCs w:val="20"/>
          <w:color w:val="auto"/>
        </w:rPr>
      </w:pPr>
    </w:p>
    <w:p>
      <w:pPr>
        <w:ind w:left="4" w:right="220" w:hanging="4"/>
        <w:spacing w:after="0" w:line="255"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Offer</w:t>
      </w:r>
      <w:r>
        <w:rPr>
          <w:rFonts w:ascii="Times New Roman" w:cs="Times New Roman" w:eastAsia="Times New Roman" w:hAnsi="Times New Roman"/>
          <w:sz w:val="18"/>
          <w:szCs w:val="18"/>
          <w:color w:val="auto"/>
        </w:rPr>
        <w:t xml:space="preserve">” means an unsolicited bona fide written Acquisition Proposal (with all references to 20% in the definition of Acquisition Transaction being treated as references to 70% for these purposes) that: (a) was not obtained or made as a result of a breach of (or a violation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by Aspen, (b) is on terms and conditions that the Aspen Board or the Company Board, as applicable (or any committee thereof) determines in good faith, based on such matters that it deems relevant (including the likelihood of consummation thereof and the financing terms thereof), as well as any binding written offer by the other Party to the Agreement to amend the terms of this Agreement, and following consultation with its outside legal counsel and financial advisors, if any, it deems are more favorable, from a financial point of view, to Aspen’s stockholders or the Company’s stockholders, as applicable, than the terms of the Contemplated Transactions, (c) is not subject to any debt financing conditions (and if debt financing is required, such financing is then fully committed to the third party) and (d) is reasonably capable of being completed on the terms proposed.</w:t>
      </w:r>
    </w:p>
    <w:p>
      <w:pPr>
        <w:spacing w:after="0" w:line="18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8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(including any information return), report, statement, declaration, claim of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30" w:name="page31"/>
    <w:bookmarkEnd w:id="3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with respect to Aspen, and solely to the extent remaining unpaid at the Cash Determination Time, the aggregate amount (without duplication) of all costs, fees and expenses incurred by Aspen or any of its Subsidiaries (including Merger Sub), or for which Aspen or any of its Subsidiaries are liable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fees and expenses reasonably expected to be payable to financial advisors, investment bankers, brokers, consultants, tax advisors, transfer agents, proxy solicitor and other advisors of Aspen in connection with the Contemplated Transactions; (b) 50% of the fees paid to the SEC in connection with filing the Registration Statement, the Proxy Statement, and any amendments and supplements thereto, with the SEC; (c) 50% of the fees and expenses in connection with the printing, mailing and distribution of the Registration Statement and any amendments and supplements thereto; (d) 50% of the Nasdaq Fees (as defined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(e) the CVR Fees; and (f) to the extent not included in Aspen Net Cash, any bonus, severance, change-in-control payments or similar payment obligations (including payments with “single-trigger” provisions triggered at and as of the Closing) in effect as of the Closing that are, become, or may become due or payable to any director, officer, employee or consultant of Aspen in connection with, or following, the consummation of the Contemplated Transactions, including the employer portion of any employment, payroll or similar Taxes with respect to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Transaction Expenses shall not include any Costs associated with the obtainment of directors and officers insurance pursuant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With respect to the fees or costs contemplated by clauses (b), (c) and (d) of the preceding sentence, the remaining 50% of each such category of fees or costs is referred to herein as a “</w:t>
      </w:r>
      <w:r>
        <w:rPr>
          <w:rFonts w:ascii="Times New Roman" w:cs="Times New Roman" w:eastAsia="Times New Roman" w:hAnsi="Times New Roman"/>
          <w:sz w:val="18"/>
          <w:szCs w:val="18"/>
          <w:b w:val="1"/>
          <w:bCs w:val="1"/>
          <w:color w:val="auto"/>
        </w:rPr>
        <w:t>Company Portion</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Each of the following terms is defined in the Section set forth opposite such term:</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20" w:type="dxa"/>
            <w:vAlign w:val="bottom"/>
          </w:tcPr>
          <w:p>
            <w:pPr>
              <w:spacing w:after="0"/>
              <w:rPr>
                <w:sz w:val="15"/>
                <w:szCs w:val="15"/>
                <w:color w:val="auto"/>
              </w:rPr>
            </w:pPr>
          </w:p>
        </w:tc>
      </w:tr>
      <w:tr>
        <w:trPr>
          <w:trHeight w:val="31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Board Recommendation</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6.3(b)</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Disclosure Schedule</w:t>
            </w:r>
          </w:p>
        </w:tc>
        <w:tc>
          <w:tcPr>
            <w:tcW w:w="23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ESPP</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4.6(c)</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Grant Date</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4.6(f)</w:t>
            </w:r>
          </w:p>
        </w:tc>
      </w:tr>
      <w:tr>
        <w:trPr>
          <w:trHeight w:val="32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Material Contract</w:t>
            </w:r>
          </w:p>
        </w:tc>
        <w:tc>
          <w:tcPr>
            <w:tcW w:w="186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4.13(a)</w:t>
            </w:r>
          </w:p>
        </w:tc>
      </w:tr>
      <w:tr>
        <w:trPr>
          <w:trHeight w:val="365"/>
        </w:trPr>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20" w:type="dxa"/>
            <w:vAlign w:val="bottom"/>
          </w:tcPr>
          <w:p>
            <w:pPr>
              <w:spacing w:after="0"/>
              <w:rPr>
                <w:sz w:val="15"/>
                <w:szCs w:val="15"/>
                <w:color w:val="auto"/>
              </w:rPr>
            </w:pPr>
          </w:p>
        </w:tc>
      </w:tr>
      <w:tr>
        <w:trPr>
          <w:trHeight w:val="31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Net Cash Calculation</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Net Cash Schedule</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Real Estate Leases</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24"/>
                <w:szCs w:val="24"/>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SEC Documents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Stock Plans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4.6(c)</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Stockholder Matters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3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Aspen Stockholder Meeting</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r>
      <w:tr>
        <w:trPr>
          <w:trHeight w:val="33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Determination Time</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Distribution</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2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Financials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3.13(a)</w:t>
            </w:r>
          </w:p>
        </w:tc>
      </w:tr>
      <w:tr>
        <w:trPr>
          <w:trHeight w:val="32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Written Consents</w:t>
            </w:r>
          </w:p>
        </w:tc>
        <w:tc>
          <w:tcPr>
            <w:tcW w:w="15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6.2(a)</w:t>
            </w:r>
          </w:p>
        </w:tc>
      </w:tr>
      <w:tr>
        <w:trPr>
          <w:trHeight w:val="364"/>
        </w:trPr>
        <w:tc>
          <w:tcPr>
            <w:tcW w:w="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20" w:type="dxa"/>
            <w:vAlign w:val="bottom"/>
          </w:tcPr>
          <w:p>
            <w:pPr>
              <w:spacing w:after="0"/>
              <w:rPr>
                <w:sz w:val="15"/>
                <w:szCs w:val="15"/>
                <w:color w:val="auto"/>
              </w:rPr>
            </w:pPr>
          </w:p>
        </w:tc>
      </w:tr>
      <w:tr>
        <w:trPr>
          <w:trHeight w:val="31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 Conversion</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2.5(h)</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Estate Leases</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Certificate</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4"/>
                <w:szCs w:val="24"/>
                <w:color w:val="auto"/>
              </w:rPr>
            </w:pPr>
          </w:p>
        </w:tc>
      </w:tr>
      <w:tr>
        <w:trPr>
          <w:trHeight w:val="338"/>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2.6(a)</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Agreement</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2.6(a)</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Fees</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2.6(c)</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Parties</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6.8(a)</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1.1(a)</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Offering</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6.7(c)</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3.7(a)</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20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4"/>
                <w:szCs w:val="24"/>
                <w:color w:val="auto"/>
              </w:rPr>
            </w:pP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2.5(a)(ii)</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32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Post-Closing Welfare Plan</w:t>
            </w:r>
          </w:p>
        </w:tc>
        <w:tc>
          <w:tcPr>
            <w:tcW w:w="16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6.6(b)</w:t>
            </w:r>
          </w:p>
        </w:tc>
      </w:tr>
      <w:tr>
        <w:trPr>
          <w:trHeight w:val="365"/>
        </w:trPr>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70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0" w:type="dxa"/>
            <w:vAlign w:val="bottom"/>
          </w:tcPr>
          <w:p>
            <w:pPr>
              <w:spacing w:after="0"/>
              <w:rPr>
                <w:sz w:val="15"/>
                <w:szCs w:val="15"/>
                <w:color w:val="auto"/>
              </w:rPr>
            </w:pPr>
          </w:p>
        </w:tc>
      </w:tr>
      <w:tr>
        <w:trPr>
          <w:trHeight w:val="31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Privacy Policies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6.1(a)</w:t>
            </w: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Stockholder Vote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Aspen Stockholder Vote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Specified Aspen Stockholder Matters</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6.3(a)</w:t>
            </w: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Certificates</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6.11(c)</w:t>
            </w:r>
          </w:p>
        </w:tc>
      </w:tr>
    </w:tbl>
    <w:p>
      <w:pPr>
        <w:spacing w:after="0" w:line="198"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Aspen Disclosure Schedule shall be arranged in sections and subsections corresponding to the numbered and lettered sections and subsections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respectively. The disclosures in any section or subsection of the Company Disclosure Schedule or the Aspen Disclosure Schedule shall qualify other sections and subsections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respectively, to the extent it is readily apparent from a reading of the disclosure that such disclosure is applicable to such other sections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3" w:right="479" w:bottom="1440" w:gutter="0" w:footer="0" w:header="0"/>
        </w:sectPr>
      </w:pPr>
    </w:p>
    <w:bookmarkStart w:id="34" w:name="page35"/>
    <w:bookmarkEnd w:id="34"/>
    <w:p>
      <w:pPr>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 w:lineRule="exact"/>
        <w:rPr>
          <w:sz w:val="20"/>
          <w:szCs w:val="20"/>
          <w:color w:val="auto"/>
        </w:rPr>
      </w:pPr>
    </w:p>
    <w:p>
      <w:pPr>
        <w:ind w:left="4" w:right="240" w:hanging="4"/>
        <w:spacing w:after="0" w:line="260"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by or on behalf of a Party or its Representatives to the other Party or its Representatives via electronic mail or in hard copy form prior to the execution of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Description of Transaction</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in the applicable provisions of the DGCL. As a result of the Merger, the Company will become a wholly owned subsidiary of Aspen.</w:t>
      </w:r>
    </w:p>
    <w:p>
      <w:pPr>
        <w:spacing w:after="0" w:line="162"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pursuant to the provisions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subject to the satisfaction or waiver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consummation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other than those conditions that by their nature are to be satisfied at the Closing, but subject to the satisfaction or waiver of each of such conditions), or at such other time, date and place as Aspen and the Company may mutually agree in writing. The date on which the Closing actually takes place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The Merger shall become effective at the time of the filing of such Certificate of Merger with the Secretary of State of the State of Delaware or at such later time as may be specified in such Certificate of Merger with the consent of Aspen and the Company (the time as of which the Merger becomes effective being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Organizational Documents; Directors and Officers</w:t>
      </w:r>
      <w:r>
        <w:rPr>
          <w:rFonts w:ascii="Times New Roman" w:cs="Times New Roman" w:eastAsia="Times New Roman" w:hAnsi="Times New Roman"/>
          <w:sz w:val="18"/>
          <w:szCs w:val="18"/>
          <w:color w:val="auto"/>
        </w:rPr>
        <w:t>. At the Effective Time:</w:t>
      </w:r>
    </w:p>
    <w:p>
      <w:pPr>
        <w:spacing w:after="0" w:line="225" w:lineRule="exact"/>
        <w:rPr>
          <w:sz w:val="20"/>
          <w:szCs w:val="20"/>
          <w:color w:val="auto"/>
        </w:rPr>
      </w:pPr>
    </w:p>
    <w:p>
      <w:pPr>
        <w:ind w:left="4" w:right="200" w:firstLine="1428"/>
        <w:spacing w:after="0" w:line="282" w:lineRule="auto"/>
        <w:tabs>
          <w:tab w:leader="none" w:pos="16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161"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6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Aspen shall be identical to the certificate of incorporation of Aspen immediately prior to the Effective Time, until thereafter amended as provided by the DGCL and such certificate of incorporation;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Effective Time, Aspen shall file an amendment to its certificate of incorporation to (i) change the name of Aspen to “Tectonic Therapeutic, Inc.”, (ii) effect the Nasdaq Reverse Split, and (iii) make such other changes as are mutually agreeable to Aspen and the Company;</w:t>
      </w:r>
    </w:p>
    <w:p>
      <w:pPr>
        <w:spacing w:after="0" w:line="179" w:lineRule="exact"/>
        <w:rPr>
          <w:rFonts w:ascii="Times New Roman" w:cs="Times New Roman" w:eastAsia="Times New Roman" w:hAnsi="Times New Roman"/>
          <w:sz w:val="18"/>
          <w:szCs w:val="18"/>
          <w:color w:val="auto"/>
        </w:rPr>
      </w:pPr>
    </w:p>
    <w:p>
      <w:pPr>
        <w:ind w:left="4" w:right="460" w:firstLine="1428"/>
        <w:spacing w:after="0" w:line="282" w:lineRule="auto"/>
        <w:tabs>
          <w:tab w:leader="none" w:pos="16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35" w:name="page36"/>
    <w:bookmarkEnd w:id="35"/>
    <w:p>
      <w:pPr>
        <w:ind w:left="-436" w:right="120" w:firstLine="1428"/>
        <w:spacing w:after="0" w:line="282" w:lineRule="auto"/>
        <w:tabs>
          <w:tab w:leader="none" w:pos="12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directors and officers of Aspen, each to hold office in accordance with the certificate of incorporation and bylaws of Aspen, shall be as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436" w:firstLine="1428"/>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the Surviving Corporation, each to hold office in accordance with the certificate of incorporation and bylaws of Merger Sub, shall be as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after giving effect to the provisions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or such other persons as shall be mutually agreed upon by Aspen and the Company.</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Conversion of Company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20" w:firstLine="1428"/>
        <w:spacing w:after="0" w:line="282"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(after giving effect to the Company SAFEs Conversion and the Company Preferred Stock Conversion), by virtue of the Merger and without any further action on the part of Aspen, Merger Sub, the Company or any stockholder of the Company or Aspen:</w:t>
      </w:r>
    </w:p>
    <w:p>
      <w:pPr>
        <w:spacing w:after="0" w:line="53" w:lineRule="exact"/>
        <w:rPr>
          <w:rFonts w:ascii="Times New Roman" w:cs="Times New Roman" w:eastAsia="Times New Roman" w:hAnsi="Times New Roman"/>
          <w:sz w:val="18"/>
          <w:szCs w:val="18"/>
          <w:color w:val="auto"/>
        </w:rPr>
      </w:pPr>
    </w:p>
    <w:p>
      <w:pPr>
        <w:ind w:left="4" w:right="140" w:firstLine="1371"/>
        <w:spacing w:after="0" w:line="282" w:lineRule="auto"/>
        <w:tabs>
          <w:tab w:leader="none" w:pos="159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53" w:lineRule="exact"/>
        <w:rPr>
          <w:rFonts w:ascii="Times New Roman" w:cs="Times New Roman" w:eastAsia="Times New Roman" w:hAnsi="Times New Roman"/>
          <w:sz w:val="18"/>
          <w:szCs w:val="18"/>
          <w:color w:val="auto"/>
        </w:rPr>
      </w:pPr>
    </w:p>
    <w:p>
      <w:pPr>
        <w:ind w:left="4" w:right="540" w:firstLine="1371"/>
        <w:spacing w:after="0" w:line="276" w:lineRule="auto"/>
        <w:tabs>
          <w:tab w:leader="none" w:pos="1643" w:val="left"/>
        </w:tabs>
        <w:numPr>
          <w:ilvl w:val="2"/>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2.5(c)</w:t>
      </w:r>
      <w:r>
        <w:rPr>
          <w:rFonts w:ascii="Times New Roman" w:cs="Times New Roman" w:eastAsia="Times New Roman" w:hAnsi="Times New Roman"/>
          <w:sz w:val="17"/>
          <w:szCs w:val="17"/>
          <w:color w:val="auto"/>
        </w:rPr>
        <w:t xml:space="preserve">, each share of Company Capital Stock outstanding immediately prior to the Effective Time (excluding (a) shares to be canceled pursuant to </w:t>
      </w:r>
      <w:r>
        <w:rPr>
          <w:rFonts w:ascii="Times New Roman" w:cs="Times New Roman" w:eastAsia="Times New Roman" w:hAnsi="Times New Roman"/>
          <w:sz w:val="17"/>
          <w:szCs w:val="17"/>
          <w:u w:val="single" w:color="auto"/>
          <w:color w:val="auto"/>
        </w:rPr>
        <w:t>Section 2.5(a)(i)</w:t>
      </w:r>
      <w:r>
        <w:rPr>
          <w:rFonts w:ascii="Times New Roman" w:cs="Times New Roman" w:eastAsia="Times New Roman" w:hAnsi="Times New Roman"/>
          <w:sz w:val="17"/>
          <w:szCs w:val="17"/>
          <w:color w:val="auto"/>
        </w:rPr>
        <w:t>, and (b) Dissenting Shares, but, for the avoidance of doubt, including</w:t>
      </w:r>
    </w:p>
    <w:p>
      <w:pPr>
        <w:ind w:left="4" w:right="500" w:hanging="4"/>
        <w:spacing w:after="0" w:line="255" w:lineRule="auto"/>
        <w:tabs>
          <w:tab w:leader="none" w:pos="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 Investment Company Shares and (B) shares of Company Common Stock issued in respect of the Company Preferred Stock Conversion) shall be converted solely into the right to receive a number of shares of Aspen Common Stock equal to the product of (x) the Exchange Ratio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(y) such share of Company Capital Stock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36" w:right="40" w:firstLine="1428"/>
        <w:spacing w:after="0" w:line="258"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shares of Company Restricted Stock outstanding immediately prior to the Effective Time, then the shares of Aspen Common Stock issued in exchange for such shares of Company Restricted Stock will to the same extent be unvested and subject to the same repurchase option or risk of forfeiture, and such shares of Aspen Common Stock shall accordingly be marked with appropriate legends. The Company shall take all actions that may be necessary to ensure that, from and after the Effective Time, Aspen is entitled to exercise any such repurchase option or other right set forth in any such restricted stock purchase agreement or other agreement.</w:t>
      </w:r>
    </w:p>
    <w:p>
      <w:pPr>
        <w:spacing w:after="0" w:line="183" w:lineRule="exact"/>
        <w:rPr>
          <w:rFonts w:ascii="Times New Roman" w:cs="Times New Roman" w:eastAsia="Times New Roman" w:hAnsi="Times New Roman"/>
          <w:sz w:val="18"/>
          <w:szCs w:val="18"/>
          <w:color w:val="auto"/>
        </w:rPr>
      </w:pPr>
    </w:p>
    <w:p>
      <w:pPr>
        <w:ind w:left="-436" w:right="20" w:firstLine="1428"/>
        <w:spacing w:after="0" w:line="254"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Aspen Common Stock shall be issued in connection with the Merger, and no certificates or scrip for any such fractional shares shall be issued. Any holder of Company Capital Stock (including Concurrent Investors) who would otherwise be entitled to receive a fraction of a share of Aspen Common Stock (after aggregating all fractional shares of Aspen Common Stock issuable to such holder) shall receive from Aspen, in lieu of such fractional share and upon surrender by such holder of a letter of transmittal in accordance with Section 2.8 and any accompanying documents as required therein: (i) one share of Aspen Common Stock if the aggregate amount of fractional shares of Aspen Common Stock such holder of Company Capital Stock would otherwise be entitled to is equal to or exceeds 0.50; or (ii) no shares of Aspen Common Stock if the aggregate amount of fractional shares of Aspen Common Stock such holder of Company Capital Stock would otherwise be entitled to is less than 0.50, with no cash being paid for any fractional share eliminated by such rounding.</w:t>
      </w:r>
    </w:p>
    <w:p>
      <w:pPr>
        <w:spacing w:after="0" w:line="191" w:lineRule="exact"/>
        <w:rPr>
          <w:rFonts w:ascii="Times New Roman" w:cs="Times New Roman" w:eastAsia="Times New Roman" w:hAnsi="Times New Roman"/>
          <w:sz w:val="18"/>
          <w:szCs w:val="18"/>
          <w:color w:val="auto"/>
        </w:rPr>
      </w:pPr>
    </w:p>
    <w:p>
      <w:pPr>
        <w:ind w:left="4984" w:right="260" w:hanging="3992"/>
        <w:spacing w:after="0" w:line="454" w:lineRule="auto"/>
        <w:tabs>
          <w:tab w:leader="none" w:pos="12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Company Options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23</w:t>
      </w:r>
    </w:p>
    <w:p>
      <w:pPr>
        <w:sectPr>
          <w:pgSz w:w="11900" w:h="16838" w:orient="portrait"/>
          <w:cols w:equalWidth="0" w:num="1">
            <w:col w:w="10524"/>
          </w:cols>
          <w:pgMar w:left="876" w:top="270" w:right="499" w:bottom="1440" w:gutter="0" w:footer="0" w:header="0"/>
        </w:sectPr>
      </w:pPr>
    </w:p>
    <w:bookmarkStart w:id="36" w:name="page37"/>
    <w:bookmarkEnd w:id="36"/>
    <w:p>
      <w:pPr>
        <w:ind w:right="20" w:firstLine="1428"/>
        <w:spacing w:after="0" w:line="261" w:lineRule="auto"/>
        <w:tabs>
          <w:tab w:leader="none" w:pos="16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w:t>
      </w:r>
    </w:p>
    <w:p>
      <w:pPr>
        <w:spacing w:after="0" w:line="179" w:lineRule="exact"/>
        <w:rPr>
          <w:rFonts w:ascii="Times New Roman" w:cs="Times New Roman" w:eastAsia="Times New Roman" w:hAnsi="Times New Roman"/>
          <w:sz w:val="18"/>
          <w:szCs w:val="18"/>
          <w:color w:val="auto"/>
        </w:rPr>
      </w:pPr>
    </w:p>
    <w:p>
      <w:pPr>
        <w:ind w:right="60" w:firstLine="1428"/>
        <w:spacing w:after="0" w:line="254" w:lineRule="auto"/>
        <w:tabs>
          <w:tab w:leader="none" w:pos="1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Company Capital Stock or Aspen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Aspen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will be construed to permit the Company or Aspen to take any action with respect to Company Capital Stock or Aspen Common Stock, respectively, that is prohibited or not expressly permitted by the terms of this Agreement.</w:t>
      </w:r>
    </w:p>
    <w:p>
      <w:pPr>
        <w:spacing w:after="0" w:line="188"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SAFEs shall be converted, at the same price per share at which the Concurrent Investment Company Shares are sold pursuant to the Subscription Agreement (which shall be the Public Offering/Conversion Price as defined in the Company SAFEs), into Company Common Stock as of immediately following the Company Preferred Stock Conversion and immediately prior to the Subscription Agreement Concurrent Investment and at the Specified Time in accordance with, and otherwise pursuant to the terms and conditions of, the Company SAFEs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SAFEs Conversion</w:t>
      </w:r>
      <w:r>
        <w:rPr>
          <w:rFonts w:ascii="Times New Roman" w:cs="Times New Roman" w:eastAsia="Times New Roman" w:hAnsi="Times New Roman"/>
          <w:sz w:val="18"/>
          <w:szCs w:val="18"/>
          <w:color w:val="auto"/>
        </w:rPr>
        <w:t>”). All of the Company SAFEs so converted into shares of Company Common Stock shall no longer be outstanding and shall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exist, and each holder of Company SAFEs shall thereafter cease to have any rights with respect to Company SAFEs. Following the Company SAFEs Conversion, at the Effective Time and by virtue of the Merger, all shares of Company Common Stock issued in the Company SAFEs Conversion shall be canceled and converted into the right to receive Aspen Common Stock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360" w:firstLine="1428"/>
        <w:spacing w:after="0" w:line="254" w:lineRule="auto"/>
        <w:tabs>
          <w:tab w:leader="none" w:pos="1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Preferred Stock shall be converted into Company Common Stock as of immediately prior to Company SAFEs Conversion (which Company SAFEs Conversion shall occur immediately prior to the Subscription Agreement Concurrent Investment) and at the Specified Time in accordance with, and pursuant to the terms and conditions of, the Organizational Documents of the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 Conversion</w:t>
      </w:r>
      <w:r>
        <w:rPr>
          <w:rFonts w:ascii="Times New Roman" w:cs="Times New Roman" w:eastAsia="Times New Roman" w:hAnsi="Times New Roman"/>
          <w:sz w:val="18"/>
          <w:szCs w:val="18"/>
          <w:color w:val="auto"/>
        </w:rPr>
        <w:t>”). All of the Company Preferred Stock so converted into shares of Company Common Stock shall no longer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and shall cease to exist, and each holder of Company Preferred Stock shall thereafter cease to have any rights with respect to Company Preferred Stock. Following the Company Preferred Stock Conversion, at the Effective Time and by virtue of the Merger, all shares of Company Common Stock issued in the Company Preferred Stock Conversion shall be canceled and converted into the right to receive Aspen Common Stock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Contingent Value Right</w:t>
      </w:r>
    </w:p>
    <w:p>
      <w:pPr>
        <w:spacing w:after="0" w:line="221" w:lineRule="exact"/>
        <w:rPr>
          <w:sz w:val="20"/>
          <w:szCs w:val="20"/>
          <w:color w:val="auto"/>
        </w:rPr>
      </w:pPr>
    </w:p>
    <w:p>
      <w:pPr>
        <w:ind w:right="40" w:firstLine="1428"/>
        <w:spacing w:after="0" w:line="254" w:lineRule="auto"/>
        <w:tabs>
          <w:tab w:leader="none" w:pos="16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Aspen shall declare a distribution (the “</w:t>
      </w:r>
      <w:r>
        <w:rPr>
          <w:rFonts w:ascii="Times New Roman" w:cs="Times New Roman" w:eastAsia="Times New Roman" w:hAnsi="Times New Roman"/>
          <w:sz w:val="18"/>
          <w:szCs w:val="18"/>
          <w:b w:val="1"/>
          <w:bCs w:val="1"/>
          <w:color w:val="auto"/>
        </w:rPr>
        <w:t>Closing Distribution</w:t>
      </w:r>
      <w:r>
        <w:rPr>
          <w:rFonts w:ascii="Times New Roman" w:cs="Times New Roman" w:eastAsia="Times New Roman" w:hAnsi="Times New Roman"/>
          <w:sz w:val="18"/>
          <w:szCs w:val="18"/>
          <w:color w:val="auto"/>
        </w:rPr>
        <w:t xml:space="preserve">”) to holders of Aspen Common Stock of record as of immediately prior to the Effective Time (including, for the avoidance of doubt, those shares of Aspen Common Stock issued upon settlement of Aspen Restricted Stock Units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of the right to receive one contingent value right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xml:space="preserve">”) for each outstanding share of Aspen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with such reasonable revisions thereto requested by the Rights Agent that are not individually or in the aggregate materially detrimental to the holders of CVRs and are reasonably acceptable to Aspen and the Company. The record date for the Closing Distribution shall be the close of business on the Business Day immediately prior to the day on which the Effective Time occurs and the payment date for which shall be three (3) Business Days after the Effective Time; provided that the payment of such distribution may be conditioned upon the occurrence of the Effective Time.</w:t>
      </w:r>
    </w:p>
    <w:p>
      <w:pPr>
        <w:spacing w:after="0" w:line="189"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and the Exchange Agent shall, at or prior to the Effective Time, duly authorize, execute and deliver the CVR Agreement, subject to any reasonable revisions to the CVR Agreement that are requested by such Exchange Agent and are reasonably acceptable to the Company and Aspen.</w:t>
      </w:r>
    </w:p>
    <w:p>
      <w:pPr>
        <w:spacing w:after="0" w:line="1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Aspen shall pay all costs and fees associated with any action contemplated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CVR 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Closing of the Company’s Transfer Books</w:t>
      </w:r>
      <w:r>
        <w:rPr>
          <w:rFonts w:ascii="Times New Roman" w:cs="Times New Roman" w:eastAsia="Times New Roman" w:hAnsi="Times New Roman"/>
          <w:sz w:val="18"/>
          <w:szCs w:val="18"/>
          <w:color w:val="auto"/>
        </w:rPr>
        <w:t xml:space="preserve">. At the Effective Time: (a) all Company Capital Stock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all holders of certificates representing Company Capital Stock that were outstanding immediately prior to the Effective Time shall cease to have any rights as stockholders of the Company, other than the right to receive the Merger Consideration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(b) the stock transfer books of the Company shall be closed with respect to all Company Capital Stock outstanding immediately prior to the Effective Time. No further transfer of any such Company Capital Stock shall be made on such stock transfer books after the Effective Time.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Surrender of Company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28"/>
        <w:spacing w:after="0" w:line="266" w:lineRule="auto"/>
        <w:tabs>
          <w:tab w:leader="none" w:pos="167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Aspen and the Company shall jointly select a reputable bank, transfer agent or trust company to act as exchange agent in the Merger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At the Effective Time, Aspen shall deposit with the Exchange Agent evidence of book-entry shares representing the shares of Aspen Common Stock issuable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in exchange for Company Capital Stock.</w:t>
      </w:r>
    </w:p>
    <w:p>
      <w:pPr>
        <w:spacing w:after="0" w:line="175"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Effective Time, the Parties shall cause the Exchange Agent to transmit to the Persons who were record holders of shares of Company Capital Stock that were converted into the right to receive the Merger Consideration: (i) a letter of transmittal in customary form and containing such provisions as Aspen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or uncertificated shares of Company Capital Stock, in exchange for book-entry shares of Aspen Common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Aspen: (A) the holder of such Company Stock Certificate or uncertificated shares of Company Capital Stock shall be entitled to receive in exchange therefor book-entry shares representing the Merger Consideration (in a number of whole shares of Aspen Common Stock) that such holder has the right to receive pursuant to the provisions of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(B) the Company Stock Certificate or uncertificated shares of Company Capital Stock so surrendered shall be canceled. Until surrendered as contemplated by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each Company Stock Certificate or uncertificated shares of Company Capital Stock shall be deemed, from and after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Time, to represent only the right to receive book-entry shares of Aspen Common Stock representing the Merger Consideration. If any Company Stock Certificate shall have been lost, stolen or destroyed, Aspen may, in its discretion and as a condition precedent to the delivery of any shares of Aspen Common Stock, require the owner of such lost, stolen or destroyed Company Stock Certificate to provide an applicable affidavit with respect to such Company Stock Certificate and post a bond indemnifying Aspen against any claim suffered by Aspen related to the lost, stolen or destroyed Company Stock Certificate or any Aspen Common Stock issued in exchange therefor as Aspen may reasonably request.</w:t>
      </w:r>
    </w:p>
    <w:p>
      <w:pPr>
        <w:spacing w:after="0" w:line="183" w:lineRule="exact"/>
        <w:rPr>
          <w:sz w:val="20"/>
          <w:szCs w:val="20"/>
          <w:color w:val="auto"/>
        </w:rPr>
      </w:pPr>
    </w:p>
    <w:p>
      <w:pPr>
        <w:ind w:firstLine="1428"/>
        <w:spacing w:after="0" w:line="258" w:lineRule="auto"/>
        <w:tabs>
          <w:tab w:leader="none" w:pos="16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or other distributions declared or made with respect to Aspen Common Stock with a record date after the Effective Time shall be paid to the holder of any unsurrendered Company Stock Certificate with respect to the shares of Aspen Common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3"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Aspen Common Stock deposited with the Exchange Agent that remain undistributed to holders of Company Stock Certificates as of the date that is one hundred eighty (180) days after the Closing Date shall be delivered to Aspen upon demand, and any holders of Company Stock Certificates who have not theretofore surrendered their Company Stock Certificates or uncertificated shares of Company Capital Stock in accordance with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thereafter look only to Aspen for satisfaction of their claims for Aspen Common Stock and any dividends or distributions with respect to shares of Aspen Common Stock.</w:t>
      </w:r>
    </w:p>
    <w:p>
      <w:pPr>
        <w:spacing w:after="0" w:line="183" w:lineRule="exact"/>
        <w:rPr>
          <w:rFonts w:ascii="Times New Roman" w:cs="Times New Roman" w:eastAsia="Times New Roman" w:hAnsi="Times New Roman"/>
          <w:sz w:val="18"/>
          <w:szCs w:val="18"/>
          <w:color w:val="auto"/>
        </w:rPr>
      </w:pPr>
    </w:p>
    <w:p>
      <w:pPr>
        <w:ind w:right="40" w:firstLine="1428"/>
        <w:spacing w:after="0" w:line="266" w:lineRule="auto"/>
        <w:tabs>
          <w:tab w:leader="none" w:pos="16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liable to any holder of any Company Stock Certificate or uncertificated shares of Company Capital Stock or to any other Person with respect to any shares of Aspen Common Stock (or dividends or distributions with respect thereto) or for any cash amounts delivered to any public official pursuant to any applicable abandoned property Law, escheat Law or similar Law.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Calculation of Net Cash and Company Equity Value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1428"/>
        <w:spacing w:after="0" w:line="255" w:lineRule="auto"/>
        <w:tabs>
          <w:tab w:leader="none" w:pos="16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(5) Business Days before the Closing Date, Aspen will deliver to the Company a schedule (the “</w:t>
      </w:r>
      <w:r>
        <w:rPr>
          <w:rFonts w:ascii="Times New Roman" w:cs="Times New Roman" w:eastAsia="Times New Roman" w:hAnsi="Times New Roman"/>
          <w:sz w:val="18"/>
          <w:szCs w:val="18"/>
          <w:b w:val="1"/>
          <w:bCs w:val="1"/>
          <w:color w:val="auto"/>
        </w:rPr>
        <w:t>Aspen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Schedule</w:t>
      </w:r>
      <w:r>
        <w:rPr>
          <w:rFonts w:ascii="Times New Roman" w:cs="Times New Roman" w:eastAsia="Times New Roman" w:hAnsi="Times New Roman"/>
          <w:sz w:val="18"/>
          <w:szCs w:val="18"/>
          <w:color w:val="auto"/>
        </w:rPr>
        <w:t>”) setting forth, in reasonable detail, Aspen’s good faith, estimated calculation of Aspen Net Cash (the “</w:t>
      </w:r>
      <w:r>
        <w:rPr>
          <w:rFonts w:ascii="Times New Roman" w:cs="Times New Roman" w:eastAsia="Times New Roman" w:hAnsi="Times New Roman"/>
          <w:sz w:val="18"/>
          <w:szCs w:val="18"/>
          <w:b w:val="1"/>
          <w:bCs w:val="1"/>
          <w:color w:val="auto"/>
        </w:rPr>
        <w:t>Aspen Net Cash Calculation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11:59 p.m. on the last Business Day prior to the Anticipated Closing Date (the “</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xml:space="preserve">”) prepared and certified by Aspen’s chief financial officer (or if there is no chief financial officer at such time, the principal financial and accounting officer for Aspen). Aspen shall make available to the Company (electronically to the greatest extent possible), as reasonably requested by the Company, the work papers and back-up materials used in preparing the Aspen Net Cash Schedule and, if reasonably requested by the Company, Aspen’s accountants at reasonable times and upon reasonable notice. The Aspen Net Cash Calculation shall include Aspen’s determination, as of the Cash Determination Time, of the defined terms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necessary to calculate the Exchange Ratio.</w:t>
      </w:r>
    </w:p>
    <w:p>
      <w:pPr>
        <w:spacing w:after="0" w:line="184" w:lineRule="exact"/>
        <w:rPr>
          <w:rFonts w:ascii="Times New Roman" w:cs="Times New Roman" w:eastAsia="Times New Roman" w:hAnsi="Times New Roman"/>
          <w:sz w:val="18"/>
          <w:szCs w:val="18"/>
          <w:color w:val="auto"/>
        </w:rPr>
      </w:pPr>
    </w:p>
    <w:p>
      <w:pPr>
        <w:ind w:right="20" w:firstLine="1428"/>
        <w:spacing w:after="0" w:line="262" w:lineRule="auto"/>
        <w:tabs>
          <w:tab w:leader="none" w:pos="1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(3) Business Days after the Cash Determination Time (the last day of such period, the “</w:t>
      </w:r>
      <w:r>
        <w:rPr>
          <w:rFonts w:ascii="Times New Roman" w:cs="Times New Roman" w:eastAsia="Times New Roman" w:hAnsi="Times New Roman"/>
          <w:sz w:val="18"/>
          <w:szCs w:val="18"/>
          <w:b w:val="1"/>
          <w:bCs w:val="1"/>
          <w:color w:val="auto"/>
        </w:rPr>
        <w:t>Response Date</w:t>
      </w:r>
      <w:r>
        <w:rPr>
          <w:rFonts w:ascii="Times New Roman" w:cs="Times New Roman" w:eastAsia="Times New Roman" w:hAnsi="Times New Roman"/>
          <w:sz w:val="18"/>
          <w:szCs w:val="18"/>
          <w:color w:val="auto"/>
        </w:rPr>
        <w:t>”), the Company shall have the right to dispute any part of the Aspen Net Cash Calculation by delivering a written notice to that effect to Aspen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Dispute Notice shall identify in reasonable detail and to the extent known the nature and amounts of any proposed revisions to the Aspen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Calculation and will be accompanied by reasonably detailed materials supporting the basis for such revisions.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9" w:name="page40"/>
    <w:bookmarkEnd w:id="39"/>
    <w:p>
      <w:pPr>
        <w:ind w:left="4" w:right="440" w:firstLine="1428"/>
        <w:spacing w:after="0" w:line="261" w:lineRule="auto"/>
        <w:tabs>
          <w:tab w:leader="none" w:pos="1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on or prior to the Response Date, the Company notifies Aspen in writing that it has no objections to the Aspen Net Cash Calculation or, if on the Response Date, the Company fails to deliver a Dispute Notice as provided in </w:t>
      </w:r>
      <w:r>
        <w:rPr>
          <w:rFonts w:ascii="Times New Roman" w:cs="Times New Roman" w:eastAsia="Times New Roman" w:hAnsi="Times New Roman"/>
          <w:sz w:val="18"/>
          <w:szCs w:val="18"/>
          <w:u w:val="single" w:color="auto"/>
          <w:color w:val="auto"/>
        </w:rPr>
        <w:t>Section 2.9(b)</w:t>
      </w:r>
      <w:r>
        <w:rPr>
          <w:rFonts w:ascii="Times New Roman" w:cs="Times New Roman" w:eastAsia="Times New Roman" w:hAnsi="Times New Roman"/>
          <w:sz w:val="18"/>
          <w:szCs w:val="18"/>
          <w:color w:val="auto"/>
        </w:rPr>
        <w:t>, then the Aspen Net Cash Calculation as set forth in the Aspen Net Cash Schedule shall be deemed to have been finally determined for purposes of this Agreement and to represent the Aspen Net Cash at the Cash Determination Time for purposes of this Agreement.</w:t>
      </w:r>
    </w:p>
    <w:p>
      <w:pPr>
        <w:spacing w:after="0" w:line="179" w:lineRule="exact"/>
        <w:rPr>
          <w:rFonts w:ascii="Times New Roman" w:cs="Times New Roman" w:eastAsia="Times New Roman" w:hAnsi="Times New Roman"/>
          <w:sz w:val="18"/>
          <w:szCs w:val="18"/>
          <w:color w:val="auto"/>
        </w:rPr>
      </w:pPr>
    </w:p>
    <w:p>
      <w:pPr>
        <w:jc w:val="both"/>
        <w:ind w:left="4" w:right="260" w:firstLine="1428"/>
        <w:spacing w:after="0" w:line="261" w:lineRule="auto"/>
        <w:tabs>
          <w:tab w:leader="none" w:pos="16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delivers a Dispute Notice on or prior to the Response Date, then Representatives of Aspen and the Company shall promptly meet and attempt in good faith to resolve the disputed item(s) and negotiate an agreed-upon determination of Aspen Net Cash, which agreed upon the Aspen Net Cash amount shall be deemed to have been finally determined for purposes of this Agreement and to represent the Aspen Net Cash at the Cash Determination Time for purposes of this Agreement.</w:t>
      </w:r>
    </w:p>
    <w:p>
      <w:pPr>
        <w:spacing w:after="0" w:line="179" w:lineRule="exact"/>
        <w:rPr>
          <w:rFonts w:ascii="Times New Roman" w:cs="Times New Roman" w:eastAsia="Times New Roman" w:hAnsi="Times New Roman"/>
          <w:sz w:val="18"/>
          <w:szCs w:val="18"/>
          <w:color w:val="auto"/>
        </w:rPr>
      </w:pPr>
    </w:p>
    <w:p>
      <w:pPr>
        <w:ind w:left="4" w:right="40" w:firstLine="1428"/>
        <w:spacing w:after="0" w:line="270" w:lineRule="auto"/>
        <w:tabs>
          <w:tab w:leader="none" w:pos="16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Representatives of Aspen and the Company are unable to negotiate an agreed-upon determination of Aspen Net Cash as of the Cash Determination Time pursuant to </w:t>
      </w:r>
      <w:r>
        <w:rPr>
          <w:rFonts w:ascii="Times New Roman" w:cs="Times New Roman" w:eastAsia="Times New Roman" w:hAnsi="Times New Roman"/>
          <w:sz w:val="17"/>
          <w:szCs w:val="17"/>
          <w:u w:val="single" w:color="auto"/>
          <w:color w:val="auto"/>
        </w:rPr>
        <w:t>Section 2.9(d)</w:t>
      </w:r>
      <w:r>
        <w:rPr>
          <w:rFonts w:ascii="Times New Roman" w:cs="Times New Roman" w:eastAsia="Times New Roman" w:hAnsi="Times New Roman"/>
          <w:sz w:val="17"/>
          <w:szCs w:val="17"/>
          <w:color w:val="auto"/>
        </w:rPr>
        <w:t xml:space="preserve"> within three (3) days after delivery of the Dispute Notice (or such other period as Aspen and the Company may mutually agree upon), then any remaining disagreements as to the calculation of Aspen Net Cash shall be referred to an independent auditor of recognized national standing jointly selected by Aspen and the Company. If the parties are unable to select an independent auditor within five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then either Aspen or the Company may thereafter request that the Boston, Massachusetts Office of the American Arbitration Association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AAA</w:t>
      </w:r>
      <w:r>
        <w:rPr>
          <w:rFonts w:ascii="Times New Roman" w:cs="Times New Roman" w:eastAsia="Times New Roman" w:hAnsi="Times New Roman"/>
          <w:sz w:val="18"/>
          <w:szCs w:val="18"/>
          <w:color w:val="auto"/>
        </w:rPr>
        <w:t>”) make such selection (either the independent auditor jointly selected by both parties or such independent auditor selected by the AAA, the</w:t>
      </w:r>
    </w:p>
    <w:p>
      <w:pPr>
        <w:spacing w:after="0" w:line="9"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xml:space="preserve">”). Aspen and the Company shall promptly deliver to the Accounting Firm the work papers and back-up materials used in preparing the Aspen Net Cash Schedule and the Dispute Notice, and Aspen and the Company shall use commercially reasonable efforts to cause the Accounting Firm to make its determination within five (5) Business Days of accepting its selection. Aspen and the Company shall be afforded the opportunity to present to the Accounting Firm any material related to the unresolved disputes and to discuss the issues with the Accounting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presentation or discussion shall occur without the presence of a Representative of each of Aspen and the Company. The determination of the Accounting Firm shall be limited to the disagreements submitted to the Accounting Firm. The determination of the amount of Aspen Net Cash made by the Accounting Firm shall be made in writing delivered to each of Aspen and the Company, shall be final and binding on Aspen and the Company and shall (absent manifest error) be deemed to have been finally determined for purposes of this Agreement and to represent the Aspen Net Cash at the Cash Determination Time for purposes of this Agreement.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2.9(e)</w:t>
      </w:r>
      <w:r>
        <w:rPr>
          <w:rFonts w:ascii="Times New Roman" w:cs="Times New Roman" w:eastAsia="Times New Roman" w:hAnsi="Times New Roman"/>
          <w:sz w:val="18"/>
          <w:szCs w:val="18"/>
          <w:color w:val="auto"/>
        </w:rPr>
        <w:t xml:space="preserve">. The fees and expenses of the Accounting Firm shall be allocated between Aspen and the Company in the same proportion that the disputed amount of the Aspen Net Cash that was unsuccessfully disputed by such Party (as finally determined by the Accounting Firm) bears to the total disputed amount of the Aspen Net Cash amount. If this </w:t>
      </w:r>
      <w:r>
        <w:rPr>
          <w:rFonts w:ascii="Times New Roman" w:cs="Times New Roman" w:eastAsia="Times New Roman" w:hAnsi="Times New Roman"/>
          <w:sz w:val="18"/>
          <w:szCs w:val="18"/>
          <w:u w:val="single" w:color="auto"/>
          <w:color w:val="auto"/>
        </w:rPr>
        <w:t>Section 2.9(e)</w:t>
      </w:r>
      <w:r>
        <w:rPr>
          <w:rFonts w:ascii="Times New Roman" w:cs="Times New Roman" w:eastAsia="Times New Roman" w:hAnsi="Times New Roman"/>
          <w:sz w:val="18"/>
          <w:szCs w:val="18"/>
          <w:color w:val="auto"/>
        </w:rPr>
        <w:t xml:space="preserve"> applies as to the determination of the Aspen Net Cash at the Cash Determination Time, upon resolution of the matter in accordance with this </w:t>
      </w:r>
      <w:r>
        <w:rPr>
          <w:rFonts w:ascii="Times New Roman" w:cs="Times New Roman" w:eastAsia="Times New Roman" w:hAnsi="Times New Roman"/>
          <w:sz w:val="18"/>
          <w:szCs w:val="18"/>
          <w:u w:val="single" w:color="auto"/>
          <w:color w:val="auto"/>
        </w:rPr>
        <w:t>Section 2.9(e)</w:t>
      </w:r>
      <w:r>
        <w:rPr>
          <w:rFonts w:ascii="Times New Roman" w:cs="Times New Roman" w:eastAsia="Times New Roman" w:hAnsi="Times New Roman"/>
          <w:sz w:val="18"/>
          <w:szCs w:val="18"/>
          <w:color w:val="auto"/>
        </w:rPr>
        <w:t>, the Parties shall not be required to determine Aspen Net Cash again even though the Closing may occur later than the Anticipated Closing Date, except that either Aspen and the Company may request a redetermination of Aspen Net Cash if the Closing Date is more than thirty (30) days after the Anticipated Closing Date.</w:t>
      </w:r>
    </w:p>
    <w:p>
      <w:pPr>
        <w:spacing w:after="0" w:line="191"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40" w:name="page41"/>
    <w:bookmarkEnd w:id="40"/>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2.11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The Parties acknowledge and agree that, for U.S. federal (and applicable state and local) income Tax purposes, (i) the Merger is intended to qualify as a reorganization within the meaning of Section 368(a) of the Code and the Treasury Regulations thereunder to which Aspen and the Company are parties under Section 368(b) of the Code, and (ii) this Agreement constitutes, and the Parties hereby adopt this Agreement as, a “plan of reorganization” within the meaning of Treasury Regulations Sections 1.368-2(g) and 1.368-3 for purposes of Sections 354, 361 and 368 of the Code (collectively,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the Exchange Agent, Aspen and the Surviving Corporation, as applicable, shall be entitled to deduct and withhold from any consideration deliverable pursuant to this Agreement (including the Closing Distribution) to any Person such amounts as it is required to deduct or withhold from such consideration under applicable Law. To the extent such amounts are so deducted or withheld and remitted to the appropriate Governmental Authority in accordance with applicable Law, such amounts shall be treated for all purposes under this Agreement as having been paid to the Person to whom such amounts would otherwise have been paid.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xml:space="preserve">”) shall not be converted into or represent the right to receive the Merger Consideration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Aspen prompt written notice of any demands by dissenting stockholders received by the Company, withdrawals of such demands and any other instruments served on the Company and any material correspondence received by the Company in connection with such demands, and Aspen shall have the right to participate in all negotiations and proceedings with respect to such demands. The Company shall not, except with Aspen’s prior written consent, not to be unreasonably withheld, delayed or conditioned, make any payment with respect to, or settle or offer to settle, any such demands, or approve any withdrawal of any such demands or agree to do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except as set forth in the written disclosure schedule delivered by the Company to Aspen (the “</w:t>
      </w:r>
      <w:r>
        <w:rPr>
          <w:rFonts w:ascii="Times New Roman" w:cs="Times New Roman" w:eastAsia="Times New Roman" w:hAnsi="Times New Roman"/>
          <w:sz w:val="18"/>
          <w:szCs w:val="18"/>
          <w:b w:val="1"/>
          <w:bCs w:val="1"/>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the Company represents and warrants to Aspen and Merger Sub as follows: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41" w:name="page42"/>
    <w:bookmarkEnd w:id="4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8" w:lineRule="auto"/>
        <w:tabs>
          <w:tab w:leader="none" w:pos="16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All of the Company’s Subsidiaries are wholly owned by the Company.</w:t>
      </w:r>
    </w:p>
    <w:p>
      <w:pPr>
        <w:spacing w:after="0" w:line="183" w:lineRule="exact"/>
        <w:rPr>
          <w:rFonts w:ascii="Times New Roman" w:cs="Times New Roman" w:eastAsia="Times New Roman" w:hAnsi="Times New Roman"/>
          <w:sz w:val="18"/>
          <w:szCs w:val="18"/>
          <w:color w:val="auto"/>
        </w:rPr>
      </w:pPr>
    </w:p>
    <w:p>
      <w:pPr>
        <w:ind w:right="40" w:firstLine="1428"/>
        <w:spacing w:after="0" w:line="261" w:lineRule="auto"/>
        <w:tabs>
          <w:tab w:leader="none" w:pos="1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179" w:lineRule="exact"/>
        <w:rPr>
          <w:rFonts w:ascii="Times New Roman" w:cs="Times New Roman" w:eastAsia="Times New Roman" w:hAnsi="Times New Roman"/>
          <w:sz w:val="18"/>
          <w:szCs w:val="18"/>
          <w:color w:val="auto"/>
        </w:rPr>
      </w:pPr>
    </w:p>
    <w:p>
      <w:pPr>
        <w:ind w:right="60" w:firstLine="1428"/>
        <w:spacing w:after="0" w:line="256" w:lineRule="auto"/>
        <w:tabs>
          <w:tab w:leader="none" w:pos="16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and the Company does not own any capital stock or membership interests of, or any equity, ownership or profit sharing interest of any nature in, or controls directly or indirectly, any other Entity. The Company is not and has never otherwise been, directly or indirectly, a party to, member of or participant in any partnership, joint venture or similar business entity. The Company has not agreed or is obligated to make, or is bound by any Contract under which it may become obligated to make, any future investment in or capital contribution to any other Entity. The Company has not, at any time, been a general partner of, or has otherwise been liable for any of the debts or other obligations of, any general partnership, limited partnership or other Entity.</w:t>
      </w:r>
    </w:p>
    <w:p>
      <w:pPr>
        <w:spacing w:after="0" w:line="18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delivered to Aspen accurate and complete copies of the Organizational Documents of the Company. The Company is not in breach or violation of its Organizational Documents in any material respect.</w:t>
      </w:r>
    </w:p>
    <w:p>
      <w:pPr>
        <w:spacing w:after="0" w:line="158"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obtaining the Required Company Stockholder Vote, the Company has all necessary corporate power and authority to enter into and to perform its obligations under this Agreement and to consummate the Contemplated Transactions that are contemplated to be consummated by it.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Aspen and Merger Sub, constitutes the legal, valid and binding obligation of the Company, enforceable against the Company in accordance with its terms, subject to the Enforceability Exceptions.</w:t>
      </w:r>
    </w:p>
    <w:p>
      <w:pPr>
        <w:spacing w:after="0" w:line="18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written consent or affirmative vote of (i) a majority of shares of Company Common Stock and Voting Preferred Stock (as defined in the Company’s Amended and Restated Certificate of Incorporation), voting together as a single class and on an as-converted to Company Common Stock basis, (ii) holders of a majority of the shares of the Company’s Series A-1 Preferred Stock, Series A-3 Preferred Stock and Series A-4 Preferred Stock voting together with the holders of Company Common Stock as a single class and on an as-converted to Company Common Stock basis, (iii) holders of a majority of the shares of the Company’s Series A-1 Preferred Stock, Series A-3 Preferred Stock and Series A-4 Preferred Stock voting together as a single class and on an as-converted to Company Common Stock basis, are the only votes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8"/>
          <w:szCs w:val="18"/>
          <w:b w:val="1"/>
          <w:b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Stockholder Vote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0" w:right="20" w:firstLine="1428"/>
        <w:spacing w:after="0" w:line="266" w:lineRule="auto"/>
        <w:tabs>
          <w:tab w:leader="none" w:pos="1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420" w:right="20" w:firstLine="1371"/>
        <w:spacing w:after="0" w:line="282" w:lineRule="auto"/>
        <w:tabs>
          <w:tab w:leader="none" w:pos="20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Company’s Organizational Documents or the Company Convertible Notes;</w:t>
      </w:r>
    </w:p>
    <w:p>
      <w:pPr>
        <w:spacing w:after="0" w:line="53" w:lineRule="exact"/>
        <w:rPr>
          <w:rFonts w:ascii="Times New Roman" w:cs="Times New Roman" w:eastAsia="Times New Roman" w:hAnsi="Times New Roman"/>
          <w:sz w:val="18"/>
          <w:szCs w:val="18"/>
          <w:color w:val="auto"/>
        </w:rPr>
      </w:pPr>
    </w:p>
    <w:p>
      <w:pPr>
        <w:ind w:left="420" w:firstLine="1371"/>
        <w:spacing w:after="0" w:line="266" w:lineRule="auto"/>
        <w:tabs>
          <w:tab w:leader="none" w:pos="20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any of the assets owned or used by the Company, is subject;</w:t>
      </w:r>
    </w:p>
    <w:p>
      <w:pPr>
        <w:spacing w:after="0" w:line="67" w:lineRule="exact"/>
        <w:rPr>
          <w:rFonts w:ascii="Times New Roman" w:cs="Times New Roman" w:eastAsia="Times New Roman" w:hAnsi="Times New Roman"/>
          <w:sz w:val="18"/>
          <w:szCs w:val="18"/>
          <w:color w:val="auto"/>
        </w:rPr>
      </w:pPr>
    </w:p>
    <w:p>
      <w:pPr>
        <w:ind w:left="420" w:right="40" w:firstLine="1371"/>
        <w:spacing w:after="0" w:line="312" w:lineRule="auto"/>
        <w:tabs>
          <w:tab w:leader="none" w:pos="211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w:t>
      </w:r>
    </w:p>
    <w:p>
      <w:pPr>
        <w:spacing w:after="0" w:line="31" w:lineRule="exact"/>
        <w:rPr>
          <w:rFonts w:ascii="Times New Roman" w:cs="Times New Roman" w:eastAsia="Times New Roman" w:hAnsi="Times New Roman"/>
          <w:sz w:val="17"/>
          <w:szCs w:val="17"/>
          <w:color w:val="auto"/>
        </w:rPr>
      </w:pPr>
    </w:p>
    <w:p>
      <w:pPr>
        <w:ind w:left="420" w:right="20" w:firstLine="1371"/>
        <w:spacing w:after="0" w:line="258" w:lineRule="auto"/>
        <w:tabs>
          <w:tab w:leader="none" w:pos="20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default (or an event that with notice or lapse of time or both would result in a default), give right to a right of termination, cancellation or acceleration of any obligation or loss of a material benefit of the Company or any of its Subsidiaries, or result in the creation of any Encumbrance (other than Permitted Encumbrances) upon any of the properties or assets of the Company or any of its Subsidiaries, in each case under any Company Material Contract and in each case except as would not be reasonably expected to have, individually or in the aggregate, a Company Material Adverse Effect.</w:t>
      </w:r>
    </w:p>
    <w:p>
      <w:pPr>
        <w:spacing w:after="0" w:line="183" w:lineRule="exact"/>
        <w:rPr>
          <w:rFonts w:ascii="Times New Roman" w:cs="Times New Roman" w:eastAsia="Times New Roman" w:hAnsi="Times New Roman"/>
          <w:sz w:val="18"/>
          <w:szCs w:val="18"/>
          <w:color w:val="auto"/>
        </w:rPr>
      </w:pPr>
    </w:p>
    <w:p>
      <w:pPr>
        <w:ind w:left="-20" w:right="20" w:firstLine="1428"/>
        <w:spacing w:after="0" w:line="255" w:lineRule="auto"/>
        <w:tabs>
          <w:tab w:leader="none" w:pos="16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Required Company Stockholder Vote, (ii) the filing of the Certificate of Merger with the Secretary of State of Delaware pursuant to the DGCL, and (iii)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(in each case except under Company Contracts that are not Company Material Contracts, and in the case of such filings, notices or Consents under Company Material Contracts, except as the failure to make such filing, give such notice or obtain such Consent would not reasonably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ind w:left="-20" w:right="160" w:firstLine="1428"/>
        <w:spacing w:after="0" w:line="261" w:lineRule="auto"/>
        <w:tabs>
          <w:tab w:leader="none" w:pos="1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60" w:top="266" w:right="479" w:bottom="1440" w:gutter="0" w:footer="0" w:header="0"/>
        </w:sectPr>
      </w:pPr>
    </w:p>
    <w:bookmarkStart w:id="43" w:name="page44"/>
    <w:bookmarkEnd w:id="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authorized capital of the Company consists of:</w:t>
      </w:r>
    </w:p>
    <w:p>
      <w:pPr>
        <w:spacing w:after="0" w:line="117" w:lineRule="exact"/>
        <w:rPr>
          <w:rFonts w:ascii="Times New Roman" w:cs="Times New Roman" w:eastAsia="Times New Roman" w:hAnsi="Times New Roman"/>
          <w:sz w:val="18"/>
          <w:szCs w:val="18"/>
          <w:color w:val="auto"/>
        </w:rPr>
      </w:pPr>
    </w:p>
    <w:p>
      <w:pPr>
        <w:ind w:left="440" w:right="80" w:firstLine="1371"/>
        <w:spacing w:after="0" w:line="282" w:lineRule="auto"/>
        <w:tabs>
          <w:tab w:leader="none" w:pos="20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11,947,558 shares of Company Common Stock, 2,634,714 shares of which are issued and outstanding as of the date hereof, 43,174 shares of which are Company Restricted Stock.</w:t>
      </w:r>
    </w:p>
    <w:p>
      <w:pPr>
        <w:spacing w:after="0" w:line="53" w:lineRule="exact"/>
        <w:rPr>
          <w:rFonts w:ascii="Times New Roman" w:cs="Times New Roman" w:eastAsia="Times New Roman" w:hAnsi="Times New Roman"/>
          <w:sz w:val="18"/>
          <w:szCs w:val="18"/>
          <w:color w:val="auto"/>
        </w:rPr>
      </w:pPr>
    </w:p>
    <w:p>
      <w:pPr>
        <w:ind w:left="440" w:right="80" w:firstLine="1371"/>
        <w:spacing w:after="0" w:line="258" w:lineRule="auto"/>
        <w:tabs>
          <w:tab w:leader="none" w:pos="2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6,825,483 shares of Company Preferred Stock, of which (A) 4,118,120 shares have been designated Series A-1 Preferred Stock, all of which are issued and outstanding as of the date hereof, (B) 1,649,188 shares have been designated Series A-2 Preferred Stock, all of which are issued and outstanding as of the date hereof, (C) 696,516 shares have been designated Series A-3 Preferred Stock, all of which are issued and outstanding as of the date hereof, and (D) 361,659 shares have been designated Series A-4 Preferred Stock, all of which are issued and outstanding as of the date hereof.</w:t>
      </w:r>
    </w:p>
    <w:p>
      <w:pPr>
        <w:spacing w:after="0" w:line="75" w:lineRule="exact"/>
        <w:rPr>
          <w:rFonts w:ascii="Times New Roman" w:cs="Times New Roman" w:eastAsia="Times New Roman" w:hAnsi="Times New Roman"/>
          <w:sz w:val="18"/>
          <w:szCs w:val="18"/>
          <w:color w:val="auto"/>
        </w:rPr>
      </w:pPr>
    </w:p>
    <w:p>
      <w:pPr>
        <w:ind w:left="440" w:firstLine="1371"/>
        <w:spacing w:after="0" w:line="258" w:lineRule="auto"/>
        <w:tabs>
          <w:tab w:leader="none" w:pos="21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1,991,264 shares of Company Common Stock which the Company has reserved for issuance to officers, directors, employees and consultants of the Company pursuant to the Company’s 2019 Equity Incentive Plan. Of such reserved shares of Common Stock, no shares have been issued pursuant to restricted stock purchase agreements, 1,830,965 options to purchase shares have been granted and are currently outstanding as of the date hereof, and 47,169 shares of Common Stock remain available for issuance to officers, directors, employees and consultants pursuant to the Stock Plan as of the date hereof.</w:t>
      </w:r>
    </w:p>
    <w:p>
      <w:pPr>
        <w:spacing w:after="0" w:line="183"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outstanding Company Capital Stock as set out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Each share of Company Preferred Stock and each Company SAFE will convert into shares of Company Common Stock in the Company Preferred Stock Conversion and Company SAFEs Conversion (as applicable) on a one-for-one basis.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of the Company Disclosure Schedule accurately and completely lists all repurchase rights held by the Company with respect to Company Capital Stock (including shares issued pursuant to the exercise of options) and specifies which of those repurchase rights are currently exercisable. As of the date hereof, no Company Convertible Notes other than the Company SAFEs, no Company Warrants and no Company Restricted Stock Units are issued or outstanding.</w:t>
      </w:r>
    </w:p>
    <w:p>
      <w:pPr>
        <w:spacing w:after="0" w:line="187"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of the Company Disclosure Schedule, the Company does not have any option plan or any other plan, program, agreement or arrangement providing for an equity-based compensation for any Person.</w:t>
      </w:r>
    </w:p>
    <w:p>
      <w:pPr>
        <w:spacing w:after="0" w:line="161"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3.6(d)</w:t>
      </w:r>
      <w:r>
        <w:rPr>
          <w:rFonts w:ascii="Times New Roman" w:cs="Times New Roman" w:eastAsia="Times New Roman" w:hAnsi="Times New Roman"/>
          <w:sz w:val="18"/>
          <w:szCs w:val="18"/>
          <w:color w:val="auto"/>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4" w:name="page45"/>
    <w:bookmarkEnd w:id="44"/>
    <w:p>
      <w:pPr>
        <w:ind w:left="4" w:right="820" w:firstLine="1428"/>
        <w:spacing w:after="0" w:line="312" w:lineRule="auto"/>
        <w:tabs>
          <w:tab w:leader="none" w:pos="168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outstanding Company Capital Stock and other securities of the Company have been issued and granted in material compliance with (i) all applicable securities laws and other applicable Law and (ii) all requirements set forth in applicable Contracts.</w:t>
      </w:r>
    </w:p>
    <w:p>
      <w:pPr>
        <w:spacing w:after="0" w:line="139" w:lineRule="exact"/>
        <w:rPr>
          <w:rFonts w:ascii="Times New Roman" w:cs="Times New Roman" w:eastAsia="Times New Roman" w:hAnsi="Times New Roman"/>
          <w:sz w:val="17"/>
          <w:szCs w:val="17"/>
          <w:color w:val="auto"/>
        </w:rPr>
      </w:pPr>
    </w:p>
    <w:p>
      <w:pPr>
        <w:ind w:left="1664" w:hanging="232"/>
        <w:spacing w:after="0"/>
        <w:tabs>
          <w:tab w:leader="none" w:pos="16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Capital Stock are uncertificated.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28"/>
        <w:spacing w:after="0" w:line="257" w:lineRule="auto"/>
        <w:tabs>
          <w:tab w:leader="none" w:pos="1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3.7(a) of the Company Disclosure Schedule includes true and complete copies of the Company’s (i) consolidated audited balance sheets and related audited statements of operations, changes in statements of convertible preferred stock and stockholders’ deficit and cash flows, and notes thereto for the twelve (12) months ended December 31, 2022 (the “</w:t>
      </w:r>
      <w:r>
        <w:rPr>
          <w:rFonts w:ascii="Times New Roman" w:cs="Times New Roman" w:eastAsia="Times New Roman" w:hAnsi="Times New Roman"/>
          <w:sz w:val="18"/>
          <w:szCs w:val="18"/>
          <w:b w:val="1"/>
          <w:bCs w:val="1"/>
          <w:color w:val="auto"/>
        </w:rPr>
        <w:t>Company Financials</w:t>
      </w:r>
      <w:r>
        <w:rPr>
          <w:rFonts w:ascii="Times New Roman" w:cs="Times New Roman" w:eastAsia="Times New Roman" w:hAnsi="Times New Roman"/>
          <w:sz w:val="18"/>
          <w:szCs w:val="18"/>
          <w:color w:val="auto"/>
        </w:rPr>
        <w:t>”) and December 31, 2021 and</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unaudited balance sheets and related unaudited statements of operations, changes in statements of convertible preferred stock and stockholders’ deficit and cash flows, and notes thereto for the nine (9) months ended, September 30, 2022, September 30, 2023 (collectively, the “</w:t>
      </w:r>
      <w:r>
        <w:rPr>
          <w:rFonts w:ascii="Times New Roman" w:cs="Times New Roman" w:eastAsia="Times New Roman" w:hAnsi="Times New Roman"/>
          <w:sz w:val="18"/>
          <w:szCs w:val="18"/>
          <w:b w:val="1"/>
          <w:bCs w:val="1"/>
          <w:color w:val="auto"/>
        </w:rPr>
        <w:t>Interim Company Financials</w:t>
      </w:r>
      <w:r>
        <w:rPr>
          <w:rFonts w:ascii="Times New Roman" w:cs="Times New Roman" w:eastAsia="Times New Roman" w:hAnsi="Times New Roman"/>
          <w:sz w:val="18"/>
          <w:szCs w:val="18"/>
          <w:color w:val="auto"/>
        </w:rPr>
        <w:t>”). The Company Financials (A) were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that the Company 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w:t>
      </w:r>
    </w:p>
    <w:p>
      <w:pPr>
        <w:spacing w:after="0" w:line="188" w:lineRule="exact"/>
        <w:rPr>
          <w:rFonts w:ascii="Times New Roman" w:cs="Times New Roman" w:eastAsia="Times New Roman" w:hAnsi="Times New Roman"/>
          <w:sz w:val="18"/>
          <w:szCs w:val="18"/>
          <w:color w:val="auto"/>
        </w:rPr>
      </w:pPr>
    </w:p>
    <w:p>
      <w:pPr>
        <w:ind w:left="4" w:firstLine="1428"/>
        <w:spacing w:after="0" w:line="255" w:lineRule="auto"/>
        <w:tabs>
          <w:tab w:leader="none" w:pos="16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consistent with the practices of similarly situated private companies, internal controls over financial reporting that provides reasonable assurance regarding the reliability of financial reporting and the preparation of financial statements for external purposes.</w:t>
      </w:r>
    </w:p>
    <w:p>
      <w:pPr>
        <w:spacing w:after="0" w:line="188"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68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xml:space="preserve"> of the Company Disclosure Schedule lists, and the Company has delivered to Aspen accurate and complete copies of the documentation creating or governing, all securitization transactions and off-balance sheet arrangements” (as defined in Item 2.03 of Form 8-K under the Exchange Act) effected by the Company.</w:t>
      </w:r>
    </w:p>
    <w:p>
      <w:pPr>
        <w:spacing w:after="0" w:line="175"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5" w:name="page46"/>
    <w:bookmarkEnd w:id="45"/>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3.8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3.8</w:t>
      </w:r>
      <w:r>
        <w:rPr>
          <w:rFonts w:ascii="Times New Roman" w:cs="Times New Roman" w:eastAsia="Times New Roman" w:hAnsi="Times New Roman"/>
          <w:sz w:val="17"/>
          <w:szCs w:val="17"/>
          <w:color w:val="auto"/>
        </w:rPr>
        <w:t xml:space="preserve"> of the Company Disclosure Schedule, between December 31, 2022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w:t>
      </w:r>
    </w:p>
    <w:p>
      <w:pPr>
        <w:spacing w:after="0" w:line="2" w:lineRule="exact"/>
        <w:rPr>
          <w:sz w:val="20"/>
          <w:szCs w:val="20"/>
          <w:color w:val="auto"/>
        </w:rPr>
      </w:pPr>
    </w:p>
    <w:p>
      <w:pPr>
        <w:ind w:left="4" w:right="580" w:hanging="4"/>
        <w:spacing w:after="0" w:line="260"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 event or occurrence that would have required consent of Aspen pursuant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1" w:lineRule="exact"/>
        <w:rPr>
          <w:sz w:val="20"/>
          <w:szCs w:val="20"/>
          <w:color w:val="auto"/>
        </w:rPr>
      </w:pPr>
    </w:p>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Undisclosed Liabilities</w:t>
      </w:r>
      <w:r>
        <w:rPr>
          <w:rFonts w:ascii="Times New Roman" w:cs="Times New Roman" w:eastAsia="Times New Roman" w:hAnsi="Times New Roman"/>
          <w:sz w:val="17"/>
          <w:szCs w:val="17"/>
          <w:color w:val="auto"/>
        </w:rPr>
        <w:t>. Since December 31, 2022, the Company and its Subsidiaries do not have any liability, indebtedness, obligation, expense, claim, deficiency, guaranty or endorsement of any kind, whether accrued, absolute, contingent, matured, unmatured or otherwise (each a “Liability”), in each case, of a type required to be reflected or reserved for on a balance sheet prepared in accordance with GAAP, except for (i) Liabilities or obligations specifically disclosed, reflected or reserved against in the Company Financials; (ii) Liabilities incurred in the Ordinary Course of Business since the date of the Company Financials; (iii) Liabilities to perform under Contracts entered into by the Company or its Subsidiaries (none of which is a Liability for breach of contract, breach of warranty, tort, infringement, violation of Law, or that relates to any lawsuit);</w:t>
      </w:r>
    </w:p>
    <w:p>
      <w:pPr>
        <w:spacing w:after="0" w:line="5" w:lineRule="exact"/>
        <w:rPr>
          <w:sz w:val="20"/>
          <w:szCs w:val="20"/>
          <w:color w:val="auto"/>
        </w:rPr>
      </w:pPr>
    </w:p>
    <w:p>
      <w:pPr>
        <w:ind w:left="4" w:right="860" w:hanging="4"/>
        <w:spacing w:after="0" w:line="260" w:lineRule="auto"/>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Contemplated Transactions; and (v) Liabilities that would not be reasonably expected to have, individually or in the aggregate, a Company Material Adverse Effect.</w:t>
      </w:r>
    </w:p>
    <w:p>
      <w:pPr>
        <w:spacing w:after="0" w:line="181"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Company Financials and (b) all other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18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Leasehold. The Company does not own and has never owned any real property. The Company has made available to Aspen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8"/>
          <w:szCs w:val="18"/>
          <w:b w:val="1"/>
          <w:bCs w:val="1"/>
          <w:color w:val="auto"/>
        </w:rPr>
        <w:t>Company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contains a true and complete list of all issued Patents, Marks and Copyrights included in the Company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cs="Times New Roman" w:eastAsia="Times New Roman" w:hAnsi="Times New Roman"/>
          <w:sz w:val="18"/>
          <w:szCs w:val="18"/>
          <w:b w:val="1"/>
          <w:bCs w:val="1"/>
          <w:color w:val="auto"/>
        </w:rPr>
        <w:t>“Company Registered IP</w:t>
      </w:r>
      <w:r>
        <w:rPr>
          <w:rFonts w:ascii="Times New Roman" w:cs="Times New Roman" w:eastAsia="Times New Roman" w:hAnsi="Times New Roman"/>
          <w:sz w:val="18"/>
          <w:szCs w:val="18"/>
          <w:color w:val="auto"/>
        </w:rPr>
        <w:t>”), including, with respect to each such item, (i) the jurisdiction of application/registration, (ii) the application or registration number, (iii) the date of filing, or issuance or registration, and (iv) the record owner or owners, for each such item. Each material item of Company Registered IP, except for Patents, is subsisting, valid and enforceable. With respect to Patents, each material item of Company Registered IP is subsisting and, to the Knowledge of the Company, all issued Patents within the Company Registered IP are valid and enforceable. All filing, registration, maintenance, renewal and similar fees applicable to any Company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 Company Material Adverse Effect.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46" w:name="page47"/>
    <w:bookmarkEnd w:id="46"/>
    <w:p>
      <w:pPr>
        <w:ind w:right="320" w:firstLine="1428"/>
        <w:spacing w:after="0" w:line="261" w:lineRule="auto"/>
        <w:tabs>
          <w:tab w:leader="none" w:pos="16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interference, opposition, reissue, reexamination, or cancellation proceeding or other Legal Proceeding (other than routine ordinary course proceedings as part of patent prosecution) is pending or, to the Knowledge of the Company, threatened regarding any Company Intellectual Property, including with respect to the scope, validity, enforceability, registration, priority, inventorship or ownership of, or rights to, any Company Intellectual Property.</w:t>
      </w:r>
    </w:p>
    <w:p>
      <w:pPr>
        <w:spacing w:after="0" w:line="179"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founders, key employees and any other employees, contractors, consultants or other personnel involved in the development of Company Owned Intellectual Property have signed confidentiality and invention assignment agreements or similar agreements for the transfer or assignment of such Company Owned Intellectual Property pursuant to which both (i) the Company has obtained ownership of and are the exclusive owners of all right, title and interest in and to such Company Owned Intellectual Property, and (ii) such personnel are bound by commercially reasonable confidentiality obligations with respect to all Company Intellectual Property. To the Knowledge of the Company, no such personnel are in violation of any such agreements, or of any agreements with any prior employer or other Person with respect to development of any Company Owned Intellectual Property, except as would not reasonably be expected to have, individually or in the aggregate, a Company Material Adverse Effect.</w:t>
      </w:r>
    </w:p>
    <w:p>
      <w:pPr>
        <w:spacing w:after="0" w:line="188" w:lineRule="exact"/>
        <w:rPr>
          <w:rFonts w:ascii="Times New Roman" w:cs="Times New Roman" w:eastAsia="Times New Roman" w:hAnsi="Times New Roman"/>
          <w:sz w:val="18"/>
          <w:szCs w:val="18"/>
          <w:color w:val="auto"/>
        </w:rPr>
      </w:pPr>
    </w:p>
    <w:p>
      <w:pPr>
        <w:ind w:right="40" w:firstLine="1428"/>
        <w:spacing w:after="0" w:line="253" w:lineRule="auto"/>
        <w:tabs>
          <w:tab w:leader="none" w:pos="16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Intellectual Property is solely and exclusively owned by the Company free and clear of any Encumbrance, other than Permitted Encumbrances. To the Knowledge of the Company, except as would not reasonably be expected to have, individually or in the aggregate, a Company Material Adverse Effect, (i) the Company Exclusively Licensed Intellectual Property is solely and exclusively in-licensed by the Company, and (ii) the other Company Licensed Intellectual Property is in-licensed by the Company, in each case of the foregoing clauses (i) and (ii), free and clear of any Encumbrance, other than Permitted Encumbrances. Except as would not reasonably be expected to have, individually or in the aggregate, a Company Material Adverse Effect, such ownership or licenses will not be affected by the execution, delivery, or performance of this Agreement or the consummation of the Transactions, and all Intellectual Property subject thereto will be owned or in-licensed by the Company on the same terms and conditions thereafter. To the Knowledge of the Company, the Company owns or has a valid and enforceable license to use all material Intellectual Property necessary for, or used or held for use in, the operation of the business of the Company as presently conducted; provided that the foregoing is not, and shall not be construed as, a representation or warranty regarding non-infringement, misappropriation or other violation by the Company of the Intellectual Property of other Persons. To the Knowledge of the Company, no current or former director, officer, employee or contractor of, or consultant to, the Company owns or has any claim, right (whether or not currently exercisable) or interest (or, to the Knowledge of the Company, has alleged that they own or have any such claim, right or interest) to or in any Company Intellectual Property.</w:t>
      </w:r>
    </w:p>
    <w:p>
      <w:pPr>
        <w:spacing w:after="0" w:line="187" w:lineRule="exact"/>
        <w:rPr>
          <w:rFonts w:ascii="Times New Roman" w:cs="Times New Roman" w:eastAsia="Times New Roman" w:hAnsi="Times New Roman"/>
          <w:sz w:val="18"/>
          <w:szCs w:val="18"/>
          <w:color w:val="auto"/>
        </w:rPr>
      </w:pPr>
    </w:p>
    <w:p>
      <w:pPr>
        <w:ind w:right="20" w:firstLine="1428"/>
        <w:spacing w:after="0" w:line="254" w:lineRule="auto"/>
        <w:tabs>
          <w:tab w:leader="none" w:pos="1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operation of the business of the Company does not infringe, misappropriate or otherwise violate, and has not infringed, misappropriated or otherwise violated, and the further research, development and commercialization of Company Products as currently planned by the Company will not infringe, misappropriate or otherwise violate, any Intellectual Property owned by any other Person, except as would not reasonably be expected to have, individually or in the aggregate, a Company Material Adverse Effect. As of the date hereof, neither the Company, nor, to the Knowledge of Company, any of the licensors of the Company, has received any notice or claim alleging any such infringement, misappropriation or other violation, including any so-called “invitation to license” letter. As of the date hereof, no Legal Proceeding, is pending or, to the Knowledge of the Company, has been threatened, against the Company or such licensors relating to any infringement, misappropriation or other violation of any Intellectual Property of any other Person.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ind w:left="4" w:right="80" w:firstLine="1428"/>
        <w:spacing w:after="0" w:line="261" w:lineRule="auto"/>
        <w:tabs>
          <w:tab w:leader="none" w:pos="166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Company Owned Intellectual Property is subject to any Order as of the date hereof, neither the Company nor, to the Knowledge of the Company, any of its licensors has entered into or is a party to any agreement made in settlement of any pending litigation or other Legal Proceeding, which in any case restricts, impairs or relates to the Company’s use or other exploitation in any manner of any Company Intellectual Property or of any other Intellectual Property owned by any other Person.</w:t>
      </w:r>
    </w:p>
    <w:p>
      <w:pPr>
        <w:spacing w:after="0" w:line="179" w:lineRule="exact"/>
        <w:rPr>
          <w:rFonts w:ascii="Times New Roman" w:cs="Times New Roman" w:eastAsia="Times New Roman" w:hAnsi="Times New Roman"/>
          <w:sz w:val="18"/>
          <w:szCs w:val="18"/>
          <w:color w:val="auto"/>
        </w:rPr>
      </w:pPr>
    </w:p>
    <w:p>
      <w:pPr>
        <w:ind w:left="4" w:right="420" w:firstLine="1428"/>
        <w:spacing w:after="0" w:line="261" w:lineRule="auto"/>
        <w:tabs>
          <w:tab w:leader="none" w:pos="16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Person is infringing, misappropriating or otherwise violating, or has infringed, misappropriated or otherwise violated, any Company Intellectual Property, and no Legal Proceeding has been asserted or is pending or has been threatened against any Person alleging any such infringement, misappropriation or other violation of any Company Intellectual Property, except as would not reasonably be expected to have, individually or in the aggregate, a Company Material Adverse Effect.</w:t>
      </w:r>
    </w:p>
    <w:p>
      <w:pPr>
        <w:spacing w:after="0" w:line="179" w:lineRule="exact"/>
        <w:rPr>
          <w:rFonts w:ascii="Times New Roman" w:cs="Times New Roman" w:eastAsia="Times New Roman" w:hAnsi="Times New Roman"/>
          <w:sz w:val="18"/>
          <w:szCs w:val="18"/>
          <w:color w:val="auto"/>
        </w:rPr>
      </w:pPr>
    </w:p>
    <w:p>
      <w:pPr>
        <w:ind w:left="4" w:right="580" w:firstLine="1428"/>
        <w:spacing w:after="0" w:line="281" w:lineRule="auto"/>
        <w:tabs>
          <w:tab w:leader="none" w:pos="168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taken commercially reasonable steps necessary to maintain and protect the secrecy and confidentiality (including limitations on use) of all Trade Secrets and other confidential information included in the Company Intellectual Property and, to the Knowledge of the Company, there has not been any unauthorized use, disclosure of or access to any such Trade Secrets or other confidential information, except as would not reasonably be expected to have, individually or in the aggregate, a Company Material Adverse Effect.</w:t>
      </w:r>
    </w:p>
    <w:p>
      <w:pPr>
        <w:spacing w:after="0" w:line="164" w:lineRule="exact"/>
        <w:rPr>
          <w:rFonts w:ascii="Times New Roman" w:cs="Times New Roman" w:eastAsia="Times New Roman" w:hAnsi="Times New Roman"/>
          <w:sz w:val="17"/>
          <w:szCs w:val="17"/>
          <w:color w:val="auto"/>
        </w:rPr>
      </w:pPr>
    </w:p>
    <w:p>
      <w:pPr>
        <w:ind w:left="4" w:right="40" w:firstLine="1428"/>
        <w:spacing w:after="0" w:line="270" w:lineRule="auto"/>
        <w:tabs>
          <w:tab w:leader="none" w:pos="16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3.12(i)</w:t>
      </w:r>
      <w:r>
        <w:rPr>
          <w:rFonts w:ascii="Times New Roman" w:cs="Times New Roman" w:eastAsia="Times New Roman" w:hAnsi="Times New Roman"/>
          <w:sz w:val="17"/>
          <w:szCs w:val="17"/>
          <w:color w:val="auto"/>
        </w:rPr>
        <w:t xml:space="preserve"> of the Company Disclosure Schedule contains a true and complete list of any and all material Company Intellectual Property that was created, developed or reduced to practice, or is being created, developed or reduced to practice, (i) pursuant to, or in connection with, any Company Contract with any Governmental Authority or Governmental Authority-affiliated Entity, or any university, college or other educational institution or research institute, or (ii) to the Knowledge of the Company, using any funding, facilities or personnel of any Governmental Authority or Governmental Authority-affiliated Entity, or any university, college or other educational institution or research institute (collectively, “</w:t>
      </w:r>
      <w:r>
        <w:rPr>
          <w:rFonts w:ascii="Times New Roman" w:cs="Times New Roman" w:eastAsia="Times New Roman" w:hAnsi="Times New Roman"/>
          <w:sz w:val="17"/>
          <w:szCs w:val="17"/>
          <w:b w:val="1"/>
          <w:bCs w:val="1"/>
          <w:color w:val="auto"/>
        </w:rPr>
        <w:t>Government Funded IP</w:t>
      </w:r>
      <w:r>
        <w:rPr>
          <w:rFonts w:ascii="Times New Roman" w:cs="Times New Roman" w:eastAsia="Times New Roman" w:hAnsi="Times New Roman"/>
          <w:sz w:val="17"/>
          <w:szCs w:val="17"/>
          <w:color w:val="auto"/>
        </w:rPr>
        <w:t>”). The Company, and, to the Knowledge of the Company, each of its licensors with respect to any Government Funded IP, have complied with any and all any Intellectual Property disclosure, licensing and other obligations under any applicable Company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 Company Material Adverse Effect.</w:t>
      </w:r>
    </w:p>
    <w:p>
      <w:pPr>
        <w:spacing w:after="0" w:line="176" w:lineRule="exact"/>
        <w:rPr>
          <w:rFonts w:ascii="Times New Roman" w:cs="Times New Roman" w:eastAsia="Times New Roman" w:hAnsi="Times New Roman"/>
          <w:sz w:val="17"/>
          <w:szCs w:val="17"/>
          <w:color w:val="auto"/>
        </w:rPr>
      </w:pPr>
    </w:p>
    <w:p>
      <w:pPr>
        <w:ind w:left="4" w:firstLine="1428"/>
        <w:spacing w:after="0" w:line="261" w:lineRule="auto"/>
        <w:tabs>
          <w:tab w:leader="none" w:pos="16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item of Company Intellectual Property that is Company Registered IP owned by the Company is and at all times has been filed and maintained in compliance with all applicable Law and all filings, payments, and other actions required to be made or taken to maintain such item of Company Registered IP in full force and effect have been made by the applicable deadline, except as would not reasonably be expected to have, individually or in the aggregate, a Company Material Adverse Effect.</w:t>
      </w:r>
    </w:p>
    <w:p>
      <w:pPr>
        <w:spacing w:after="0" w:line="179"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contained in license, distribution and service agreements entered into in the ordinary course of business by Company</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bound by any Company Contract to indemnify, defend, hold harmless, or reimburse any other Person with respect to any infringement, misappropriation, or similar claim relating to Intellectual Property that is material to the Company, taken as a whole and (ii) the Company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48" w:name="page49"/>
    <w:bookmarkEnd w:id="48"/>
    <w:p>
      <w:pPr>
        <w:ind w:right="80" w:firstLine="1428"/>
        <w:spacing w:after="0" w:line="256" w:lineRule="auto"/>
        <w:tabs>
          <w:tab w:leader="none" w:pos="1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delivered or made available to Aspen, a complete and accurate copy of all Company Inbound Licenses and all Company Outbound Licenses. With respect to each of the material Company Inbound Licenses and Company Outbound Licenses: (i) to the Knowledge of the Company, each such agreement is valid, binding on, enforceable against the Company, in accordance with its terms, subject to the Enforceability Exceptions, (ii) the Company has not received any written notice of termination or cancellation under such agreement, or received any written notice of breach or default under such agreement, which breach has not been cured or waived and (iii) neither the Company nor to the Knowledge of the Company, no other party to any such agreement, is in breach or default thereof in any material respect.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6" w:lineRule="auto"/>
        <w:tabs>
          <w:tab w:leader="none" w:pos="16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 identifies each of the following types of Company Contracts that is in effect as of the date of this Agreement, other than Company Employee Plans and the definitive agreements in respect of the Contemplated Transactions (each, a “</w:t>
      </w:r>
      <w:r>
        <w:rPr>
          <w:rFonts w:ascii="Times New Roman" w:cs="Times New Roman" w:eastAsia="Times New Roman" w:hAnsi="Times New Roman"/>
          <w:sz w:val="18"/>
          <w:szCs w:val="18"/>
          <w:b w:val="1"/>
          <w:bCs w:val="1"/>
          <w:color w:val="auto"/>
        </w:rPr>
        <w:t>Company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Material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constitute Company Convertible Notes;</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any material bonus, deferred compensation, or severance plans or arrangements;</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or otherwise involving payment by or to the Company or any of its Subsidiaries of more than an aggregate of</w:t>
      </w:r>
    </w:p>
    <w:p>
      <w:pPr>
        <w:spacing w:after="0" w:line="27" w:lineRule="exact"/>
        <w:rPr>
          <w:sz w:val="20"/>
          <w:szCs w:val="20"/>
          <w:color w:val="auto"/>
        </w:rPr>
      </w:pPr>
    </w:p>
    <w:p>
      <w:pPr>
        <w:ind w:left="440" w:right="360"/>
        <w:spacing w:after="0" w:line="260" w:lineRule="auto"/>
        <w:rPr>
          <w:sz w:val="20"/>
          <w:szCs w:val="20"/>
          <w:color w:val="auto"/>
        </w:rPr>
      </w:pPr>
      <w:r>
        <w:rPr>
          <w:rFonts w:ascii="Times New Roman" w:cs="Times New Roman" w:eastAsia="Times New Roman" w:hAnsi="Times New Roman"/>
          <w:sz w:val="18"/>
          <w:szCs w:val="18"/>
          <w:color w:val="auto"/>
        </w:rPr>
        <w:t>$250,000 during the fiscal year ending December 31, 2023 (other than indemnification agreements or employment and separation agreements entered into in the ordinary course of business);</w:t>
      </w:r>
    </w:p>
    <w:p>
      <w:pPr>
        <w:spacing w:after="0" w:line="73" w:lineRule="exact"/>
        <w:rPr>
          <w:sz w:val="20"/>
          <w:szCs w:val="20"/>
          <w:color w:val="auto"/>
        </w:rPr>
      </w:pPr>
    </w:p>
    <w:p>
      <w:pPr>
        <w:ind w:left="440" w:right="420" w:firstLine="1371"/>
        <w:spacing w:after="0" w:line="282" w:lineRule="auto"/>
        <w:tabs>
          <w:tab w:leader="none" w:pos="21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a commitment by the Company or any of its Subsidiaries to make a future capital expenditure in excess of $250,000 that is not terminable by such Entity upon notice of sixty (60) days or less without penalty or liability;</w:t>
      </w:r>
    </w:p>
    <w:p>
      <w:pPr>
        <w:spacing w:after="0" w:line="53" w:lineRule="exact"/>
        <w:rPr>
          <w:rFonts w:ascii="Times New Roman" w:cs="Times New Roman" w:eastAsia="Times New Roman" w:hAnsi="Times New Roman"/>
          <w:sz w:val="18"/>
          <w:szCs w:val="18"/>
          <w:color w:val="auto"/>
        </w:rPr>
      </w:pPr>
    </w:p>
    <w:p>
      <w:pPr>
        <w:ind w:left="440" w:right="300" w:firstLine="1371"/>
        <w:spacing w:after="0" w:line="258" w:lineRule="auto"/>
        <w:tabs>
          <w:tab w:leader="none" w:pos="20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requires payments by the Company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any of its Subsidiaries on thirty (30) calendar days’ or less notice without liability, except to the extent general principles of wrongful termination Law may limit the Company’s, or such successor’s ability to terminate employees at will;</w:t>
      </w:r>
    </w:p>
    <w:p>
      <w:pPr>
        <w:spacing w:after="0" w:line="75" w:lineRule="exact"/>
        <w:rPr>
          <w:rFonts w:ascii="Times New Roman" w:cs="Times New Roman" w:eastAsia="Times New Roman" w:hAnsi="Times New Roman"/>
          <w:sz w:val="18"/>
          <w:szCs w:val="18"/>
          <w:color w:val="auto"/>
        </w:rPr>
      </w:pPr>
    </w:p>
    <w:p>
      <w:pPr>
        <w:ind w:left="440" w:right="160" w:firstLine="1371"/>
        <w:spacing w:after="0" w:line="261" w:lineRule="auto"/>
        <w:tabs>
          <w:tab w:leader="none" w:pos="21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includes (1) any “most favored nations” terms or conditions, including with respect to pricing, (2) containing exclusivity obligations or otherwise limiting the freedom or right of the Company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9" w:name="page50"/>
    <w:bookmarkEnd w:id="49"/>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occupy any securities, assets (including Intellectual Property) or other interest of the Company or any of its Subsidiaries or (B) containing any provision or covenant that materially limits, or purports to materially limit, the ability of the Company or any of its Subsidiaries to engage in any line of business (whether generally or in any geographic area) or compete with any Person or in any line of business or geographic area;</w:t>
      </w:r>
    </w:p>
    <w:p>
      <w:pPr>
        <w:spacing w:after="0" w:line="68" w:lineRule="exact"/>
        <w:rPr>
          <w:sz w:val="20"/>
          <w:szCs w:val="20"/>
          <w:color w:val="auto"/>
        </w:rPr>
      </w:pPr>
    </w:p>
    <w:p>
      <w:pPr>
        <w:ind w:left="4" w:right="60" w:firstLine="1371"/>
        <w:spacing w:after="0" w:line="266" w:lineRule="auto"/>
        <w:tabs>
          <w:tab w:leader="none" w:pos="173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or evidencing indebtedness for borrowed money or any guarantee of indebtedness for borrowed money by the Company or any of its Subsidiaries in excess of $250,000 (excluding loans by the Company to wholly-owned Subsidiaries in the Ordinary Course of Business);</w:t>
      </w:r>
    </w:p>
    <w:p>
      <w:pPr>
        <w:spacing w:after="0" w:line="67" w:lineRule="exact"/>
        <w:rPr>
          <w:rFonts w:ascii="Times New Roman" w:cs="Times New Roman" w:eastAsia="Times New Roman" w:hAnsi="Times New Roman"/>
          <w:sz w:val="18"/>
          <w:szCs w:val="18"/>
          <w:color w:val="auto"/>
        </w:rPr>
      </w:pPr>
    </w:p>
    <w:p>
      <w:pPr>
        <w:ind w:left="4" w:right="240" w:firstLine="1371"/>
        <w:spacing w:after="0" w:line="282" w:lineRule="auto"/>
        <w:tabs>
          <w:tab w:leader="none" w:pos="178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or governing the formation of any joint venture, partnership, strategic alliance, research and development collaboration, or similar arrangement;</w:t>
      </w:r>
    </w:p>
    <w:p>
      <w:pPr>
        <w:spacing w:after="0" w:line="53" w:lineRule="exact"/>
        <w:rPr>
          <w:rFonts w:ascii="Times New Roman" w:cs="Times New Roman" w:eastAsia="Times New Roman" w:hAnsi="Times New Roman"/>
          <w:sz w:val="18"/>
          <w:szCs w:val="18"/>
          <w:color w:val="auto"/>
        </w:rPr>
      </w:pPr>
    </w:p>
    <w:p>
      <w:pPr>
        <w:ind w:left="4" w:right="380" w:firstLine="1371"/>
        <w:spacing w:after="0" w:line="282" w:lineRule="auto"/>
        <w:tabs>
          <w:tab w:leader="none" w:pos="168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Contract governing, related to or pertaining to any Company Intellectual Property (other than any confidential information provided under confidentiality agreements) that is material to the Company and its Subsidiaries, taken as a whole;</w:t>
      </w:r>
    </w:p>
    <w:p>
      <w:pPr>
        <w:spacing w:after="0" w:line="53"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which any Person granted the Company an exclusive license under any Intellectual Property, or</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the Company or any of its Subsidiaries granted any Person an exclusive license under any Company Intellectual Property;</w:t>
      </w:r>
    </w:p>
    <w:p>
      <w:pPr>
        <w:spacing w:after="0" w:line="98" w:lineRule="exact"/>
        <w:rPr>
          <w:rFonts w:ascii="Times New Roman" w:cs="Times New Roman" w:eastAsia="Times New Roman" w:hAnsi="Times New Roman"/>
          <w:sz w:val="18"/>
          <w:szCs w:val="18"/>
          <w:color w:val="auto"/>
        </w:rPr>
      </w:pPr>
    </w:p>
    <w:p>
      <w:pPr>
        <w:ind w:left="4" w:right="40" w:firstLine="1371"/>
        <w:spacing w:after="0" w:line="266" w:lineRule="auto"/>
        <w:tabs>
          <w:tab w:leader="none" w:pos="16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the Company or any of its Subsidiaries;</w:t>
      </w:r>
    </w:p>
    <w:p>
      <w:pPr>
        <w:spacing w:after="0" w:line="67" w:lineRule="exact"/>
        <w:rPr>
          <w:rFonts w:ascii="Times New Roman" w:cs="Times New Roman" w:eastAsia="Times New Roman" w:hAnsi="Times New Roman"/>
          <w:sz w:val="18"/>
          <w:szCs w:val="18"/>
          <w:color w:val="auto"/>
        </w:rPr>
      </w:pPr>
    </w:p>
    <w:p>
      <w:pPr>
        <w:ind w:left="4" w:right="400" w:firstLine="1371"/>
        <w:spacing w:after="0" w:line="261" w:lineRule="auto"/>
        <w:tabs>
          <w:tab w:leader="none" w:pos="173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conciliation or similar Contract with or approved by any Governmental Authority (A) pursuant to which the Company or any of its Subsidiaries will be required after the date of this Agreement to pay any monetary obligations or (B) that contains material obligations or limitations on the conduct of the Company or any of its Subsidiaries (other than customary confidentiality obligations);</w:t>
      </w:r>
    </w:p>
    <w:p>
      <w:pPr>
        <w:spacing w:after="0" w:line="71" w:lineRule="exact"/>
        <w:rPr>
          <w:rFonts w:ascii="Times New Roman" w:cs="Times New Roman" w:eastAsia="Times New Roman" w:hAnsi="Times New Roman"/>
          <w:sz w:val="18"/>
          <w:szCs w:val="18"/>
          <w:color w:val="auto"/>
        </w:rPr>
      </w:pPr>
    </w:p>
    <w:p>
      <w:pPr>
        <w:ind w:left="4" w:right="240" w:firstLine="1371"/>
        <w:spacing w:after="0" w:line="282" w:lineRule="auto"/>
        <w:tabs>
          <w:tab w:leader="none" w:pos="17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Governmental Authority, except for materials transfer agreements, agreements with academic institutions and non-disclosure agreements entered into in the Ordinary Course of Business;</w:t>
      </w:r>
    </w:p>
    <w:p>
      <w:pPr>
        <w:spacing w:after="0" w:line="53" w:lineRule="exact"/>
        <w:rPr>
          <w:rFonts w:ascii="Times New Roman" w:cs="Times New Roman" w:eastAsia="Times New Roman" w:hAnsi="Times New Roman"/>
          <w:sz w:val="18"/>
          <w:szCs w:val="18"/>
          <w:color w:val="auto"/>
        </w:rPr>
      </w:pPr>
    </w:p>
    <w:p>
      <w:pPr>
        <w:ind w:left="1764" w:hanging="389"/>
        <w:spacing w:after="0"/>
        <w:tabs>
          <w:tab w:leader="none" w:pos="17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clinical trial agreement, clinical study agreement or similar agreement;</w:t>
      </w:r>
    </w:p>
    <w:p>
      <w:pPr>
        <w:spacing w:after="0" w:line="117" w:lineRule="exact"/>
        <w:rPr>
          <w:rFonts w:ascii="Times New Roman" w:cs="Times New Roman" w:eastAsia="Times New Roman" w:hAnsi="Times New Roman"/>
          <w:sz w:val="18"/>
          <w:szCs w:val="18"/>
          <w:color w:val="auto"/>
        </w:rPr>
      </w:pPr>
    </w:p>
    <w:p>
      <w:pPr>
        <w:ind w:left="1724" w:hanging="349"/>
        <w:spacing w:after="0"/>
        <w:tabs>
          <w:tab w:leader="none" w:pos="17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is a collective bargaining agreement or (B) with any labor organization;</w:t>
      </w:r>
    </w:p>
    <w:p>
      <w:pPr>
        <w:spacing w:after="0" w:line="117" w:lineRule="exact"/>
        <w:rPr>
          <w:rFonts w:ascii="Times New Roman" w:cs="Times New Roman" w:eastAsia="Times New Roman" w:hAnsi="Times New Roman"/>
          <w:sz w:val="18"/>
          <w:szCs w:val="18"/>
          <w:color w:val="auto"/>
        </w:rPr>
      </w:pPr>
    </w:p>
    <w:p>
      <w:pPr>
        <w:ind w:left="4" w:firstLine="1371"/>
        <w:spacing w:after="0" w:line="266" w:lineRule="auto"/>
        <w:tabs>
          <w:tab w:leader="none" w:pos="17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prohibits the payment of dividends or distributions in respect of the capital stock of the Company or any of its Subsidiaries, the pledging of the capital stock or other equity interests of the Company or any of its Subsidiaries or the issuance of any guaranty by the Company or any of its Subsidiaries;</w:t>
      </w:r>
    </w:p>
    <w:p>
      <w:pPr>
        <w:spacing w:after="0" w:line="67" w:lineRule="exact"/>
        <w:rPr>
          <w:rFonts w:ascii="Times New Roman" w:cs="Times New Roman" w:eastAsia="Times New Roman" w:hAnsi="Times New Roman"/>
          <w:sz w:val="18"/>
          <w:szCs w:val="18"/>
          <w:color w:val="auto"/>
        </w:rPr>
      </w:pPr>
    </w:p>
    <w:p>
      <w:pPr>
        <w:ind w:left="1824" w:hanging="449"/>
        <w:spacing w:after="0"/>
        <w:tabs>
          <w:tab w:leader="none" w:pos="18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disposition or acquisition of material assets or any ownership interest in any Entity;</w:t>
      </w:r>
    </w:p>
    <w:p>
      <w:pPr>
        <w:spacing w:after="0" w:line="15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84"/>
          </w:cols>
          <w:pgMar w:left="876" w:top="270" w:right="439" w:bottom="1440" w:gutter="0" w:footer="0" w:header="0"/>
        </w:sectPr>
      </w:pPr>
    </w:p>
    <w:bookmarkStart w:id="50" w:name="page51"/>
    <w:bookmarkEnd w:id="50"/>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(xviii) requiring payment by or to the Company or any of its Subsidiaries after the date of this Agreement in excess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$500,000 pursuant to its express terms relating to: (A) any distribution agreement (identifying any that contain exclusivity provisions), (B) 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agreement involving provision of services or products with respect to any pre-clinical or clinical development activities of the Company or any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its Subsidiaries, (C) any dealer, distributor, joint marketing, alliance, joint venture, cooperation, development or other agreement currently in force</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which the Company or any of its Subsidiaries has continuing obligations to develop or market any product, technology or service, or any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agreement pursuant to which the Company or any of its Subsidiaries has continuing obligations to develop any Intellectual Property that will not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 owned, in whole or in part, by the Company or (D) any Contract to license any patent, trademark registration, service mark registration, trade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 or copyright registration to or from any third party to manufacture or produce any product, service or technology of the Company or any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its Subsidiaries or any Contract to sell, distribute or commercialize any products or service of the Company or any of its Subsidiaries, in each case,</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for Company Contracts entered into in the Ordinary Course of Business;</w:t>
      </w:r>
    </w:p>
    <w:p>
      <w:pPr>
        <w:spacing w:after="0" w:line="99" w:lineRule="exact"/>
        <w:rPr>
          <w:sz w:val="20"/>
          <w:szCs w:val="20"/>
          <w:color w:val="auto"/>
        </w:rPr>
      </w:pPr>
    </w:p>
    <w:p>
      <w:pPr>
        <w:ind w:left="440" w:right="240" w:firstLine="1371"/>
        <w:spacing w:after="0" w:line="282" w:lineRule="auto"/>
        <w:tabs>
          <w:tab w:leader="none" w:pos="22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Person, including any financial advisor, broker, finder, investment banker or other Person, providing advisory services to the Company or any of its Subsidiaries in connection with the Contemplated Transactions; or</w:t>
      </w:r>
    </w:p>
    <w:p>
      <w:pPr>
        <w:spacing w:after="0" w:line="53" w:lineRule="exact"/>
        <w:rPr>
          <w:rFonts w:ascii="Times New Roman" w:cs="Times New Roman" w:eastAsia="Times New Roman" w:hAnsi="Times New Roman"/>
          <w:sz w:val="18"/>
          <w:szCs w:val="18"/>
          <w:color w:val="auto"/>
        </w:rPr>
      </w:pPr>
    </w:p>
    <w:p>
      <w:pPr>
        <w:ind w:left="440" w:right="160" w:firstLine="1371"/>
        <w:spacing w:after="0" w:line="266" w:lineRule="auto"/>
        <w:tabs>
          <w:tab w:leader="none" w:pos="215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entered into since January 1, 2021 and was entered into with any present or former officer, director or employee of the Company or any of its Subsidiaries (other than indemnification agreements, or any Employee Plans entered into in the ordinary course of business) or (B) is the type of Contract that would be required to be disclosed under Item 404 of Regulation S-K of the Exchange Act.</w:t>
      </w:r>
    </w:p>
    <w:p>
      <w:pPr>
        <w:spacing w:after="0" w:line="175"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Aspen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81" w:lineRule="auto"/>
        <w:tabs>
          <w:tab w:leader="none" w:pos="167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is and, since January 1, 2021, has been in compliance in all material respects with all Laws applicable to the Company and its Subsidiaries, and, since January 1, 2021, the Company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 Company Material Adverse Effect.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1" w:name="page52"/>
    <w:bookmarkEnd w:id="51"/>
    <w:p>
      <w:pPr>
        <w:ind w:right="80" w:firstLine="1428"/>
        <w:spacing w:after="0" w:line="254"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its Subsidiaries holds, and since January 1, 2021 has held, all Governmental Authorizations necessary for the Company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the Company and its Subsidiaries, taken as a whole. The Governmental Authorizations held by the Company and its Subsidiaries are (i) valid and in full force and effect and (ii) are not subject to any administrative or judicial proceeding that would reasonably be expected to result in any termination, suspension, revocation or nonrenewal thereof (and, to the Knowledge of the Company, no such termination, suspension, revocation or nonrenewal has been otherwise threatened in writing), and the Company and its Subsidiaries are in compliance with the terms and requirements thereof, except in the case of each of clauses (i) and (ii) as would not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Products are being, and,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 Company Material Adverse Effect. As of the date hereof, neither the Company nor its Subsidiaries nor, to the Knowledge of the Company, any Collaboration Partner has received any written notices or other correspondence from any Drug Governmental Authority or any institutional review board or ethics committee with respect to any ongoing clinical or preclinical studies or trials (i) placing a clinical hold order on any such studies or trials or (ii) otherwise requiring the delay, termination, or suspension of such studies or trials. Since January 1, 2021, neither the Company nor its Subsidiaries nor, to the Knowledge of the Company, any Collaboration Partner has received any Form FDA 483, warning letter, notice of violation, or other written administrative, regulatory or enforcement notice from the FDA or any other Drug Governmental Authority related to the Company Products.</w:t>
      </w:r>
    </w:p>
    <w:p>
      <w:pPr>
        <w:spacing w:after="0" w:line="194"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with the applicable Drug Governmental Authorities all required material Healthcare Submissions with respect to the Company Products. All filings for Company Governmental Authorizations and Healthcare Submissions were complete and accurate in all material respects and in material compliance with applicable Laws and Orders when filed, or were subsequently corrected or completed by a filing made prior to the date hereof. No deficiencies have been asserted in writing by any applicable Drug Governmental Authority to the Company and its Subsidiaries with respect to any Healthcare Submission, except as are not, and would not reasonably be expected to be, individually or in the aggregate,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80" w:firstLine="1428"/>
        <w:spacing w:after="0" w:line="254" w:lineRule="auto"/>
        <w:tabs>
          <w:tab w:leader="none" w:pos="16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neither the Company nor its Subsidiaries, nor any authorized person acting on its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 Company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2" w:name="page53"/>
    <w:bookmarkEnd w:id="52"/>
    <w:p>
      <w:pPr>
        <w:ind w:left="4" w:firstLine="1428"/>
        <w:spacing w:after="0" w:line="268" w:lineRule="auto"/>
        <w:tabs>
          <w:tab w:leader="none" w:pos="166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its Subsidiaries, nor any director, officer or employee of the Company or its Subsidiaries (acting in the capacity of a director, officer or employee of the Company) or, to the Knowledge of the Company, any representative or agent of the Company or its Subsidiaries (acting in the capacity of a representative or agent of the Company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w:t>
      </w:r>
    </w:p>
    <w:p>
      <w:pPr>
        <w:spacing w:after="0" w:line="4" w:lineRule="exact"/>
        <w:rPr>
          <w:rFonts w:ascii="Times New Roman" w:cs="Times New Roman" w:eastAsia="Times New Roman" w:hAnsi="Times New Roman"/>
          <w:sz w:val="17"/>
          <w:szCs w:val="17"/>
          <w:color w:val="auto"/>
        </w:rPr>
      </w:pPr>
    </w:p>
    <w:p>
      <w:pPr>
        <w:ind w:left="4" w:right="20" w:hanging="4"/>
        <w:spacing w:after="0" w:line="250" w:lineRule="auto"/>
        <w:tabs>
          <w:tab w:leader="none" w:pos="3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of any crime or engaged in any conduct that would reasonably be expected to result in debarment, exclusion or suspension as described in the foregoing clauses (i), (ii) or (iii); (v) declared ineligible for awards of contracts by any U.S. or non-U.S. federal, state, provincial or other agency;</w:t>
      </w:r>
    </w:p>
    <w:p>
      <w:pPr>
        <w:ind w:left="4" w:right="20" w:hanging="4"/>
        <w:spacing w:after="0" w:line="260" w:lineRule="auto"/>
        <w:tabs>
          <w:tab w:leader="none" w:pos="30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as a clinical investigator by the FDA or any other Drug Governmental Authority; or (vii) convicted of any offense related to any U.S. or non-U.S. federal, state, provincial or other healthcare program.</w:t>
      </w:r>
    </w:p>
    <w:p>
      <w:pPr>
        <w:spacing w:after="0" w:line="181" w:lineRule="exact"/>
        <w:rPr>
          <w:rFonts w:ascii="Times New Roman" w:cs="Times New Roman" w:eastAsia="Times New Roman" w:hAnsi="Times New Roman"/>
          <w:sz w:val="18"/>
          <w:szCs w:val="18"/>
          <w:color w:val="auto"/>
        </w:rPr>
      </w:pPr>
    </w:p>
    <w:p>
      <w:pPr>
        <w:ind w:left="4" w:right="40" w:firstLine="1428"/>
        <w:spacing w:after="0" w:line="253" w:lineRule="auto"/>
        <w:tabs>
          <w:tab w:leader="none" w:pos="16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Aspen complete and accurate copies of (i) each investigational new drug application and all material correspondence relating to clinical trial applications submitted to the FDA or any other Drug Governmental Authority by or on behalf of the Company, including any supplements or amendments thereto, relating to any Company Product, (ii) all final preclinical study and clinical trial results or reports relating to any Company Product, (iii) all documents in the possession of the Company or its Subsidiaries related to inspections by any Drug Governmental Authority, in each case relating to any Company Product, (iv) all material information relating to adverse drug experiences, events or reactions or other safety information obtained or otherwise received by the Company relating to any Company Product, and (v) clinical trial databases, clinical trial master files, and statistical programs for ongoing and completed clinical trials and studies in the possession of the Company or its Subsidiaries or, to the Knowledge of the Company, in a Collaboration Partner’s possession, relating to any Company Product. The Company has a complete log of the material correspondence described in clause (i) of this section, except as has not been, and would not reasonably be expected to be, individually or in the aggregate, material to the Company and its Subsidiaries, taken as a whole.</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428"/>
        <w:spacing w:after="0" w:line="261" w:lineRule="auto"/>
        <w:tabs>
          <w:tab w:leader="none" w:pos="168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Legal Proceeding and, to the Knowledge of the Company, no Person has threatened in writing to commence any Legal Proceeding: (i) that involves the Company or any of its Subsidiaries or any Company Associate (in his or her capacity as such) or any of the material assets owned or used by the Company or any of its Subsidiaries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left="4" w:right="100" w:firstLine="1428"/>
        <w:spacing w:after="0" w:line="261" w:lineRule="auto"/>
        <w:tabs>
          <w:tab w:leader="none" w:pos="16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the Company or any of its Subsidiaries, or any of the material assets owned or used by the Company or any of its Subsidiaries, is subject. To the Knowledge of the Company, no officer or Company Key Employee is subject to any Order that prohibits such officer or Company Key Employee from engaging in or continuing in any conduct, activity or practice relating to the Company or any of its Subsidiaries or any material assets owned or used by the Company or any of its Subsidiaries.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1428"/>
        <w:spacing w:after="0" w:line="266" w:lineRule="auto"/>
        <w:tabs>
          <w:tab w:leader="none" w:pos="16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the Company and its Subsidiaries have been paid regardless 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53" w:name="page54"/>
    <w:bookmarkEnd w:id="53"/>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such Taxes have been shown as due and payable on any Tax Return. The Company and its Subsidiaries have established on their relevant books and records, in accordance with GAAP, reserves that are adequate for the payment of any income or other material Taxes not yet due and payable. None of the Company and its Subsidiaries currently is the beneficiary of any extension of time within which to file any income or other material Tax Return, other than customary extensions that have been obtained consistent with past practice. There are no Encumbrances on any of the assets of the Company and its Subsidiaries that arose in connection with any failure to pay any material Tax, other than Permitted Encumbrances.</w:t>
      </w:r>
    </w:p>
    <w:p>
      <w:pPr>
        <w:spacing w:after="0" w:line="183" w:lineRule="exact"/>
        <w:rPr>
          <w:sz w:val="20"/>
          <w:szCs w:val="20"/>
          <w:color w:val="auto"/>
        </w:rPr>
      </w:pPr>
    </w:p>
    <w:p>
      <w:pPr>
        <w:ind w:left="4" w:firstLine="1428"/>
        <w:spacing w:after="0" w:line="266" w:lineRule="auto"/>
        <w:tabs>
          <w:tab w:leader="none" w:pos="16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its Subsidiaries, taken as a whole, the Company and its Subsidiaries have:</w:t>
      </w:r>
    </w:p>
    <w:p>
      <w:pPr>
        <w:spacing w:after="0" w:line="27" w:lineRule="exact"/>
        <w:rPr>
          <w:rFonts w:ascii="Times New Roman" w:cs="Times New Roman" w:eastAsia="Times New Roman" w:hAnsi="Times New Roman"/>
          <w:sz w:val="18"/>
          <w:szCs w:val="18"/>
          <w:color w:val="auto"/>
        </w:rPr>
      </w:pPr>
    </w:p>
    <w:p>
      <w:pPr>
        <w:ind w:left="4" w:right="120" w:hanging="4"/>
        <w:spacing w:after="0" w:line="252" w:lineRule="auto"/>
        <w:tabs>
          <w:tab w:leader="none" w:pos="2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w:t>
      </w:r>
    </w:p>
    <w:p>
      <w:pPr>
        <w:spacing w:after="0" w:line="189" w:lineRule="exact"/>
        <w:rPr>
          <w:rFonts w:ascii="Times New Roman" w:cs="Times New Roman" w:eastAsia="Times New Roman" w:hAnsi="Times New Roman"/>
          <w:sz w:val="18"/>
          <w:szCs w:val="18"/>
          <w:color w:val="auto"/>
        </w:rPr>
      </w:pPr>
    </w:p>
    <w:p>
      <w:pPr>
        <w:jc w:val="both"/>
        <w:ind w:left="4" w:right="40" w:firstLine="1428"/>
        <w:spacing w:after="0" w:line="261" w:lineRule="auto"/>
        <w:tabs>
          <w:tab w:leader="none" w:pos="16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the Company and its Subsidiaries, taken as a whole, there is no dispute, audits, examinations, assessments or other actions concerning any Tax liability of the Company and its Subsidiaries pending or, to the Knowledge of the Company, threatened by any Governmental Authority against, or with respect to, the Company and its Subsidiaries that remains unpaid, and none of the Company and its Subsidiaries has received written notice of any threatened audits, examinations or assessments relating to any Taxes.</w:t>
      </w:r>
    </w:p>
    <w:p>
      <w:pPr>
        <w:spacing w:after="0" w:line="179" w:lineRule="exact"/>
        <w:rPr>
          <w:rFonts w:ascii="Times New Roman" w:cs="Times New Roman" w:eastAsia="Times New Roman" w:hAnsi="Times New Roman"/>
          <w:sz w:val="18"/>
          <w:szCs w:val="18"/>
          <w:color w:val="auto"/>
        </w:rPr>
      </w:pPr>
    </w:p>
    <w:p>
      <w:pPr>
        <w:ind w:left="4" w:right="120" w:firstLine="1428"/>
        <w:spacing w:after="0" w:line="266" w:lineRule="auto"/>
        <w:tabs>
          <w:tab w:leader="none" w:pos="168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w:t>
      </w:r>
    </w:p>
    <w:p>
      <w:pPr>
        <w:spacing w:after="0" w:line="175"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66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79" w:lineRule="exact"/>
        <w:rPr>
          <w:rFonts w:ascii="Times New Roman" w:cs="Times New Roman" w:eastAsia="Times New Roman" w:hAnsi="Times New Roman"/>
          <w:sz w:val="18"/>
          <w:szCs w:val="18"/>
          <w:color w:val="auto"/>
        </w:rPr>
      </w:pPr>
    </w:p>
    <w:p>
      <w:pPr>
        <w:ind w:left="4" w:right="400" w:firstLine="1428"/>
        <w:spacing w:after="0" w:line="266" w:lineRule="auto"/>
        <w:tabs>
          <w:tab w:leader="none" w:pos="16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none of the Company and its Subsidiaries has entered into or been a party to any “listed transaction” within the meaning of Treasury regulations Section 1.6011-4(b)(2) for a taxable period for which the applicable statute of limitations remains open.</w:t>
      </w:r>
    </w:p>
    <w:p>
      <w:pPr>
        <w:spacing w:after="0" w:line="175" w:lineRule="exact"/>
        <w:rPr>
          <w:rFonts w:ascii="Times New Roman" w:cs="Times New Roman" w:eastAsia="Times New Roman" w:hAnsi="Times New Roman"/>
          <w:sz w:val="18"/>
          <w:szCs w:val="18"/>
          <w:color w:val="auto"/>
        </w:rPr>
      </w:pPr>
    </w:p>
    <w:p>
      <w:pPr>
        <w:jc w:val="both"/>
        <w:ind w:left="4" w:right="240" w:firstLine="1428"/>
        <w:spacing w:after="0" w:line="266" w:lineRule="auto"/>
        <w:tabs>
          <w:tab w:leader="none" w:pos="16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are party to any agreements relating to the allocation or sharing of Taxes, including Tax indemnity agreements, other than customary commercial contracts entered into in the Ordinary Course of Business the primary purpose of which does not relate to Tax.</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4" w:name="page55"/>
    <w:bookmarkEnd w:id="54"/>
    <w:p>
      <w:pPr>
        <w:ind w:left="-20" w:right="120" w:firstLine="1428"/>
        <w:spacing w:after="0" w:line="258" w:lineRule="auto"/>
        <w:tabs>
          <w:tab w:leader="none" w:pos="16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and its Subsidiaries (i) has been a member of an affiliated group of corporations within the meaning of Section 1504 of the Code (or similar provision of local, state or non-U.S. Law), other than any affiliated group of which the Company is the common parent or (ii) 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w:t>
      </w:r>
    </w:p>
    <w:p>
      <w:pPr>
        <w:spacing w:after="0" w:line="183" w:lineRule="exact"/>
        <w:rPr>
          <w:rFonts w:ascii="Times New Roman" w:cs="Times New Roman" w:eastAsia="Times New Roman" w:hAnsi="Times New Roman"/>
          <w:sz w:val="18"/>
          <w:szCs w:val="18"/>
          <w:color w:val="auto"/>
        </w:rPr>
      </w:pPr>
    </w:p>
    <w:p>
      <w:pPr>
        <w:jc w:val="both"/>
        <w:ind w:left="-20" w:right="60" w:firstLine="1428"/>
        <w:spacing w:after="0" w:line="261" w:lineRule="auto"/>
        <w:tabs>
          <w:tab w:leader="none" w:pos="16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is subject to Tax in any jurisdiction other than the jurisdiction in which it is organized, by virtue of having a permanent establishment, fixed place of business or, to the Knowledge of the Company, otherwise. As of the date hereof, no claim has been made by a Governmental Authority in a jurisdiction where the Company or any of its Subsidiaries does not file Tax Returns that the Company or any of its Subsidiaries is or may be subject to taxation by that jurisdiction.</w:t>
      </w:r>
    </w:p>
    <w:p>
      <w:pPr>
        <w:spacing w:after="0" w:line="179" w:lineRule="exact"/>
        <w:rPr>
          <w:rFonts w:ascii="Times New Roman" w:cs="Times New Roman" w:eastAsia="Times New Roman" w:hAnsi="Times New Roman"/>
          <w:sz w:val="18"/>
          <w:szCs w:val="18"/>
          <w:color w:val="auto"/>
        </w:rPr>
      </w:pPr>
    </w:p>
    <w:p>
      <w:pPr>
        <w:ind w:left="-20" w:right="80" w:firstLine="1428"/>
        <w:spacing w:after="0" w:line="282" w:lineRule="auto"/>
        <w:tabs>
          <w:tab w:leader="none" w:pos="16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been a United States real property holding corporation within the meaning of Section 897(c)(2) of the Code in the last five (5) years.</w:t>
      </w:r>
    </w:p>
    <w:p>
      <w:pPr>
        <w:spacing w:after="0" w:line="161" w:lineRule="exact"/>
        <w:rPr>
          <w:rFonts w:ascii="Times New Roman" w:cs="Times New Roman" w:eastAsia="Times New Roman" w:hAnsi="Times New Roman"/>
          <w:sz w:val="18"/>
          <w:szCs w:val="18"/>
          <w:color w:val="auto"/>
        </w:rPr>
      </w:pPr>
    </w:p>
    <w:p>
      <w:pPr>
        <w:ind w:left="-20" w:right="200" w:firstLine="1428"/>
        <w:spacing w:after="0" w:line="266" w:lineRule="auto"/>
        <w:tabs>
          <w:tab w:leader="none" w:pos="16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aware of any facts or circumstances or has taken or agreed to take or refrain from taking any action, in each case, that would reasonably be expected to prevent or impede the Merger from qualifying for the Intended Tax Treatment.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428"/>
        <w:spacing w:after="0" w:line="254" w:lineRule="auto"/>
        <w:tabs>
          <w:tab w:leader="none" w:pos="16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the Company and its Subsidiaries, taken as a whole. The Company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w:t>
      </w:r>
    </w:p>
    <w:p>
      <w:pPr>
        <w:spacing w:after="0" w:line="188" w:lineRule="exact"/>
        <w:rPr>
          <w:rFonts w:ascii="Times New Roman" w:cs="Times New Roman" w:eastAsia="Times New Roman" w:hAnsi="Times New Roman"/>
          <w:sz w:val="18"/>
          <w:szCs w:val="18"/>
          <w:color w:val="auto"/>
        </w:rPr>
      </w:pPr>
    </w:p>
    <w:p>
      <w:pPr>
        <w:ind w:left="-20" w:right="40" w:firstLine="1428"/>
        <w:spacing w:after="0" w:line="256" w:lineRule="auto"/>
        <w:tabs>
          <w:tab w:leader="none" w:pos="16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the Company and, as of the date hereof, there is not, to the Knowledge of the Company, any attempt to organize any employees of the Company for the purpose of forming or joining a labor union or works council. Since January 1, 2021 to the date hereof, there has been no strike, slowdown, picketing, lockout, job action, work stoppage, union organizing activity or other labor dispute, or, to the Knowledge of the Company, any threat thereof, affecting the Company or any of its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60" w:top="270" w:right="479" w:bottom="1440" w:gutter="0" w:footer="0" w:header="0"/>
        </w:sectPr>
      </w:pPr>
    </w:p>
    <w:bookmarkStart w:id="55" w:name="page56"/>
    <w:bookmarkEnd w:id="55"/>
    <w:p>
      <w:pPr>
        <w:ind w:left="4" w:firstLine="1428"/>
        <w:spacing w:after="0" w:line="256" w:lineRule="auto"/>
        <w:tabs>
          <w:tab w:leader="none" w:pos="168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not, and since January 1, 2021 has not been, any Legal Proceeding pending, or to the Knowledge of the Company,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the Company, including unfair labor practices, misclassification of independent contractors or consultants, unlawful retaliation, discrimination or harassment complaints, in each case that is material to the Company, taken as a whole.</w:t>
      </w:r>
    </w:p>
    <w:p>
      <w:pPr>
        <w:spacing w:after="0" w:line="187"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6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three (3) years, the Company has not implemented any plant closing or layoff of employees that (in either case) violated the United States Worker Adjustment and Retraining Notification Act, as amended, or any similar state, local or foreign law (together,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and the Company has not incurred any material liability under WARN that remains unsatisfied.</w:t>
      </w:r>
    </w:p>
    <w:p>
      <w:pPr>
        <w:spacing w:after="0" w:line="175" w:lineRule="exact"/>
        <w:rPr>
          <w:rFonts w:ascii="Times New Roman" w:cs="Times New Roman" w:eastAsia="Times New Roman" w:hAnsi="Times New Roman"/>
          <w:sz w:val="18"/>
          <w:szCs w:val="18"/>
          <w:color w:val="auto"/>
        </w:rPr>
      </w:pPr>
    </w:p>
    <w:p>
      <w:pPr>
        <w:ind w:left="4" w:right="60" w:firstLine="1428"/>
        <w:spacing w:after="0" w:line="269" w:lineRule="auto"/>
        <w:tabs>
          <w:tab w:leader="none" w:pos="168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3.17(e)</w:t>
      </w:r>
      <w:r>
        <w:rPr>
          <w:rFonts w:ascii="Times New Roman" w:cs="Times New Roman" w:eastAsia="Times New Roman" w:hAnsi="Times New Roman"/>
          <w:sz w:val="17"/>
          <w:szCs w:val="17"/>
          <w:color w:val="auto"/>
        </w:rPr>
        <w:t xml:space="preserve"> of the Company Disclosure Schedule sets forth a correct and complete list of each material Company Employee Plan. The Company has made available to Aspen, with respect to each material Company Employee Plan, accurate and complete copies (as applicable) of: (i) all plan documents and all amendments thereto, and all related trust or other funding documents, and in the case of unwritten material Company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w:t>
      </w:r>
    </w:p>
    <w:p>
      <w:pPr>
        <w:spacing w:after="0" w:line="2" w:lineRule="exact"/>
        <w:rPr>
          <w:rFonts w:ascii="Times New Roman" w:cs="Times New Roman" w:eastAsia="Times New Roman" w:hAnsi="Times New Roman"/>
          <w:sz w:val="17"/>
          <w:szCs w:val="17"/>
          <w:color w:val="auto"/>
        </w:rPr>
      </w:pPr>
    </w:p>
    <w:p>
      <w:pPr>
        <w:ind w:left="4" w:right="160" w:hanging="4"/>
        <w:spacing w:after="0" w:line="255" w:lineRule="auto"/>
        <w:tabs>
          <w:tab w:leader="none" w:pos="3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Company Employee Plan.</w:t>
      </w:r>
    </w:p>
    <w:p>
      <w:pPr>
        <w:spacing w:after="0" w:line="185" w:lineRule="exact"/>
        <w:rPr>
          <w:rFonts w:ascii="Times New Roman" w:cs="Times New Roman" w:eastAsia="Times New Roman" w:hAnsi="Times New Roman"/>
          <w:sz w:val="18"/>
          <w:szCs w:val="18"/>
          <w:color w:val="auto"/>
        </w:rPr>
      </w:pPr>
    </w:p>
    <w:p>
      <w:pPr>
        <w:ind w:left="4" w:firstLine="1428"/>
        <w:spacing w:after="0" w:line="266" w:lineRule="auto"/>
        <w:tabs>
          <w:tab w:leader="none" w:pos="166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is intended to be qualified under Section 401(a) of the Code has received or is permitted to rely upon a favorable determination or opinion letter that it is so qualified, and to the Knowledge of the Company, there are no circumstances that would reasonably be expected to cause the loss of such qualification.</w:t>
      </w:r>
    </w:p>
    <w:p>
      <w:pPr>
        <w:spacing w:after="0" w:line="175" w:lineRule="exact"/>
        <w:rPr>
          <w:rFonts w:ascii="Times New Roman" w:cs="Times New Roman" w:eastAsia="Times New Roman" w:hAnsi="Times New Roman"/>
          <w:sz w:val="18"/>
          <w:szCs w:val="18"/>
          <w:color w:val="auto"/>
        </w:rPr>
      </w:pPr>
    </w:p>
    <w:p>
      <w:pPr>
        <w:ind w:left="4" w:firstLine="1428"/>
        <w:spacing w:after="0" w:line="255" w:lineRule="auto"/>
        <w:tabs>
          <w:tab w:leader="none" w:pos="16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its Subsidiaries, taken as a whole, each Company Employee Plan has been operated, maintained and administered in compliance with its terms and with the requirements prescribed by applicable Laws, including ERISA and the Code. As of the date hereof, no Legal Proceeding or governmental audit is pending with respect to any Company Employee Plan (other than routine claims for benefits) and, to the Knowledge of the Company, no such Legal Proceeding or governmental audit is threatened; and there are no governmental investigations pending or, to the Knowledge of the Company, threatened in connection with any Company Employee Plan, the assets of any trust under any Company Employee Plan or the plan sponsor, the plan administrator or any fiduciary under any Company Employee Plan.</w:t>
      </w:r>
    </w:p>
    <w:p>
      <w:pPr>
        <w:spacing w:after="0" w:line="188"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respective directors, officers, employees or agents has, with respect to any Company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the Company or any Company Employee Plan or for which the Company has any future indemnification obligation, except, in each case, as would not reasonably be expected, individually or in the aggregate, to result in material liability to the Company.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56" w:name="page57"/>
    <w:bookmarkEnd w:id="56"/>
    <w:p>
      <w:pPr>
        <w:ind w:right="40" w:firstLine="1428"/>
        <w:spacing w:after="0" w:line="256"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the Company.</w:t>
      </w:r>
    </w:p>
    <w:p>
      <w:pPr>
        <w:spacing w:after="0" w:line="187" w:lineRule="exact"/>
        <w:rPr>
          <w:rFonts w:ascii="Times New Roman" w:cs="Times New Roman" w:eastAsia="Times New Roman" w:hAnsi="Times New Roman"/>
          <w:sz w:val="18"/>
          <w:szCs w:val="18"/>
          <w:color w:val="auto"/>
        </w:rPr>
      </w:pPr>
    </w:p>
    <w:p>
      <w:pPr>
        <w:ind w:right="400" w:firstLine="1428"/>
        <w:spacing w:after="0" w:line="266"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provides for, and the Company does not have any present or future obligation to provide, post-retirement or post-termination health, life insurance or other welfare benefits except as required under Part 6 of Subtitle B of Title I of ERISA or Section 4980B of the Code or similar state Law.</w:t>
      </w:r>
    </w:p>
    <w:p>
      <w:pPr>
        <w:spacing w:after="0" w:line="175" w:lineRule="exact"/>
        <w:rPr>
          <w:rFonts w:ascii="Times New Roman" w:cs="Times New Roman" w:eastAsia="Times New Roman" w:hAnsi="Times New Roman"/>
          <w:sz w:val="18"/>
          <w:szCs w:val="18"/>
          <w:color w:val="auto"/>
        </w:rPr>
      </w:pPr>
    </w:p>
    <w:p>
      <w:pPr>
        <w:ind w:right="740" w:firstLine="1428"/>
        <w:spacing w:after="0" w:line="282"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obligation to pay or provide any tax “gross-up” or similar “make-whole” payments or indemnities to any current or former employee, officer, director or other service provider of the Company.</w:t>
      </w:r>
    </w:p>
    <w:p>
      <w:pPr>
        <w:spacing w:after="0" w:line="161" w:lineRule="exact"/>
        <w:rPr>
          <w:rFonts w:ascii="Times New Roman" w:cs="Times New Roman" w:eastAsia="Times New Roman" w:hAnsi="Times New Roman"/>
          <w:sz w:val="18"/>
          <w:szCs w:val="18"/>
          <w:color w:val="auto"/>
        </w:rPr>
      </w:pPr>
    </w:p>
    <w:p>
      <w:pPr>
        <w:ind w:right="220" w:firstLine="1428"/>
        <w:spacing w:after="0" w:line="261"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all Company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the Company.</w:t>
      </w:r>
    </w:p>
    <w:p>
      <w:pPr>
        <w:spacing w:after="0" w:line="179" w:lineRule="exact"/>
        <w:rPr>
          <w:rFonts w:ascii="Times New Roman" w:cs="Times New Roman" w:eastAsia="Times New Roman" w:hAnsi="Times New Roman"/>
          <w:sz w:val="18"/>
          <w:szCs w:val="18"/>
          <w:color w:val="auto"/>
        </w:rPr>
      </w:pPr>
    </w:p>
    <w:p>
      <w:pPr>
        <w:ind w:right="180" w:firstLine="1428"/>
        <w:spacing w:after="0" w:line="255" w:lineRule="auto"/>
        <w:tabs>
          <w:tab w:leader="none" w:pos="17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the Company of any payment or benefit that is or could be characterized as a “parachute payment” (within the meaning of Section 280G of the Code), determined without regard to the application of</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280G(b)(5) of the Code.</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Employee Plan that is a “nonqualified deferred compensation plan” (as such term is defined under</w:t>
      </w:r>
    </w:p>
    <w:p>
      <w:pPr>
        <w:spacing w:after="0" w:line="27"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Section 409A(d)(1) of the Code and the guidance thereunder) has been operated and maintained in compliance in all material respects with the requirements of Section 409A of the Code and the applicable guidance thereunder.</w:t>
      </w:r>
    </w:p>
    <w:p>
      <w:pPr>
        <w:spacing w:after="0" w:line="1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has delivered to Aspen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192"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Schedule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87"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 Since January 1, 2021, each of the Company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the Company and its Subsidiaries, taken as a whole. Since January 1, 2021, the Company and its Subsidiaries have complied in all material respects with each of their respective written and published policies concerning the privacy of Personal Information (“</w:t>
      </w:r>
      <w:r>
        <w:rPr>
          <w:rFonts w:ascii="Times New Roman" w:cs="Times New Roman" w:eastAsia="Times New Roman" w:hAnsi="Times New Roman"/>
          <w:sz w:val="18"/>
          <w:szCs w:val="18"/>
          <w:b w:val="1"/>
          <w:bCs w:val="1"/>
          <w:color w:val="auto"/>
        </w:rPr>
        <w:t>Privacy Policies</w:t>
      </w:r>
      <w:r>
        <w:rPr>
          <w:rFonts w:ascii="Times New Roman" w:cs="Times New Roman" w:eastAsia="Times New Roman" w:hAnsi="Times New Roman"/>
          <w:sz w:val="18"/>
          <w:szCs w:val="18"/>
          <w:color w:val="auto"/>
        </w:rPr>
        <w:t>”), if applicable and required. The Company and its Subsidiaries maintain commercially reasonable policies, procedures and security measures with respect to the physical and electronic security and privacy of Personal Information that are designed to achieve compliance in all material respects with Privacy Laws, and the Company and its Subsidiaries are in compliance in all material respects with such policies and procedures. To the Knowledge of the Company, there have been no material breaches or material violations of any security measures of Aspen and its Subsidiaries, or any material unauthorized access, use or disclosure of any Personal Information. None of the Company and its Subsidiaries has received written notice (or, to the Knowledge of the Company, any other communication) of (a) any material violation or breach, or alleged material violation or breach, of Privacy Laws and/or Privacy Policies, or (b) any claims against any of the Company and its Subsidiaries by any Person, and there is no Legal Proceeding pending or, to Knowledge of the Company, threatened against any of the Company and its Subsidiaries, alleging a violation or breach of Privacy Laws and/or Privacy Policies, except in each case as would not be material to the Company and its Subsidiaries, taken as a whole.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3.23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9" w:lineRule="auto"/>
        <w:tabs>
          <w:tab w:leader="none" w:pos="167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directly or indirectly (i) given any funds (whether of the Company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 (iii) violated any provision of any Anti-Corruption Law.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not received any written communication (or, to the Knowledge of the Company, any other communication) that alleges any of the foregoing. To the Knowledge of the Company, the Company has disclosed to Aspen any and all allegations that have been made of any potential wrongdoing by the Company or by any director, officer, employee, agent or representative of the Company (acting in the capacity of a director, officer, employee, agent or representative of the Company) with respect to any Anti-Corruption Law.</w:t>
      </w:r>
    </w:p>
    <w:p>
      <w:pPr>
        <w:spacing w:after="0" w:line="178" w:lineRule="exact"/>
        <w:rPr>
          <w:rFonts w:ascii="Times New Roman" w:cs="Times New Roman" w:eastAsia="Times New Roman" w:hAnsi="Times New Roman"/>
          <w:sz w:val="17"/>
          <w:szCs w:val="17"/>
          <w:color w:val="auto"/>
        </w:rPr>
      </w:pPr>
    </w:p>
    <w:p>
      <w:pPr>
        <w:ind w:firstLine="1428"/>
        <w:spacing w:after="0" w:line="254" w:lineRule="auto"/>
        <w:tabs>
          <w:tab w:leader="none" w:pos="16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and in the past five (5) years, there have not been, any Legal Proceedings with respect to any Anti-Corruption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has made any disclosure (voluntary or otherwise) to any Governmental Authority with respect to any alleged irregularity, misstatement, omission or other potential violation or liability arising under or relating to any Anti-Corruption Law.</w:t>
      </w:r>
    </w:p>
    <w:p>
      <w:pPr>
        <w:spacing w:after="0" w:line="19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In the past five (5) years, neither the Company nor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in the past five (5) years, there have not been, any Legal Proceedings, allegations, investigations or inquiries concerning any actual or suspected violations of any Sanctions Law pending or to the Knowledge of the Company threatened in writing against the Company, any director or officer or, to the Knowledge of the Company, any employee of the Company (acting in the capacity of a director, officer or employee of the Company) or, to the Knowledge of the Company, any representative or agent of the Company (acting in the capacity of a representative or agent of the Company). Neither the Company nor any director, officer or employee of any of the Company, is a Sanctioned Person. In the past five (5) years, the Company has not had, directly or indirectly, any unlawful transactions with or unlawful investments in any Sanctioned Person or Sanctioned Country.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9" w:name="page60"/>
    <w:bookmarkEnd w:id="59"/>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3.25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Company hereby acknowledges and agrees that, except for the representations and warranties contained in this Agreement, neither Aspen nor any other person on behalf of Aspen makes any express or implied representation or warranty with respect to Aspen or with respect to any other information provided to the Company, any of its stockholders or any of their respective Affiliates in connection with the Contemplated Transactions, and (subject to the express representations and warranties of Aspen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each case as qualified and limited by the Aspen Disclosure Schedule)) none of the Company, or any of its Representatives or stockholders, has relied on any such information (including the accuracy or completeness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 of Aspen and Merger Sub</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(i) as set forth in the written disclosure schedule delivered by Aspen to the Company (the “</w:t>
      </w:r>
      <w:r>
        <w:rPr>
          <w:rFonts w:ascii="Times New Roman" w:cs="Times New Roman" w:eastAsia="Times New Roman" w:hAnsi="Times New Roman"/>
          <w:sz w:val="18"/>
          <w:szCs w:val="18"/>
          <w:b w:val="1"/>
          <w:bCs w:val="1"/>
          <w:color w:val="auto"/>
        </w:rPr>
        <w:t>Aspen Disclosure Schedule</w:t>
      </w:r>
      <w:r>
        <w:rPr>
          <w:rFonts w:ascii="Times New Roman" w:cs="Times New Roman" w:eastAsia="Times New Roman" w:hAnsi="Times New Roman"/>
          <w:sz w:val="18"/>
          <w:szCs w:val="18"/>
          <w:color w:val="auto"/>
        </w:rPr>
        <w:t>”) or (ii) as disclosed in the Aspen SEC Documents filed with the SEC prior to the date hereof and publicly available on the SEC’s Electronic Data Gathering Analysis and Retrieval (EDGAR)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Aspen SEC Documents shall be deemed to be disclosed in a section of the Aspen Disclosure Schedule only if it is reasonably apparent from a reading of such Aspen SEC Documents that it would be applicable to such section or subsection of the Aspen Disclosure Schedule, Aspen and Merger Sub represent and warrant to the Company as follows: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Organization; Subsidiaries.</w:t>
      </w:r>
    </w:p>
    <w:p>
      <w:pPr>
        <w:spacing w:after="0" w:line="225" w:lineRule="exact"/>
        <w:rPr>
          <w:sz w:val="20"/>
          <w:szCs w:val="20"/>
          <w:color w:val="auto"/>
        </w:rPr>
      </w:pPr>
    </w:p>
    <w:p>
      <w:pPr>
        <w:ind w:right="40" w:firstLine="1428"/>
        <w:spacing w:after="0" w:line="256" w:lineRule="auto"/>
        <w:tabs>
          <w:tab w:leader="none" w:pos="1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Aspen and its Subsidiaries (including Merger Sub) is a corporation or other legal entity duly incorporated or formed,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in all material respects under all Contracts by which it is bound. Since the date of their formation, Merger Sub have not engaged in any activities other than in connection with or as contemplated by this Agreement. All of Aspen’s Subsidiaries are wholly owned by Aspen.</w:t>
      </w:r>
    </w:p>
    <w:p>
      <w:pPr>
        <w:spacing w:after="0" w:line="187"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Aspen and its Subsidiaries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Aspen Material Adverse Effect.</w:t>
      </w:r>
    </w:p>
    <w:p>
      <w:pPr>
        <w:spacing w:after="0" w:line="179" w:lineRule="exact"/>
        <w:rPr>
          <w:rFonts w:ascii="Times New Roman" w:cs="Times New Roman" w:eastAsia="Times New Roman" w:hAnsi="Times New Roman"/>
          <w:sz w:val="18"/>
          <w:szCs w:val="18"/>
          <w:color w:val="auto"/>
        </w:rPr>
      </w:pPr>
    </w:p>
    <w:p>
      <w:pPr>
        <w:ind w:right="40" w:firstLine="1428"/>
        <w:spacing w:after="0" w:line="256" w:lineRule="auto"/>
        <w:tabs>
          <w:tab w:leader="none" w:pos="16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of the Aspen Disclosure Schedule, Aspen has no Subsidiaries other than Merger Sub and Aspen does not own any capital stock of, or any equity ownership or profit sharing interest of any nature in, or control directly or indirectly, any other Entity other than Merger Sub. Aspen is not and has not otherwise been, directly or indirectly, a party to, member of or participant in any partnership, joint venture or similar business entity. Aspen has not agreed and is not obligated to make, nor is Aspen bound by any Contract under which it may become obligated to make, any future investment in or capital contribution to any other Entity. Aspen has not, at any time, been a general partner of, and has not otherwise been liable for any of the debts or other obligations of, any general partnership, limited partnership or other Entity.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60" w:name="page61"/>
    <w:bookmarkEnd w:id="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Aspen has delivered to the Company accurate and complete copies of Aspen’s Organizational Documents.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 is not in breach or violation of its Organizational Documents in any material respect.</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Subject to obtaining the Required Aspen Stockholder Vote and the Aspen stockholder approval of the other Aspen Stockholder Matters (and with respect to the Equity Plan Proposals, in a form reasonably acceptable to Aspen as contemplated by the definition of such term), each of Aspen and Merger Sub has all necessary corporate power and authority to enter into and to perform its obligations under this Agreement and to consummate the Contemplated Transactions that are contemplated to be consummated by it. The Aspen Board (at meetings duly called and held) has: (a) determined that the Contemplated Transactions are fair to, advisable and in the best interests of Aspen and its stockholders, (b) approved and declared advisable this Agreement and the Contemplated Transactions, including the issuance of shares of Aspen Common Stock to the stockholders of the Company pursuant to the terms of this Agreement and (c) determined to recommend, upon the terms and subject to the conditions set forth in this Agreement, that the stockholders of Aspen vote to approve the Aspen Stockholder Matters.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Aspen and Merger Sub and, assuming the due authorization, execution and delivery by the Company, constitutes the legal, valid and binding obligation of Aspen and Merger Sub, enforceable against each of Aspen and Merger Sub in accordance with its terms, subject to the Enforceability Exceptions.</w:t>
      </w:r>
    </w:p>
    <w:p>
      <w:pPr>
        <w:spacing w:after="0" w:line="19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of (i) the holders of a majority of the shares of Aspen Common Stock properly cast is the only vote of the holders of any class or series of Aspen’s capital stock necessary to approve the issuance of shares of Aspen Common Stock to the stockholders of the Company pursuant to the terms of this Agreement and (ii) the holders of a number of shares of Aspen Common Stock as required by Law is the only vote of the holders of any class or series of Aspen’s capital stock necessary to approve an amendment to the Aspen Charter to effect the Nasdaq Reverse Split (collectively, the “</w:t>
      </w:r>
      <w:r>
        <w:rPr>
          <w:rFonts w:ascii="Times New Roman" w:cs="Times New Roman" w:eastAsia="Times New Roman" w:hAnsi="Times New Roman"/>
          <w:sz w:val="18"/>
          <w:szCs w:val="18"/>
          <w:b w:val="1"/>
          <w:bCs w:val="1"/>
          <w:color w:val="auto"/>
        </w:rPr>
        <w:t>Required Aspen Stockholder Vote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428"/>
        <w:spacing w:after="0" w:line="261" w:lineRule="auto"/>
        <w:tabs>
          <w:tab w:leader="none" w:pos="167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Aspen Stockholder Vote and the Aspen stockholder approval of the other Aspen Stockholder Matters, the Aspen stockholder approval of the other Aspen Stockholder Matters and the filing of the Certificate of Merger required by the DGCL, neither (x) the execution, delivery or performance of this Agreement by Aspen or Merger Sub, nor (y) the consummation of the Contemplated Transactions, will directly or indirectly (with or without notice or lapse of time):</w:t>
      </w:r>
    </w:p>
    <w:p>
      <w:pPr>
        <w:spacing w:after="0" w:line="71"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Aspen or its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color w:val="auto"/>
        </w:rPr>
      </w:pPr>
    </w:p>
    <w:p>
      <w:pPr>
        <w:ind w:left="440" w:right="160" w:firstLine="1371"/>
        <w:spacing w:after="0" w:line="266" w:lineRule="auto"/>
        <w:tabs>
          <w:tab w:leader="none" w:pos="20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Aspen or its Subsidiaries or any of the assets owned or used by Aspen or its Subsidiaries, is subject;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1" w:name="page62"/>
    <w:bookmarkEnd w:id="61"/>
    <w:p>
      <w:pPr>
        <w:ind w:left="444" w:right="40" w:firstLine="1371"/>
        <w:spacing w:after="0" w:line="266" w:lineRule="auto"/>
        <w:tabs>
          <w:tab w:leader="none" w:pos="213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Aspen or its Subsidiaries or that otherwise relates to the business of Aspen, or any of the assets owned, leased or used by Aspen; or</w:t>
      </w:r>
    </w:p>
    <w:p>
      <w:pPr>
        <w:spacing w:after="0" w:line="67" w:lineRule="exact"/>
        <w:rPr>
          <w:rFonts w:ascii="Times New Roman" w:cs="Times New Roman" w:eastAsia="Times New Roman" w:hAnsi="Times New Roman"/>
          <w:sz w:val="18"/>
          <w:szCs w:val="18"/>
          <w:color w:val="auto"/>
        </w:rPr>
      </w:pPr>
    </w:p>
    <w:p>
      <w:pPr>
        <w:ind w:left="444" w:right="60" w:firstLine="1371"/>
        <w:spacing w:after="0" w:line="258" w:lineRule="auto"/>
        <w:tabs>
          <w:tab w:leader="none" w:pos="2123"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default (or an event that with notice or lapse of time or both would result in a default), give right to a right of termination, cancellation or acceleration of any obligation or loss of a material benefit of Aspen or any of its Subsidiaries, or result in the creation of any Encumbrance (other than Permitted Encumbrances) upon any of the properties or assets of Aspen or any of its Subsidiaries, in each case under any Aspen Material Contract and in each case except as would not be reasonably expected to have, individually or in the aggregate, an Aspen Material Adverse Effect.</w:t>
      </w:r>
    </w:p>
    <w:p>
      <w:pPr>
        <w:spacing w:after="0" w:line="18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(i) the Required Aspen Stockholder Vote and the Aspen stockholder approval of the other Aspen Stockholder Matters,</w:t>
      </w:r>
    </w:p>
    <w:p>
      <w:pPr>
        <w:spacing w:after="0" w:line="38" w:lineRule="exact"/>
        <w:rPr>
          <w:rFonts w:ascii="Times New Roman" w:cs="Times New Roman" w:eastAsia="Times New Roman" w:hAnsi="Times New Roman"/>
          <w:sz w:val="17"/>
          <w:szCs w:val="17"/>
          <w:color w:val="auto"/>
        </w:rPr>
      </w:pPr>
    </w:p>
    <w:p>
      <w:pPr>
        <w:jc w:val="center"/>
        <w:ind w:left="4" w:right="20" w:hanging="4"/>
        <w:spacing w:after="0" w:line="265" w:lineRule="auto"/>
        <w:tabs>
          <w:tab w:leader="none" w:pos="26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the Certificate of Merger with the Secretary of State of Delaware pursuant to the DGCL, and (iii) such consents, waivers, approvals, orders authorizations, registrations, declarations and filings as may be required under applicable federal and state securities laws, neither Aspen nor any of its Subsidiaries was, is or will be required to make any filing with or give any notice to, or to obtain any Consent from, any Person in connection with</w:t>
      </w:r>
    </w:p>
    <w:p>
      <w:pPr>
        <w:ind w:left="4" w:right="220" w:hanging="4"/>
        <w:spacing w:after="0" w:line="253"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or (y) the consummation of the Contemplated Transactions (in each case except under Aspen Contracts that are not Aspen Material Contracts, and in the case of such filings, notices or Consents under Aspen Material Contracts, except as the failure to make such filing, give such notice or obtain such Consent would not reasonably expected to have, individually or in the aggregate, an Aspen Material Adverse Effect).</w:t>
      </w:r>
    </w:p>
    <w:p>
      <w:pPr>
        <w:spacing w:after="0" w:line="188" w:lineRule="exact"/>
        <w:rPr>
          <w:rFonts w:ascii="Times New Roman" w:cs="Times New Roman" w:eastAsia="Times New Roman" w:hAnsi="Times New Roman"/>
          <w:sz w:val="18"/>
          <w:szCs w:val="18"/>
          <w:color w:val="auto"/>
        </w:rPr>
      </w:pPr>
    </w:p>
    <w:p>
      <w:pPr>
        <w:ind w:left="4" w:right="120" w:firstLine="1428"/>
        <w:spacing w:after="0" w:line="261" w:lineRule="auto"/>
        <w:tabs>
          <w:tab w:leader="none" w:pos="168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Aspen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61" w:lineRule="auto"/>
        <w:tabs>
          <w:tab w:leader="none" w:pos="16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Aspen consists of (i) 160,000,000 shares of Aspen Common Stock of which 44,658,511 shares have been issued and are outstanding as of January 26, 2024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and (ii) 10,000,000 shares of undesignated preferred stock, par value $0.0001 per share, of which no shares have been issued and are outstanding as of the Capitalization Date. Aspen does not hold any shares of its capital stock in its treasury.</w:t>
      </w:r>
    </w:p>
    <w:p>
      <w:pPr>
        <w:spacing w:after="0" w:line="179" w:lineRule="exact"/>
        <w:rPr>
          <w:rFonts w:ascii="Times New Roman" w:cs="Times New Roman" w:eastAsia="Times New Roman" w:hAnsi="Times New Roman"/>
          <w:sz w:val="18"/>
          <w:szCs w:val="18"/>
          <w:color w:val="auto"/>
        </w:rPr>
      </w:pPr>
    </w:p>
    <w:p>
      <w:pPr>
        <w:ind w:left="4" w:right="20" w:firstLine="1428"/>
        <w:spacing w:after="0" w:line="261" w:lineRule="auto"/>
        <w:tabs>
          <w:tab w:leader="none" w:pos="16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Aspen Common Stock have been duly authorized and validly issued, and are fully paid and nonassessable and are free of any Encumbrances. None of the outstanding shares of Aspen Common Stock is entitled or subject to any preemptive right, right of participation, right of maintenance or any similar right. None of the outstanding shares of Aspen Common Stock is subject to any right of first refusal in favor of Aspen. Except as contemplated herein,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70" w:right="479" w:bottom="1440" w:gutter="0" w:footer="0" w:header="0"/>
        </w:sectPr>
      </w:pPr>
    </w:p>
    <w:bookmarkStart w:id="62" w:name="page63"/>
    <w:bookmarkEnd w:id="6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 is no Aspen Contract relating to the voting or registration of, or restricting any Person from purchasing, selling, pledging or otherwise disposing of (or granting any option or similar right with respect to), any shares of Aspen Common Stock. Aspen is not under any obligation, nor is Aspen bound by any Contract pursuant to which it may become obligated, to repurchase, redeem or otherwise acquire any outstanding shares of Aspen Common Stock or other securities.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Aspen Disclosure Schedule accurately and completely describes all repurchase rights held by Aspen with respect to shares of Aspen Common Stock (including shares issued pursuant to the exercise of stock options) and specifies which of those repurchase rights are currently exercisable. With respect to any equity securities in Aspen subject to a “substantial risk of forfeiture” (within the meaning of Code Section 83 and the Treasury Regulations promulgated thereunder), the applicable holder thereof made a valid Code Section 83(b) election.</w:t>
      </w:r>
    </w:p>
    <w:p>
      <w:pPr>
        <w:spacing w:after="0" w:line="189" w:lineRule="exact"/>
        <w:rPr>
          <w:sz w:val="20"/>
          <w:szCs w:val="20"/>
          <w:color w:val="auto"/>
        </w:rPr>
      </w:pPr>
    </w:p>
    <w:p>
      <w:pPr>
        <w:ind w:left="4" w:firstLine="1428"/>
        <w:spacing w:after="0" w:line="267" w:lineRule="auto"/>
        <w:tabs>
          <w:tab w:leader="none" w:pos="168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Aspen’s Amended and Restated 2015 Stock Option and Grant Plan, 2018 Stock Option and Incentive Plan, 2019 Inducement Plan, and 2020 Inducement Plan, each, as may be amended (the “</w:t>
      </w:r>
      <w:r>
        <w:rPr>
          <w:rFonts w:ascii="Times New Roman" w:cs="Times New Roman" w:eastAsia="Times New Roman" w:hAnsi="Times New Roman"/>
          <w:sz w:val="17"/>
          <w:szCs w:val="17"/>
          <w:b w:val="1"/>
          <w:bCs w:val="1"/>
          <w:color w:val="auto"/>
        </w:rPr>
        <w:t>Aspen Stock Plans</w:t>
      </w:r>
      <w:r>
        <w:rPr>
          <w:rFonts w:ascii="Times New Roman" w:cs="Times New Roman" w:eastAsia="Times New Roman" w:hAnsi="Times New Roman"/>
          <w:sz w:val="17"/>
          <w:szCs w:val="17"/>
          <w:color w:val="auto"/>
        </w:rPr>
        <w:t>”) and the Aspen 2018 Employee Stock Purchase Plan, as amended (the “</w:t>
      </w:r>
      <w:r>
        <w:rPr>
          <w:rFonts w:ascii="Times New Roman" w:cs="Times New Roman" w:eastAsia="Times New Roman" w:hAnsi="Times New Roman"/>
          <w:sz w:val="17"/>
          <w:szCs w:val="17"/>
          <w:b w:val="1"/>
          <w:bCs w:val="1"/>
          <w:color w:val="auto"/>
        </w:rPr>
        <w:t>Aspen ESPP</w:t>
      </w:r>
      <w:r>
        <w:rPr>
          <w:rFonts w:ascii="Times New Roman" w:cs="Times New Roman" w:eastAsia="Times New Roman" w:hAnsi="Times New Roman"/>
          <w:sz w:val="17"/>
          <w:szCs w:val="17"/>
          <w:color w:val="auto"/>
        </w:rPr>
        <w:t xml:space="preserve">”), and except as set forth on </w:t>
      </w:r>
      <w:r>
        <w:rPr>
          <w:rFonts w:ascii="Times New Roman" w:cs="Times New Roman" w:eastAsia="Times New Roman" w:hAnsi="Times New Roman"/>
          <w:sz w:val="17"/>
          <w:szCs w:val="17"/>
          <w:u w:val="single" w:color="auto"/>
          <w:color w:val="auto"/>
        </w:rPr>
        <w:t>Section 4.6(c)</w:t>
      </w:r>
      <w:r>
        <w:rPr>
          <w:rFonts w:ascii="Times New Roman" w:cs="Times New Roman" w:eastAsia="Times New Roman" w:hAnsi="Times New Roman"/>
          <w:sz w:val="17"/>
          <w:szCs w:val="17"/>
          <w:color w:val="auto"/>
        </w:rPr>
        <w:t xml:space="preserve"> of the Aspen Disclosure Schedule, Aspen does not have any stock option plan or any other plan, program, agreement or arrangement providing for any equity-based compensation for any Person. As of the Capitalization Date, Aspen has reserved 63,538,248 shares of Aspen Common Stock for issuance under the Aspen Stock Plans, of which 44,658,511 shares have been issued and are currently outstanding, 6,141,130 shares have been reserved for issuance upon exercise or settlement of Aspen Options and Aspen Restricted Stock Units, as applicable, granted under the Aspen Stock Plans, and 12,738,607 shares remain available for future issuance pursuant to the Aspen Stock Plans. As of the Capitalization Date, Aspen has reserved 1,766,979 shares of Aspen Common Stock for future issuance pursuant to the Aspen ESPP (of which 302,831 shares have been issued and are currently outstanding). Section 4.6(c)(i) of the Aspen Disclosure Schedule sets forth the following information with respect to each Aspen Option and Aspen Restricted Stock Unit outstanding as of the Capitalization Date, as applicable: (i) the name of the holder, (ii) the number of shares of Aspen Common Stock subject to such Aspen Option and Aspen Restricted Stock Units at the time of grant,</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Aspen Common Stock subject to such Aspen Option and Aspen Restricted Stock Units as of the Capitalization Date,</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3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such Aspen Option, (v) the date on which such Aspen Option and Aspen Restricted Stock Units was granted, (vi) the applicable vesting schedule, including any acceleration provisions and the number of vested and unvested shares as of the Capitalization Date, (vii) the date on which such Aspen Option expires, (viii) whether such Aspen Option is intended to be an “incentive stock option” (as defined in the Code) or a nonqualified stock option and (ix) in the case of an Aspen Option, the plan pursuant to which such Aspen Option was granted. Aspen has made available to the Company accurate and complete copies of equity incentive plans pursuant to which Aspen has equity-based awards, the forms of all award agreements evidencing such equity-based awards and evidence of board and stockholder approval of the Aspen Stock Plans and any amendments thereto.</w:t>
      </w:r>
    </w:p>
    <w:p>
      <w:pPr>
        <w:spacing w:after="0" w:line="188"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outstanding Aspen Options and Aspen Restricted Stock Units or as set forth on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 xml:space="preserve"> of the Aspen Disclosure Schedule, there is no: (i) outstanding subscription, option, call, warrant or right (whether or not currently exercisable) to acquire any shares of the capital stock or other securities of Aspen, (ii) outstanding security, instrument or obligation that is or may become convertible into or exchangeable for any shares of the capital stock or other securities of Aspen, (iii) stockholder rights plan (or similar plan commonly referred to as a “poison pill”) or Contract under which Aspen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Aspen. There are no outstanding or authorized stock appreciation, phantom stock, profit participation or other similar rights with respect to Aspen. The treatment of the Aspen Options and the Aspen Restricted Stock Units under this Agreement do not violate the terms of the Applicable Aspen Stock Plan.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63" w:name="page64"/>
    <w:bookmarkEnd w:id="63"/>
    <w:p>
      <w:pPr>
        <w:ind w:right="320" w:firstLine="1428"/>
        <w:spacing w:after="0" w:line="266" w:lineRule="auto"/>
        <w:tabs>
          <w:tab w:leader="none" w:pos="16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outstanding shares of Aspen Common Stock, Aspen Options, Aspen Restricted Stock Units and other securities of Aspen have been issued and granted in compliance with (i) all applicable securities Laws and other applicable Law and (ii) all requirements set forth in applicable Contracts.</w:t>
      </w:r>
    </w:p>
    <w:p>
      <w:pPr>
        <w:spacing w:after="0" w:line="175" w:lineRule="exact"/>
        <w:rPr>
          <w:rFonts w:ascii="Times New Roman" w:cs="Times New Roman" w:eastAsia="Times New Roman" w:hAnsi="Times New Roman"/>
          <w:sz w:val="18"/>
          <w:szCs w:val="18"/>
          <w:color w:val="auto"/>
        </w:rPr>
      </w:pPr>
    </w:p>
    <w:p>
      <w:pPr>
        <w:ind w:right="40" w:firstLine="1428"/>
        <w:spacing w:after="0" w:line="255" w:lineRule="auto"/>
        <w:tabs>
          <w:tab w:leader="none" w:pos="16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Aspen Options and Aspen Restricted Stock Units granted pursuant to the Aspen Stock Plans, (i) each grant of an Aspen Option or Aspen Restricted Stock Unit was duly authorized no later than the date on which the grant of such Aspen Option and Aspen Restricted Stock Unit was by its terms to be effective (the “</w:t>
      </w:r>
      <w:r>
        <w:rPr>
          <w:rFonts w:ascii="Times New Roman" w:cs="Times New Roman" w:eastAsia="Times New Roman" w:hAnsi="Times New Roman"/>
          <w:sz w:val="18"/>
          <w:szCs w:val="18"/>
          <w:b w:val="1"/>
          <w:bCs w:val="1"/>
          <w:color w:val="auto"/>
        </w:rPr>
        <w:t>Aspen Grant Date</w:t>
      </w:r>
      <w:r>
        <w:rPr>
          <w:rFonts w:ascii="Times New Roman" w:cs="Times New Roman" w:eastAsia="Times New Roman" w:hAnsi="Times New Roman"/>
          <w:sz w:val="18"/>
          <w:szCs w:val="18"/>
          <w:color w:val="auto"/>
        </w:rPr>
        <w:t>”) by all necessary corporate action, including, as applicable, approval by the Aspen Board (or a duly constituted and authorized committee thereof) or duly authorized officer and any required stockholder approval by the necessary number of votes or written consents, (ii) each Aspen Option and Aspen Restricted Stock Unit grant was made in accordance with the terms of the Aspen Stock Plan pursuant to which it was granted and all other applicable Law and regulatory rules or requirements, and (iii) the per share exercise price of each Aspen Option was not less than the fair market value of a share of Aspen Common Stock on the applicable Aspen Grant Date.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 Filings; Financial Statements.</w:t>
      </w:r>
    </w:p>
    <w:p>
      <w:pPr>
        <w:spacing w:after="0" w:line="225" w:lineRule="exact"/>
        <w:rPr>
          <w:sz w:val="20"/>
          <w:szCs w:val="20"/>
          <w:color w:val="auto"/>
        </w:rPr>
      </w:pPr>
    </w:p>
    <w:p>
      <w:pPr>
        <w:ind w:firstLine="1428"/>
        <w:spacing w:after="0" w:line="253" w:lineRule="auto"/>
        <w:tabs>
          <w:tab w:leader="none" w:pos="16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schedules, forms, statements and other documents (including exhibits and all other information incorporated therein) required to be filed or furnished by Aspen with the SEC since January 1, 2021 (the “</w:t>
      </w:r>
      <w:r>
        <w:rPr>
          <w:rFonts w:ascii="Times New Roman" w:cs="Times New Roman" w:eastAsia="Times New Roman" w:hAnsi="Times New Roman"/>
          <w:sz w:val="18"/>
          <w:szCs w:val="18"/>
          <w:b w:val="1"/>
          <w:bCs w:val="1"/>
          <w:color w:val="auto"/>
        </w:rPr>
        <w:t>Aspen SEC Documents</w:t>
      </w:r>
      <w:r>
        <w:rPr>
          <w:rFonts w:ascii="Times New Roman" w:cs="Times New Roman" w:eastAsia="Times New Roman" w:hAnsi="Times New Roman"/>
          <w:sz w:val="18"/>
          <w:szCs w:val="18"/>
          <w:color w:val="auto"/>
        </w:rPr>
        <w:t>”) have been filed or furnished with the SEC on a timely basis (subject to extensions pursuant to Exchange Act Rule 12b-25). As of their respective dates, or, if amended prior to the date of this Agreement, as of the date of (and giving effect to) the last such amendment: (i) each of the Aspen SEC Documents complied as to form in all material respects with the applicable requirements of the Securities Act, the Exchange Act and the Sarbanes-Oxley Act (as the case may be); and (ii) no Aspen SEC Document contained when filed or furnished (and, in the case of registration statements and proxy statements, on the dates of effectiveness and the dates of mailing, respectively) any untrue statement of a material fact or omitted, as the case may be, to state a material fact required to be stated or incorporated by reference therein or necessary in order to make the statements therein, in the light of the circumstances under which they were made, not misleading. The certifications and statements required by (i) Rule 13a-14 under the Exchange Act and (ii) 18 U.S.C. §1350 (Section 906 of the Sarbanes-Oxley Act) relating to the Aspen SEC Documents (collectively, the “</w:t>
      </w:r>
      <w:r>
        <w:rPr>
          <w:rFonts w:ascii="Times New Roman" w:cs="Times New Roman" w:eastAsia="Times New Roman" w:hAnsi="Times New Roman"/>
          <w:sz w:val="18"/>
          <w:szCs w:val="18"/>
          <w:b w:val="1"/>
          <w:bCs w:val="1"/>
          <w:color w:val="auto"/>
        </w:rPr>
        <w:t>Certifications</w:t>
      </w:r>
      <w:r>
        <w:rPr>
          <w:rFonts w:ascii="Times New Roman" w:cs="Times New Roman" w:eastAsia="Times New Roman" w:hAnsi="Times New Roman"/>
          <w:sz w:val="18"/>
          <w:szCs w:val="18"/>
          <w:color w:val="auto"/>
        </w:rPr>
        <w:t>”) were, as of their respective dates and in all material respects, accurate and complete and complied as to form and content with all applicable Laws.</w:t>
      </w:r>
    </w:p>
    <w:p>
      <w:pPr>
        <w:spacing w:after="0" w:line="19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and schedules) contained or incorporated by reference in the Aspen SEC</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(i) complied as to form in all material respects with the Securities Act and the Exchange Act, as applicable, and the published rules and regulations of the SEC applicable thereto as in effect at the time of such filing; (ii) were prepared in accordance with GAAP applied on a consistent basis throughout the periods covered (except as may be indicated in the notes to such financial statements or, in the case of unaudited financial statements, as permitted by Form 10-Q, Form 8-K or any successor form under the Exchange Act); and (iii) fairly present, in all material respects, the consolidated financial position of Aspen and its Subsidiaries as of the respective dates thereof and the consolidated results of operations and cash flows of Aspen and its Subsidiaries for the periods covered thereby (subject, in the case of the unaudited financial statements, to the absence of footnotes and normal year-end audit adjustments that are not individually or in the aggregate material). No financial statements of any Person other than Aspen and its Subsidiaries are required by GAAP to be included in the consolidated financial statements of Aspen.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4" w:name="page65"/>
    <w:bookmarkEnd w:id="64"/>
    <w:p>
      <w:pPr>
        <w:ind w:left="4" w:right="20" w:firstLine="1428"/>
        <w:spacing w:after="0" w:line="261" w:lineRule="auto"/>
        <w:tabs>
          <w:tab w:leader="none" w:pos="16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Aspen’s auditor has at all times since the date of enactment of the Sarbanes-Oxley Act been: (i) a registered public accounting firm (as defined in Section 2(a)(12) of the Sarbanes-Oxley Act), (ii) to the Knowledge of Aspen, “independent” with respect to Aspen within the meaning of Regulation S-X under the Exchange Act and (iii) to the Knowledge of Aspen, in compliance with subsections (g) through (l) of Section 10A of the Exchange Act and the rules and regulations promulgated by the SEC and the Public Company Accounting Oversight Board thereunder.</w:t>
      </w:r>
    </w:p>
    <w:p>
      <w:pPr>
        <w:spacing w:after="0" w:line="179"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4.7(d) of the Aspen Disclosure Schedule Aspen has not received any comment letter from the SEC or the staff thereof or any correspondence from Nasdaq or the staff thereof relating to the delisting or maintenance of listing of the Aspen Common Stock on Nasdaq. Aspen has not disclosed any unresolved comments in the Aspen SEC Documents.</w:t>
      </w:r>
    </w:p>
    <w:p>
      <w:pPr>
        <w:spacing w:after="0" w:line="175"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Aspen, the Aspen Board or any committee thereof, other than ordinary course audits or reviews of accounting policies and practices or internal controls required by the Sarbanes-Oxley Act.</w:t>
      </w:r>
    </w:p>
    <w:p>
      <w:pPr>
        <w:spacing w:after="0" w:line="179" w:lineRule="exact"/>
        <w:rPr>
          <w:rFonts w:ascii="Times New Roman" w:cs="Times New Roman" w:eastAsia="Times New Roman" w:hAnsi="Times New Roman"/>
          <w:sz w:val="18"/>
          <w:szCs w:val="18"/>
          <w:color w:val="auto"/>
        </w:rPr>
      </w:pPr>
    </w:p>
    <w:p>
      <w:pPr>
        <w:ind w:left="4" w:right="180" w:firstLine="1428"/>
        <w:spacing w:after="0" w:line="282" w:lineRule="auto"/>
        <w:tabs>
          <w:tab w:leader="none" w:pos="166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4.7(f) of the Aspen Disclosure Schedule, Aspen is in compliance in all material respects with the applicable provisions of the Sarbanes-Oxley Act, the Exchange Act and the applicable listing and governance rules and regulations of Nasdaq.</w:t>
      </w:r>
    </w:p>
    <w:p>
      <w:pPr>
        <w:spacing w:after="0" w:line="161" w:lineRule="exact"/>
        <w:rPr>
          <w:rFonts w:ascii="Times New Roman" w:cs="Times New Roman" w:eastAsia="Times New Roman" w:hAnsi="Times New Roman"/>
          <w:sz w:val="18"/>
          <w:szCs w:val="18"/>
          <w:color w:val="auto"/>
        </w:rPr>
      </w:pPr>
    </w:p>
    <w:p>
      <w:pPr>
        <w:ind w:left="4" w:right="180" w:firstLine="1428"/>
        <w:spacing w:after="0" w:line="257" w:lineRule="auto"/>
        <w:tabs>
          <w:tab w:leader="none" w:pos="16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maintains, and since January 1, 2021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GAAP, and includes policies and procedures that:</w:t>
      </w:r>
    </w:p>
    <w:p>
      <w:pPr>
        <w:spacing w:after="0" w:line="1" w:lineRule="exact"/>
        <w:rPr>
          <w:rFonts w:ascii="Times New Roman" w:cs="Times New Roman" w:eastAsia="Times New Roman" w:hAnsi="Times New Roman"/>
          <w:sz w:val="18"/>
          <w:szCs w:val="18"/>
          <w:color w:val="auto"/>
        </w:rPr>
      </w:pPr>
    </w:p>
    <w:p>
      <w:pPr>
        <w:jc w:val="both"/>
        <w:ind w:left="4" w:hanging="4"/>
        <w:spacing w:after="0" w:line="265" w:lineRule="auto"/>
        <w:tabs>
          <w:tab w:leader="none" w:pos="21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Aspen and its Subsidiaries; (ii) provide reasonable assurance that transactions are recorded as necessary to permit preparation of financial statements in conformity with GAAP and that receipts and expenditures are being made only in accordance with authorizations of management and the Aspen Board; and</w:t>
      </w:r>
    </w:p>
    <w:p>
      <w:pPr>
        <w:ind w:left="4" w:hanging="4"/>
        <w:spacing w:after="0" w:line="251" w:lineRule="auto"/>
        <w:tabs>
          <w:tab w:leader="none" w:pos="3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assets of Aspen and its Subsidiaries that could have a material effect on Aspen’s financial statements. Since January 1, 2021, neither Aspen nor Aspen’s independent registered accountant has identified or been made aware of: (A) any significant deficiency or material weakness in the design or operation of the internal control over financial reporting utilized by Aspen, which is reasonably likely to adversely affect Aspen’s ability to record, process, summarize and report financial information; or (B) any fraud, whether or not material, that involves the management or other employees of Aspen who have a significant role in Aspen’s internal control over financial reporting. Aspen maintains disclosure controls and procedures (as defined by Rule 13a-15(e) or 15d-15(e) under the Exchange Act) that are reasonably designed to ensure that all information required to be disclosed in Aspen’s reports that it files or submits under the Exchange Act is recorded, processed, summarized and reported within the time periods specified in the rules and forms of the SEC and that all such information is accumulated and communicated to Aspen’s management as appropriate to allow timely decisions regarding required disclosure. Since January 1, 2021, the principal executive officer and the principal financial officer of Aspen have made all certifications required by the Exchange Act and the Sarbanes-Oxley Act. Aspen is in compliance in all material respects with all current listing and corporate governance requirements of Nasdaq.</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70" w:right="479" w:bottom="1440" w:gutter="0" w:footer="0" w:header="0"/>
        </w:sectPr>
      </w:pPr>
    </w:p>
    <w:bookmarkStart w:id="65" w:name="page66"/>
    <w:bookmarkEnd w:id="65"/>
    <w:p>
      <w:pPr>
        <w:ind w:right="400" w:firstLine="1428"/>
        <w:spacing w:after="0" w:line="282" w:lineRule="auto"/>
        <w:tabs>
          <w:tab w:leader="none" w:pos="168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Aspen or any of its Subsidiaries has effected, entered into or created, or has any commitment to effect, enter into or create, any securitization transaction or “off-balance sheet arrangement” (as defined in Section 2.03 of Form 8-K under the Exchange Act).</w:t>
      </w:r>
    </w:p>
    <w:p>
      <w:pPr>
        <w:spacing w:after="0" w:line="161" w:lineRule="exact"/>
        <w:rPr>
          <w:rFonts w:ascii="Times New Roman" w:cs="Times New Roman" w:eastAsia="Times New Roman" w:hAnsi="Times New Roman"/>
          <w:sz w:val="18"/>
          <w:szCs w:val="18"/>
          <w:color w:val="auto"/>
        </w:rPr>
      </w:pPr>
    </w:p>
    <w:p>
      <w:pPr>
        <w:ind w:right="40" w:firstLine="1428"/>
        <w:spacing w:after="0" w:line="261"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outstanding or unresolved comments in comment letters received from the SEC with respect to the Aspen SEC Documents. To the Knowledge of Aspen, (i) none of the Aspen SEC Documents is the subject of ongoing SEC review and (ii) there are no material inquiries or investigations by the SEC or any internal investigations pending or threatened in writing regarding any accounting practices of Aspen.</w:t>
      </w:r>
    </w:p>
    <w:p>
      <w:pPr>
        <w:spacing w:after="0" w:line="179" w:lineRule="exact"/>
        <w:rPr>
          <w:rFonts w:ascii="Times New Roman" w:cs="Times New Roman" w:eastAsia="Times New Roman" w:hAnsi="Times New Roman"/>
          <w:sz w:val="18"/>
          <w:szCs w:val="18"/>
          <w:color w:val="auto"/>
        </w:rPr>
      </w:pPr>
    </w:p>
    <w:p>
      <w:pPr>
        <w:ind w:right="60" w:firstLine="142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Exchange Act, including Sections 13(k)(2) and (3), since January 1, 2021, none of Aspen or any of its Subsidiaries has made or permitted to remain outstanding any “extensions of credit” (within the meaning of Section 402 of the Sarbanes-Oxley Act) or prohibited loans to any executive officer (as defined in Rule 3b-7 under the Exchange Act) or director of Aspen.</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of the Aspen Disclosure Schedule, between December 31, 2022 and the date of this Agreement, Aspen has conducted its business only in the Ordinary Course of Business (except for the execution and performance of this Agreement and the discussions, negotiations and transactions related thereto) and there has not been any (a) Aspen Material Adverse Effect or (b) action, event or occurrence that would have required consent of the Company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3" w:lineRule="exact"/>
        <w:rPr>
          <w:sz w:val="20"/>
          <w:szCs w:val="20"/>
          <w:color w:val="auto"/>
        </w:rPr>
      </w:pPr>
    </w:p>
    <w:p>
      <w:pPr>
        <w:ind w:firstLine="991"/>
        <w:spacing w:after="0" w:line="274"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Absence of Undisclosed Liabilities</w:t>
      </w:r>
      <w:r>
        <w:rPr>
          <w:rFonts w:ascii="Times New Roman" w:cs="Times New Roman" w:eastAsia="Times New Roman" w:hAnsi="Times New Roman"/>
          <w:sz w:val="17"/>
          <w:szCs w:val="17"/>
          <w:color w:val="auto"/>
        </w:rPr>
        <w:t>. Since December 31, 2022, Aspen and its Subsidiaries do not have any Liabilities of a type required to be reflected or reserved for on a balance sheet prepared in accordance with GAAP, except for (i) Liabilities or obligations specifically disclosed, reflected or reserved against in the Aspen Balance Sheet; (ii) Liabilities incurred in the Ordinary Course of Business since the date of the Aspen Balance Sheet; (iii) Liabilities to perform under Contracts entered into by Aspen or its Subsidiaries (none of which is a Liability for breach of contract, breach of warranty, tort, infringement, violation of Law, or that relates to any lawsuit); (iv) Liabilities incurred in connection with the Contemplated Transactions; and (v) Liabilities that would not be reasonably expected to have, individually or in the aggregate, an Aspen Material Adverse Effect.</w:t>
      </w:r>
    </w:p>
    <w:p>
      <w:pPr>
        <w:spacing w:after="0" w:line="17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Each of Aspen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Aspen Balance Sheet and (b) all other tangible assets reflected in the books and records of Aspen as being owned by Aspen. All of such assets are owned or, in the case of leased assets, leased by Aspen or any of its Subsidiaries free and clear of any Encumbrances, other than Permitted Encumbrances.</w:t>
      </w:r>
    </w:p>
    <w:p>
      <w:pPr>
        <w:spacing w:after="0" w:line="183"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Neither Aspen nor any of its Subsidiaries owns or has ever owned any real property. Aspen has made available to the Company (a) an accurate and complete list of all real properties with respect to which Aspen directly or indirectly holds a valid leasehold interest as well as any other real estate that is in the possession of or leased by Aspen or any of its Subsidiaries and (b) copies of all leases under which any such real property is possessed (the “</w:t>
      </w:r>
      <w:r>
        <w:rPr>
          <w:rFonts w:ascii="Times New Roman" w:cs="Times New Roman" w:eastAsia="Times New Roman" w:hAnsi="Times New Roman"/>
          <w:sz w:val="18"/>
          <w:szCs w:val="18"/>
          <w:b w:val="1"/>
          <w:bCs w:val="1"/>
          <w:color w:val="auto"/>
        </w:rPr>
        <w:t>Aspen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6" w:name="page67"/>
    <w:bookmarkEnd w:id="6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1428"/>
        <w:spacing w:after="0" w:line="270" w:lineRule="auto"/>
        <w:tabs>
          <w:tab w:leader="none" w:pos="168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4.12(a)</w:t>
      </w:r>
      <w:r>
        <w:rPr>
          <w:rFonts w:ascii="Times New Roman" w:cs="Times New Roman" w:eastAsia="Times New Roman" w:hAnsi="Times New Roman"/>
          <w:sz w:val="17"/>
          <w:szCs w:val="17"/>
          <w:color w:val="auto"/>
        </w:rPr>
        <w:t xml:space="preserve"> of the Aspen Disclosure Schedule contains a true and complete list of all issued Patents, Marks and Copyrights included in the Aspen Intellectual Property that are issued by, registered or the subject of an application filed with, as applicable, the U.S. Patent and Trademark Office, the U.S. Copyright Office or any similar office or agency anywhere in the world (such registrations and applications, the “</w:t>
      </w:r>
      <w:r>
        <w:rPr>
          <w:rFonts w:ascii="Times New Roman" w:cs="Times New Roman" w:eastAsia="Times New Roman" w:hAnsi="Times New Roman"/>
          <w:sz w:val="17"/>
          <w:szCs w:val="17"/>
          <w:b w:val="1"/>
          <w:bCs w:val="1"/>
          <w:color w:val="auto"/>
        </w:rPr>
        <w:t>Aspen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Registered IP</w:t>
      </w:r>
      <w:r>
        <w:rPr>
          <w:rFonts w:ascii="Times New Roman" w:cs="Times New Roman" w:eastAsia="Times New Roman" w:hAnsi="Times New Roman"/>
          <w:sz w:val="17"/>
          <w:szCs w:val="17"/>
          <w:color w:val="auto"/>
        </w:rPr>
        <w:t>”), including, with respect to each such item, (i) the jurisdiction of application/registration, (ii) the application or registration number,</w:t>
      </w:r>
    </w:p>
    <w:p>
      <w:pPr>
        <w:spacing w:after="0" w:line="2" w:lineRule="exact"/>
        <w:rPr>
          <w:rFonts w:ascii="Times New Roman" w:cs="Times New Roman" w:eastAsia="Times New Roman" w:hAnsi="Times New Roman"/>
          <w:sz w:val="17"/>
          <w:szCs w:val="17"/>
          <w:color w:val="auto"/>
        </w:rPr>
      </w:pPr>
    </w:p>
    <w:p>
      <w:pPr>
        <w:ind w:left="4" w:right="220" w:hanging="4"/>
        <w:spacing w:after="0" w:line="270" w:lineRule="auto"/>
        <w:tabs>
          <w:tab w:leader="none" w:pos="3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filing, or issuance or registration, and (iv) the record owner or owners, for each such item. Each material item of Aspen Registered IP, except for Patents, is subsisting, valid and enforceable. With respect to Patents, each material item of Aspen Registered IP is subsisting and, to the Knowledge of Aspen, all issued Patents within the Aspen Registered IP are valid and enforceable. All filing, registration, maintenance, renewal and similar fees applicable to any Aspen Registered IP that are currently due have been paid, and all documents and certificates related to such items have been filed with the relevant Governmental Authority or other office or agency in the applicable jurisdictions for the purposes of filing, registering and maintaining such items, except as would not reasonably be expected to have, individually or in the aggregate, an Aspen Material Adverse Effect.</w:t>
      </w:r>
    </w:p>
    <w:p>
      <w:pPr>
        <w:spacing w:after="0" w:line="174" w:lineRule="exact"/>
        <w:rPr>
          <w:rFonts w:ascii="Times New Roman" w:cs="Times New Roman" w:eastAsia="Times New Roman" w:hAnsi="Times New Roman"/>
          <w:sz w:val="17"/>
          <w:szCs w:val="17"/>
          <w:color w:val="auto"/>
        </w:rPr>
      </w:pPr>
    </w:p>
    <w:p>
      <w:pPr>
        <w:ind w:left="4" w:right="340" w:firstLine="1428"/>
        <w:spacing w:after="0" w:line="261" w:lineRule="auto"/>
        <w:tabs>
          <w:tab w:leader="none" w:pos="16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interference, opposition, reissue, reexamination, or cancellation proceeding or other Legal Proceeding (other than routine ordinary course proceedings as part of patent prosecution) is pending or, to the Knowledge of Aspen, threatened regarding any Aspen Intellectual Property, including with respect to the scope, validity, enforceability, registration, priority, inventorship or ownership of, or rights to, any Aspen Intellectual Property.</w:t>
      </w:r>
    </w:p>
    <w:p>
      <w:pPr>
        <w:spacing w:after="0" w:line="179" w:lineRule="exact"/>
        <w:rPr>
          <w:rFonts w:ascii="Times New Roman" w:cs="Times New Roman" w:eastAsia="Times New Roman" w:hAnsi="Times New Roman"/>
          <w:sz w:val="18"/>
          <w:szCs w:val="18"/>
          <w:color w:val="auto"/>
        </w:rPr>
      </w:pPr>
    </w:p>
    <w:p>
      <w:pPr>
        <w:ind w:left="4" w:right="60" w:firstLine="1428"/>
        <w:spacing w:after="0" w:line="255" w:lineRule="auto"/>
        <w:tabs>
          <w:tab w:leader="none" w:pos="168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founders, key employees and any other employees, contractors, consultants or other personnel involved in the development of Aspen Owned Intellectual Property have signed confidentiality and invention assignment agreements or similar agreements for the transfer or assignment of such Aspen Owned Intellectual Property pursuant to which both (i) Aspen has obtained ownership of and are the exclusive owners of all right, title and interest in and to such Aspen Owned Intellectual Property, and (ii) such personnel are bound by commercially reasonable confidentiality obligations with respect to all Aspen Intellectual Property. To the Knowledge of Aspen, no such personnel are in violation of any such agreements, or of any agreements with any prior employer or other Person with respect to development of any Aspen Owned Intellectual Property, except as would not reasonably be expected to have, individually or in the aggregate, an Aspen Material Adverse Effect.</w:t>
      </w:r>
    </w:p>
    <w:p>
      <w:pPr>
        <w:spacing w:after="0" w:line="188"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Owned Intellectual Property is solely and exclusively owned by Aspen free and clear of any Encumbrance, other than Permitted Encumbrances. To the Knowledge of Aspen, except as would not reasonably be expected to have, individually or in the aggregate, an Aspen Material Adverse Effect, the Aspen Licensed Intellectual Property is in-licensed by Aspen, free and clear of any Encumbrance, other than Permitted Encumbrances. Except as would not reasonably be expected to have, individually or in the aggregate, an Aspen Material Adverse Effect, such ownership or licenses will not be affected by the execution, delivery, or performance of this Agreement or the consummation of the Transactions, and all Intellectual Property subject thereto will be owned or in-licensed by Aspen on the same terms and conditions thereafter. To the Knowledge of Aspen, Aspen owns or has a valid and enforceable license to use all material Intellectual Property necessary for, or used or held for use in, the operation of the business of Aspen as presently conducted; provided that the foregoing is not, and shall not be construed as, a representation or warranty regarding non-infringement, misappropriation or other violation by Aspen of the Intellectual Property of other Persons. To the Knowledge of Aspen, no current or former director, officer, employee or contractor of, or consultant to, Aspen owns or has any claim, right (whether or not currently exercisable) or interest (or, to the Knowledge of Aspen, has alleged that they own or have any such claim, right or interest) to or in any Aspen Intellectual Property.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7" w:name="page68"/>
    <w:bookmarkEnd w:id="67"/>
    <w:p>
      <w:pPr>
        <w:ind w:right="20" w:firstLine="1428"/>
        <w:spacing w:after="0" w:line="254"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Aspen, the operation of the business of Aspen as of the date of this Agreement does not infringe, misappropriate or otherwise violate, and as currently conducted has not infringed, misappropriated or otherwise violated, and the further research, development and commercialization of Aspen Products as currently planned by Aspen will not infringe, misappropriate or otherwise violate, any Intellectual Property owned by any other Person, except as would not reasonably be expected to have, individually or in the aggregate, an Aspen Material Adverse Effect. As of the date hereof, neither Aspen, nor, to the Knowledge of Aspen, any of the licensors of Aspen, has received any notice or claim alleging any such infringement, misappropriation or other violation, including any so-called “invitation to license” letter. As of the date hereof, no Legal Proceeding, is pending or, to the Knowledge of Aspen, has been threatened, against Aspen or such licensors relating to any infringement, misappropriation or other violation of any Intellectual Property of any other Person.</w:t>
      </w:r>
    </w:p>
    <w:p>
      <w:pPr>
        <w:spacing w:after="0" w:line="191" w:lineRule="exact"/>
        <w:rPr>
          <w:rFonts w:ascii="Times New Roman" w:cs="Times New Roman" w:eastAsia="Times New Roman" w:hAnsi="Times New Roman"/>
          <w:sz w:val="18"/>
          <w:szCs w:val="18"/>
          <w:color w:val="auto"/>
        </w:rPr>
      </w:pPr>
    </w:p>
    <w:p>
      <w:pPr>
        <w:ind w:right="80" w:firstLine="1428"/>
        <w:spacing w:after="0" w:line="261" w:lineRule="auto"/>
        <w:tabs>
          <w:tab w:leader="none" w:pos="16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Aspen nor Aspen Owned Intellectual Property is subject to any Order as of the date hereof, and neither Aspen nor, to the Knowledge of Aspen, any of its licensors has entered into or is a party to any agreement made in settlement of any pending litigation or other Legal Proceeding, which in any case restricts, impairs or relates Aspen’s to use or other exploitation in any manner of any Aspen Intellectual Property or of any other Intellectual Property owned by any other Person.</w:t>
      </w:r>
    </w:p>
    <w:p>
      <w:pPr>
        <w:spacing w:after="0" w:line="179" w:lineRule="exact"/>
        <w:rPr>
          <w:rFonts w:ascii="Times New Roman" w:cs="Times New Roman" w:eastAsia="Times New Roman" w:hAnsi="Times New Roman"/>
          <w:sz w:val="18"/>
          <w:szCs w:val="18"/>
          <w:color w:val="auto"/>
        </w:rPr>
      </w:pPr>
    </w:p>
    <w:p>
      <w:pPr>
        <w:ind w:right="120" w:firstLine="1428"/>
        <w:spacing w:after="0" w:line="261" w:lineRule="auto"/>
        <w:tabs>
          <w:tab w:leader="none" w:pos="16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Aspen, no Person is infringing, misappropriating or otherwise violating, or has infringed, misappropriated or otherwise violated, any Aspen Intellectual Property, and no Legal Proceeding has been asserted or is pending or has been threatened against any Person alleging any such infringement, misappropriation or other violation of any Aspen Intellectual Property, except as would not reasonably be expected to have, individually or in the aggregate, an Aspen Material Adverse Effect.</w:t>
      </w:r>
    </w:p>
    <w:p>
      <w:pPr>
        <w:spacing w:after="0" w:line="179" w:lineRule="exact"/>
        <w:rPr>
          <w:rFonts w:ascii="Times New Roman" w:cs="Times New Roman" w:eastAsia="Times New Roman" w:hAnsi="Times New Roman"/>
          <w:sz w:val="18"/>
          <w:szCs w:val="18"/>
          <w:color w:val="auto"/>
        </w:rPr>
      </w:pPr>
    </w:p>
    <w:p>
      <w:pPr>
        <w:ind w:firstLine="1428"/>
        <w:spacing w:after="0" w:line="261"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has taken commercially reasonable steps necessary to maintain and protect the secrecy and confidentiality (including limitations on use) of all Trade Secrets and other confidential information included in Aspen Intellectual Property and, to the Knowledge of Aspen, there has not been any unauthorized use, disclosure of or access to any such Trade Secrets or other confidential information, except as would not reasonably be expected to have, individually or in the aggregate, an Aspen Material Adverse Effect.</w:t>
      </w:r>
    </w:p>
    <w:p>
      <w:pPr>
        <w:spacing w:after="0" w:line="179" w:lineRule="exact"/>
        <w:rPr>
          <w:rFonts w:ascii="Times New Roman" w:cs="Times New Roman" w:eastAsia="Times New Roman" w:hAnsi="Times New Roman"/>
          <w:sz w:val="18"/>
          <w:szCs w:val="18"/>
          <w:color w:val="auto"/>
        </w:rPr>
      </w:pPr>
    </w:p>
    <w:p>
      <w:pPr>
        <w:ind w:firstLine="1428"/>
        <w:spacing w:after="0" w:line="256" w:lineRule="auto"/>
        <w:tabs>
          <w:tab w:leader="none" w:pos="16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4.12(i)</w:t>
      </w:r>
      <w:r>
        <w:rPr>
          <w:rFonts w:ascii="Times New Roman" w:cs="Times New Roman" w:eastAsia="Times New Roman" w:hAnsi="Times New Roman"/>
          <w:sz w:val="18"/>
          <w:szCs w:val="18"/>
          <w:color w:val="auto"/>
        </w:rPr>
        <w:t xml:space="preserve"> of Aspen Disclosure Schedule contains a true and complete list of any and all material Aspen Intellectual Property that is Government Funded IP. Aspen, and, to the Knowledge of Aspen, each of its licensors with respect to any Government Funded IP, have complied with any and all any Intellectual Property disclosure, licensing and other obligations under any applicable Aspen Contract referenced in clause (i) of the foregoing sentence, and no Governmental Authority or Governmental Authority-affiliated Entity, or university, college or other educational institution or research institute, has any right, title or interest (including any “march in” or co-ownership rights) in or to any Government Funded IP except, as would not reasonably be expected to have, individually or in the aggregate, an Aspen Material Adverse Effect.</w:t>
      </w:r>
    </w:p>
    <w:p>
      <w:pPr>
        <w:spacing w:after="0" w:line="187" w:lineRule="exact"/>
        <w:rPr>
          <w:rFonts w:ascii="Times New Roman" w:cs="Times New Roman" w:eastAsia="Times New Roman" w:hAnsi="Times New Roman"/>
          <w:sz w:val="18"/>
          <w:szCs w:val="18"/>
          <w:color w:val="auto"/>
        </w:rPr>
      </w:pPr>
    </w:p>
    <w:p>
      <w:pPr>
        <w:jc w:val="both"/>
        <w:ind w:right="200" w:firstLine="1428"/>
        <w:spacing w:after="0" w:line="261" w:lineRule="auto"/>
        <w:tabs>
          <w:tab w:leader="none" w:pos="16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Aspen, each item of Aspen Intellectual Property that is Aspen Registered IP owned by Aspen is and at all times has been filed and maintained in compliance with all applicable Law and all filings, payments, and other actions required to be made or taken to maintain such item of Aspen Registered IP in full force and effect have been made by the applicable deadline, except as would not reasonably be expected to have, individually or in the aggregate, an Aspen Material Adverse Effect.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8" w:name="page69"/>
    <w:bookmarkEnd w:id="68"/>
    <w:p>
      <w:pPr>
        <w:ind w:firstLine="1428"/>
        <w:spacing w:after="0" w:line="258" w:lineRule="auto"/>
        <w:tabs>
          <w:tab w:leader="none" w:pos="168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contained in agreements entered into in the ordinary course of business by Aspen as of the Closing Date or as disclosed in Section 4.12(k) of this Disclosure Schedule, (i) Aspen is not bound by any Aspen Contract to indemnify, defend, hold harmless, or reimburse any other Person with respect to any infringement, misappropriation, or similar claim relating to Intellectual Property that is material to Aspen, taken as a whole and (ii) Aspen has not ever assumed, or agreed to discharge or otherwise take responsibility for, any existing or potential liability of another Person for infringement, misappropriation, or violation of any material Intellectual Property right.</w:t>
      </w:r>
    </w:p>
    <w:p>
      <w:pPr>
        <w:spacing w:after="0" w:line="183" w:lineRule="exact"/>
        <w:rPr>
          <w:rFonts w:ascii="Times New Roman" w:cs="Times New Roman" w:eastAsia="Times New Roman" w:hAnsi="Times New Roman"/>
          <w:sz w:val="18"/>
          <w:szCs w:val="18"/>
          <w:color w:val="auto"/>
        </w:rPr>
      </w:pPr>
    </w:p>
    <w:p>
      <w:pPr>
        <w:ind w:right="40" w:firstLine="1428"/>
        <w:spacing w:after="0" w:line="256" w:lineRule="auto"/>
        <w:tabs>
          <w:tab w:leader="none" w:pos="16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has delivered or made available to Aspen, a complete and accurate copy of all Aspen License Agreements. With respect to each of the material Aspen License Agreements: and except as disclosed in Section 4.12(l) of the Disclosure Schedule (i) to the Knowledge of Aspen each such agreement is valid, binding on, enforceable against Aspen, in accordance with its terms, subject to the Enforceability Exceptions, (ii) Aspen has not received any written notice of termination or cancellation under such agreement, or received any written notice of breach or default under such agreement, which breach has not been cured or waived and (iii) neither Aspen nor to the Knowledge of Aspen, no other party to any such agreement, is in breach or default thereof in any material respect.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40" w:firstLine="1428"/>
        <w:spacing w:after="0" w:line="266" w:lineRule="auto"/>
        <w:tabs>
          <w:tab w:leader="none" w:pos="167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 xml:space="preserve"> of the Aspen Disclosure Schedule identifies each of the following types of Aspen Contracts that is in effect as of the date of this Agreement, other than Aspen Employee Plans, the definitive agreements in respect of the Contemplated Transactions and Contracts filed as exhibits to the Aspen SEC Documents (each, an “</w:t>
      </w:r>
      <w:r>
        <w:rPr>
          <w:rFonts w:ascii="Times New Roman" w:cs="Times New Roman" w:eastAsia="Times New Roman" w:hAnsi="Times New Roman"/>
          <w:sz w:val="18"/>
          <w:szCs w:val="18"/>
          <w:b w:val="1"/>
          <w:bCs w:val="1"/>
          <w:color w:val="auto"/>
        </w:rPr>
        <w:t>Aspen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Aspen Material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“material contract” (as such term is defined in Item 601(b)(10) of Regulation S-K of the Exchange Act);</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any material bonus, deferred compensation, or severance plans or arrangements;</w:t>
      </w:r>
    </w:p>
    <w:p>
      <w:pPr>
        <w:spacing w:after="0" w:line="117" w:lineRule="exact"/>
        <w:rPr>
          <w:rFonts w:ascii="Times New Roman" w:cs="Times New Roman" w:eastAsia="Times New Roman" w:hAnsi="Times New Roman"/>
          <w:sz w:val="18"/>
          <w:szCs w:val="18"/>
          <w:color w:val="auto"/>
        </w:rPr>
      </w:pPr>
    </w:p>
    <w:p>
      <w:pPr>
        <w:ind w:left="440" w:right="180" w:firstLine="1371"/>
        <w:spacing w:after="0" w:line="282" w:lineRule="auto"/>
        <w:tabs>
          <w:tab w:leader="none" w:pos="213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evidencing a commitment by Aspen or any of its Subsidiaries to make a future capital expenditure in excess of $250,000 that is not terminable by such Entity upon notice of sixty (60) days or less without penalty or liability;</w:t>
      </w:r>
    </w:p>
    <w:p>
      <w:pPr>
        <w:spacing w:after="0" w:line="53" w:lineRule="exact"/>
        <w:rPr>
          <w:rFonts w:ascii="Times New Roman" w:cs="Times New Roman" w:eastAsia="Times New Roman" w:hAnsi="Times New Roman"/>
          <w:sz w:val="18"/>
          <w:szCs w:val="18"/>
          <w:color w:val="auto"/>
        </w:rPr>
      </w:pPr>
    </w:p>
    <w:p>
      <w:pPr>
        <w:ind w:left="440" w:right="80" w:firstLine="1371"/>
        <w:spacing w:after="0" w:line="258" w:lineRule="auto"/>
        <w:tabs>
          <w:tab w:leader="none" w:pos="211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requires payments by Aspen or any of its Subsidiaries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Aspen or any of its Subsidiaries on thirty (30) calendar days’ or less notice without liability, except to the extent general principles of wrongful termination Law may limit Aspen’s, or such successor’s ability to terminate employees at will;</w:t>
      </w:r>
    </w:p>
    <w:p>
      <w:pPr>
        <w:spacing w:after="0" w:line="75" w:lineRule="exact"/>
        <w:rPr>
          <w:rFonts w:ascii="Times New Roman" w:cs="Times New Roman" w:eastAsia="Times New Roman" w:hAnsi="Times New Roman"/>
          <w:sz w:val="18"/>
          <w:szCs w:val="18"/>
          <w:color w:val="auto"/>
        </w:rPr>
      </w:pPr>
    </w:p>
    <w:p>
      <w:pPr>
        <w:ind w:left="440" w:firstLine="1371"/>
        <w:spacing w:after="0" w:line="255" w:lineRule="auto"/>
        <w:tabs>
          <w:tab w:leader="none" w:pos="207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includes (1) any “most favored nations” terms or conditions, including with respect to pricing, (2) containing exclusivity obligations or otherwise limiting the freedom or right of Aspen or any of its Subsidiaries to sell, distribute or manufacture any products or services for another person, or (3) any rights of first refusal, rights of first negotiation or similar obligations or restrictions, including such rights which provide a right of first negotiation or refusal to purchase, lease, sublease, license, sublicense, use, possess or occupy any securities, assets (including Intellectual Property) or other interest of Aspen or any of its Subsidiaries or (B) containing any provision or covenant that materially limits, or purports to materially limit, the ability of Aspen or any of its Subsidiaries to engage in any line of business (whether generally or in any geographic area) or compete with any Person or in any line of business or geographic area;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9" w:name="page70"/>
    <w:bookmarkEnd w:id="69"/>
    <w:p>
      <w:pPr>
        <w:ind w:right="400" w:firstLine="1371"/>
        <w:spacing w:after="0" w:line="266" w:lineRule="auto"/>
        <w:tabs>
          <w:tab w:leader="none" w:pos="16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or evidencing indebtedness for borrowed money or any guarantee of indebtedness for borrowed money by Aspen or any of its Subsidiaries in excess of $250,000 (excluding loans by Aspen to wholly-owned Subsidiaries in the Ordinary Course of Business);</w:t>
      </w:r>
    </w:p>
    <w:p>
      <w:pPr>
        <w:spacing w:after="0" w:line="67" w:lineRule="exact"/>
        <w:rPr>
          <w:rFonts w:ascii="Times New Roman" w:cs="Times New Roman" w:eastAsia="Times New Roman" w:hAnsi="Times New Roman"/>
          <w:sz w:val="18"/>
          <w:szCs w:val="18"/>
          <w:color w:val="auto"/>
        </w:rPr>
      </w:pPr>
    </w:p>
    <w:p>
      <w:pPr>
        <w:ind w:right="200" w:firstLine="1371"/>
        <w:spacing w:after="0" w:line="282" w:lineRule="auto"/>
        <w:tabs>
          <w:tab w:leader="none" w:pos="172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or governing the formation of any joint venture, partnership, strategic alliance, research and development collaboration, or similar arrangement;</w:t>
      </w:r>
    </w:p>
    <w:p>
      <w:pPr>
        <w:spacing w:after="0" w:line="53" w:lineRule="exact"/>
        <w:rPr>
          <w:rFonts w:ascii="Times New Roman" w:cs="Times New Roman" w:eastAsia="Times New Roman" w:hAnsi="Times New Roman"/>
          <w:sz w:val="18"/>
          <w:szCs w:val="18"/>
          <w:color w:val="auto"/>
        </w:rPr>
      </w:pPr>
    </w:p>
    <w:p>
      <w:pPr>
        <w:ind w:right="580" w:firstLine="1371"/>
        <w:spacing w:after="0" w:line="282" w:lineRule="auto"/>
        <w:tabs>
          <w:tab w:leader="none" w:pos="17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uncapped indemnification or guaranty to a third party, in each case except (A) as entered into in the Ordinary Course of Business and (B) for any Aspen Outbound License;</w:t>
      </w:r>
    </w:p>
    <w:p>
      <w:pPr>
        <w:spacing w:after="0" w:line="53" w:lineRule="exact"/>
        <w:rPr>
          <w:rFonts w:ascii="Times New Roman" w:cs="Times New Roman" w:eastAsia="Times New Roman" w:hAnsi="Times New Roman"/>
          <w:sz w:val="18"/>
          <w:szCs w:val="18"/>
          <w:color w:val="auto"/>
        </w:rPr>
      </w:pPr>
    </w:p>
    <w:p>
      <w:pPr>
        <w:ind w:right="180" w:firstLine="1371"/>
        <w:spacing w:after="0" w:line="266" w:lineRule="auto"/>
        <w:tabs>
          <w:tab w:leader="none" w:pos="16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which any Person granted Aspen an exclusive license under any Intellectual Property, or (B) pursuant to which Aspen or any of its Subsidiaries granted any Person an exclusive license under any Aspen Intellectual Property (“</w:t>
      </w:r>
      <w:r>
        <w:rPr>
          <w:rFonts w:ascii="Times New Roman" w:cs="Times New Roman" w:eastAsia="Times New Roman" w:hAnsi="Times New Roman"/>
          <w:sz w:val="18"/>
          <w:szCs w:val="18"/>
          <w:b w:val="1"/>
          <w:bCs w:val="1"/>
          <w:color w:val="auto"/>
        </w:rPr>
        <w:t>Aspen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right="20" w:firstLine="1371"/>
        <w:spacing w:after="0" w:line="266" w:lineRule="auto"/>
        <w:tabs>
          <w:tab w:leader="none" w:pos="16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continuing obligations or interests involving (A) “milestone” or other similar contingent payments, including upon the achievement of development, regulatory or commercial milestones, or (B) payment of royalties or other amounts calculated based upon sales, revenue, income or similar measure of Aspen or any of its Subsidiaries;</w:t>
      </w:r>
    </w:p>
    <w:p>
      <w:pPr>
        <w:spacing w:after="0" w:line="67" w:lineRule="exact"/>
        <w:rPr>
          <w:rFonts w:ascii="Times New Roman" w:cs="Times New Roman" w:eastAsia="Times New Roman" w:hAnsi="Times New Roman"/>
          <w:sz w:val="18"/>
          <w:szCs w:val="18"/>
          <w:color w:val="auto"/>
        </w:rPr>
      </w:pPr>
    </w:p>
    <w:p>
      <w:pPr>
        <w:jc w:val="both"/>
        <w:ind w:right="360" w:firstLine="1371"/>
        <w:spacing w:after="0" w:line="266" w:lineRule="auto"/>
        <w:tabs>
          <w:tab w:leader="none" w:pos="16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conciliation or similar Contract with or approved by any Governmental Authority (A) pursuant to which Aspen or any of its Subsidiaries will be required after the date of this Agreement to pay any monetary obligations or (B) that contains material obligations or limitations on the conduct of Aspen or any of its Subsidiaries (other than customary confidentiality obligations);</w:t>
      </w:r>
    </w:p>
    <w:p>
      <w:pPr>
        <w:spacing w:after="0" w:line="67" w:lineRule="exact"/>
        <w:rPr>
          <w:rFonts w:ascii="Times New Roman" w:cs="Times New Roman" w:eastAsia="Times New Roman" w:hAnsi="Times New Roman"/>
          <w:sz w:val="18"/>
          <w:szCs w:val="18"/>
          <w:color w:val="auto"/>
        </w:rPr>
      </w:pPr>
    </w:p>
    <w:p>
      <w:pPr>
        <w:ind w:right="220" w:firstLine="1371"/>
        <w:spacing w:after="0" w:line="282" w:lineRule="auto"/>
        <w:tabs>
          <w:tab w:leader="none" w:pos="172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Governmental Authority, except for materials transfer agreements, agreements with academic institutions and non-disclosure agreements entered into in the Ordinary Course of Business;</w:t>
      </w:r>
    </w:p>
    <w:p>
      <w:pPr>
        <w:spacing w:after="0" w:line="53" w:lineRule="exact"/>
        <w:rPr>
          <w:rFonts w:ascii="Times New Roman" w:cs="Times New Roman" w:eastAsia="Times New Roman" w:hAnsi="Times New Roman"/>
          <w:sz w:val="18"/>
          <w:szCs w:val="18"/>
          <w:color w:val="auto"/>
        </w:rPr>
      </w:pPr>
    </w:p>
    <w:p>
      <w:pPr>
        <w:ind w:left="1780" w:hanging="409"/>
        <w:spacing w:after="0"/>
        <w:tabs>
          <w:tab w:leader="none" w:pos="1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clinical trial agreement, clinical study agreement or similar agreement;</w:t>
      </w:r>
    </w:p>
    <w:p>
      <w:pPr>
        <w:spacing w:after="0" w:line="117" w:lineRule="exact"/>
        <w:rPr>
          <w:rFonts w:ascii="Times New Roman" w:cs="Times New Roman" w:eastAsia="Times New Roman" w:hAnsi="Times New Roman"/>
          <w:sz w:val="18"/>
          <w:szCs w:val="18"/>
          <w:color w:val="auto"/>
        </w:rPr>
      </w:pPr>
    </w:p>
    <w:p>
      <w:pPr>
        <w:ind w:left="1760" w:hanging="389"/>
        <w:spacing w:after="0"/>
        <w:tabs>
          <w:tab w:leader="none" w:pos="1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is a collective bargaining agreement or (B) with any labor organization;</w:t>
      </w:r>
    </w:p>
    <w:p>
      <w:pPr>
        <w:spacing w:after="0" w:line="117" w:lineRule="exact"/>
        <w:rPr>
          <w:rFonts w:ascii="Times New Roman" w:cs="Times New Roman" w:eastAsia="Times New Roman" w:hAnsi="Times New Roman"/>
          <w:sz w:val="18"/>
          <w:szCs w:val="18"/>
          <w:color w:val="auto"/>
        </w:rPr>
      </w:pPr>
    </w:p>
    <w:p>
      <w:pPr>
        <w:ind w:firstLine="1371"/>
        <w:spacing w:after="0" w:line="266" w:lineRule="auto"/>
        <w:tabs>
          <w:tab w:leader="none" w:pos="17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prohibits the payment of dividends or distributions in respect of the capital stock of Aspen or any of its Subsidiaries, the pledging of the capital stock or other equity interests of Aspen or any of its Subsidiaries or the issuance of any guaranty by Aspen or any of its Subsidiaries;</w:t>
      </w:r>
    </w:p>
    <w:p>
      <w:pPr>
        <w:spacing w:after="0" w:line="67" w:lineRule="exact"/>
        <w:rPr>
          <w:rFonts w:ascii="Times New Roman" w:cs="Times New Roman" w:eastAsia="Times New Roman" w:hAnsi="Times New Roman"/>
          <w:sz w:val="18"/>
          <w:szCs w:val="18"/>
          <w:color w:val="auto"/>
        </w:rPr>
      </w:pPr>
    </w:p>
    <w:p>
      <w:pPr>
        <w:ind w:left="1760" w:hanging="389"/>
        <w:spacing w:after="0"/>
        <w:tabs>
          <w:tab w:leader="none" w:pos="1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the disposition or acquisition of material assets or any ownership interest in any Entity;</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00"/>
          </w:cols>
          <w:pgMar w:left="880" w:top="270" w:right="519" w:bottom="1440" w:gutter="0" w:footer="0" w:header="0"/>
        </w:sectPr>
      </w:pPr>
    </w:p>
    <w:bookmarkStart w:id="70" w:name="page71"/>
    <w:bookmarkEnd w:id="70"/>
    <w:p>
      <w:pPr>
        <w:ind w:left="400" w:right="140" w:firstLine="1371"/>
        <w:spacing w:after="0" w:line="272" w:lineRule="auto"/>
        <w:tabs>
          <w:tab w:leader="none" w:pos="2219"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requiring payment by or to Aspen or any of its Subsidiaries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Aspen or any of its Subsidiaries,</w:t>
      </w:r>
    </w:p>
    <w:p>
      <w:pPr>
        <w:spacing w:after="0" w:line="1" w:lineRule="exact"/>
        <w:rPr>
          <w:rFonts w:ascii="Times New Roman" w:cs="Times New Roman" w:eastAsia="Times New Roman" w:hAnsi="Times New Roman"/>
          <w:sz w:val="17"/>
          <w:szCs w:val="17"/>
          <w:color w:val="auto"/>
        </w:rPr>
      </w:pPr>
    </w:p>
    <w:p>
      <w:pPr>
        <w:ind w:left="400" w:right="20" w:hanging="4"/>
        <w:spacing w:after="0" w:line="252"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 distributor, joint marketing, alliance, joint venture, cooperation, development or other agreement currently in force under which Aspen or any of its Subsidiaries has continuing obligations to develop or market any product, technology or service, or any agreement pursuant to which Aspen or any of its Subsidiaries has continuing obligations to develop any Intellectual Property that will not be owned, in whole or in part, by Aspen or (D) any Contract to license any patent, trademark registration, service mark registration, trade name or copyright registration to or from any third party to manufacture or produce any product, service or technology of Aspen or any of its Subsidiaries or any Contract to sell, distribute or commercialize any products or service of Aspen or any of its Subsidiaries, in each case, except for Aspen Contracts entered into in the Ordinary Course of Business;</w:t>
      </w:r>
    </w:p>
    <w:p>
      <w:pPr>
        <w:spacing w:after="0" w:line="80" w:lineRule="exact"/>
        <w:rPr>
          <w:rFonts w:ascii="Times New Roman" w:cs="Times New Roman" w:eastAsia="Times New Roman" w:hAnsi="Times New Roman"/>
          <w:sz w:val="18"/>
          <w:szCs w:val="18"/>
          <w:color w:val="auto"/>
        </w:rPr>
      </w:pPr>
    </w:p>
    <w:p>
      <w:pPr>
        <w:ind w:left="400" w:right="100" w:firstLine="1371"/>
        <w:spacing w:after="0" w:line="282" w:lineRule="auto"/>
        <w:tabs>
          <w:tab w:leader="none" w:pos="226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Person, including any financial advisor, broker, finder, investment banker or other Person, providing advisory services to Aspen or any of its Subsidiaries in connection with the Contemplated Transactions; or</w:t>
      </w:r>
    </w:p>
    <w:p>
      <w:pPr>
        <w:spacing w:after="0" w:line="53" w:lineRule="exact"/>
        <w:rPr>
          <w:rFonts w:ascii="Times New Roman" w:cs="Times New Roman" w:eastAsia="Times New Roman" w:hAnsi="Times New Roman"/>
          <w:sz w:val="18"/>
          <w:szCs w:val="18"/>
          <w:color w:val="auto"/>
        </w:rPr>
      </w:pPr>
    </w:p>
    <w:p>
      <w:pPr>
        <w:ind w:left="400" w:firstLine="1371"/>
        <w:spacing w:after="0" w:line="266" w:lineRule="auto"/>
        <w:tabs>
          <w:tab w:leader="none" w:pos="2169"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entered into since January 1, 2021 and (A) was entered into with any present or former officer, director or employee of Aspen or any of its Subsidiaries (other than indemnification agreements or any Employee Plans entered into in the ordinary course of business) or (B) is the type of Contract that would be required to be disclosed under Item 404 of Regulation S-K of the Exchange Act.</w:t>
      </w:r>
    </w:p>
    <w:p>
      <w:pPr>
        <w:spacing w:after="0" w:line="175" w:lineRule="exact"/>
        <w:rPr>
          <w:rFonts w:ascii="Times New Roman" w:cs="Times New Roman" w:eastAsia="Times New Roman" w:hAnsi="Times New Roman"/>
          <w:sz w:val="18"/>
          <w:szCs w:val="18"/>
          <w:color w:val="auto"/>
        </w:rPr>
      </w:pPr>
    </w:p>
    <w:p>
      <w:pPr>
        <w:ind w:left="-40" w:right="20" w:firstLine="1428"/>
        <w:spacing w:after="0" w:line="254" w:lineRule="auto"/>
        <w:tabs>
          <w:tab w:leader="none" w:pos="164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has delivered or made available to the Company accurate and complete copies of all Aspen Material Contracts, including all amendments thereto. There are no Aspen Material Contracts that are not in written form. Aspen has not nor, to Aspen’s Knowledge as of the date of this Agreement, has any other party to an Aspen Material Contract, breached, violated or defaulted under, or received notice that it breached, violated or defaulted under, any of the terms or conditions of any Aspen Material Contract in such manner as would permit any other party to cancel or terminate any such Aspen Material Contract, or would permit any other party to seek damages which would reasonably be expected to have an Aspen Material Adverse Effect. As to Aspen and its Subsidiaries, as of the date of this Agreement, each Aspen Material Contract is valid, binding, enforceable and in full force and effect, subject to the Enforceability Exceptions. No Person is renegotiating, or has a right pursuant to the terms of any Aspen Material Contract to change any material amount paid or payable to Aspen under any Aspen Material Contract or any other material term or provision of any Aspen Material Contract.</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428"/>
        <w:spacing w:after="0" w:line="261" w:lineRule="auto"/>
        <w:tabs>
          <w:tab w:leader="none" w:pos="16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Aspen and its Subsidiaries is, and since January 1, 2021, has been in compliance in all material respects with all Laws applicable to Aspen and its Subsidiaries, and, since January 1, 2021, Aspen has not received any written notice alleging any actual or suspected material violation with respect to any applicable Laws, or been charged with any unresolved material violation of any applicable Law, except in each case as has not had, and would not reasonably be expected to have, individually or in the aggregate, an Aspen Material Adverse Effect.</w:t>
      </w:r>
    </w:p>
    <w:p>
      <w:pPr>
        <w:spacing w:after="0" w:line="179" w:lineRule="exact"/>
        <w:rPr>
          <w:rFonts w:ascii="Times New Roman" w:cs="Times New Roman" w:eastAsia="Times New Roman" w:hAnsi="Times New Roman"/>
          <w:sz w:val="18"/>
          <w:szCs w:val="18"/>
          <w:color w:val="auto"/>
        </w:rPr>
      </w:pPr>
    </w:p>
    <w:p>
      <w:pPr>
        <w:ind w:left="-40" w:firstLine="1428"/>
        <w:spacing w:after="0" w:line="258" w:lineRule="auto"/>
        <w:tabs>
          <w:tab w:leader="none" w:pos="16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Aspen and its Subsidiaries holds, and since January 1, 2021 has held, all Governmental Authorizations necessary for Aspen and its Subsidiaries to lawfully own, lease or otherwise hold and operate its properties and assets and conduct its business in the manner in which its business is currently being conducted, except where failure to hold such Governmental Authorizations is not, and would not reasonably be expected to be, individually or in the aggregate, material to Aspen and its Subsidiaries, taken as a whole. The Governmental Authorizations held by Aspen and its Subsidiaries 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480" w:top="270" w:right="499" w:bottom="1440" w:gutter="0" w:footer="0" w:header="0"/>
        </w:sectPr>
      </w:pPr>
    </w:p>
    <w:bookmarkStart w:id="71" w:name="page72"/>
    <w:bookmarkEnd w:id="71"/>
    <w:p>
      <w:pPr>
        <w:ind w:left="4" w:hanging="4"/>
        <w:spacing w:after="0" w:line="258" w:lineRule="auto"/>
        <w:tabs>
          <w:tab w:leader="none" w:pos="2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valid and in full force and effect and (ii) are not subject to any administrative or judicial proceeding that would reasonably be expected to result in any termination, suspension, revocation or nonrenewal thereof (and, to the Knowledge of Aspen, no such termination, suspension, revocation or nonrenewal has been otherwise threatened in writing), and Aspen and its Subsidiaries are in compliance with the terms and requirements thereof, except in the case of each of clauses (i) and (ii) as would not reasonably be expected to be, individually or in the aggregate, material to Aspen and its Subsidiaries, taken as a whole.</w:t>
      </w:r>
    </w:p>
    <w:p>
      <w:pPr>
        <w:spacing w:after="0" w:line="183" w:lineRule="exact"/>
        <w:rPr>
          <w:rFonts w:ascii="Times New Roman" w:cs="Times New Roman" w:eastAsia="Times New Roman" w:hAnsi="Times New Roman"/>
          <w:sz w:val="18"/>
          <w:szCs w:val="18"/>
          <w:color w:val="auto"/>
        </w:rPr>
      </w:pPr>
    </w:p>
    <w:p>
      <w:pPr>
        <w:ind w:left="4" w:right="80" w:firstLine="1428"/>
        <w:spacing w:after="0" w:line="253" w:lineRule="auto"/>
        <w:tabs>
          <w:tab w:leader="none" w:pos="168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Aspen Products, since January 1, 2021, have been, developed, studied, tested, manufactured, labeled, distributed and stored in compliance with all applicable Laws pertaining to preclinical- and clinical-stage product candidates, including those requirements relating to current Good Manufacturing Practices, Good Laboratory Practices, and Good Clinical Practices, and any equivalent non-U.S. Laws, except as would not reasonably be expected to have, individually or in the aggregate, an Aspen Material Adverse Effect. As of the date hereof, neither Aspen nor its Subsidiaries nor, to the Knowledge of Aspen, any Collaboration Partner has received any written notices or other correspondence from any Drug Governmental Authority or any institutional review board or ethics committee with respect to any ongoing clinical or preclinical studies or trials</w:t>
      </w:r>
    </w:p>
    <w:p>
      <w:pPr>
        <w:spacing w:after="0" w:line="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 clinical hold order on any such studies or trials or (ii) otherwise requiring the delay, termination, or suspension of such studies or trials.</w:t>
      </w:r>
    </w:p>
    <w:p>
      <w:pPr>
        <w:spacing w:after="0" w:line="9" w:lineRule="exact"/>
        <w:rPr>
          <w:rFonts w:ascii="Times New Roman" w:cs="Times New Roman" w:eastAsia="Times New Roman" w:hAnsi="Times New Roman"/>
          <w:sz w:val="18"/>
          <w:szCs w:val="18"/>
          <w:color w:val="auto"/>
        </w:rPr>
      </w:pPr>
    </w:p>
    <w:p>
      <w:pPr>
        <w:ind w:left="4"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neither Aspen nor its Subsidiaries nor, to the Knowledge of Aspen, any Collaboration Partner has received any Form FDA 483, warning letter, notice of violation, or other written administrative, regulatory or enforcement notice from the FDA or any other Drug Governmental Authority related to the Aspen Products.</w:t>
      </w:r>
    </w:p>
    <w:p>
      <w:pPr>
        <w:spacing w:after="0" w:line="185"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69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and its Subsidiaries have filed with the applicable Drug Governmental Authorities all required material Healthcare Submissions with respect to the Aspen Products. All filings for Aspen Governmental Authorizations and Healthcare Submissions were complete and accurate in all material respects and in material compliance with applicable Laws and Orders when filed, or were subsequently corrected or completed by a subsequent filing made prior to the date hereof. No deficiencies have been asserted in writing by any applicable Drug Governmental Authority to Aspen and its Subsidiaries with respect to any Healthcare Submission, except as are not, and would not reasonably be expected to be, individually or in the aggregate, material to Aspen and its Subsidiaries, taken as a whole. </w:t>
      </w:r>
    </w:p>
    <w:p>
      <w:pPr>
        <w:spacing w:after="0" w:line="187"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8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neither Aspen nor its Subsidiaries, nor any authorized person acting on their behalf, has (i) made an untrue statement of a material fact or a fraudulent statement to the FDA or any other Drug Governmental Authority, (ii) failed to disclose a material fact required to be disclosed to the FDA or any other Drug Governmental Authority or (iii) committed any act, made any statement or failed to make a statement to the FDA or any other Drug Governmental Authority, in each such case, that, at the time such statement was made or such disclosure or statement was not made, would reasonably be expected to provide a basis for the FDA to invoke its policy respecting “Fraud, Untrue Statements of Material Facts, Bribery, and Illegal Gratuities,” set forth in 56 Fed. Reg. 46191 (September 10, 1991) or for any Governmental Authority to invoke any similar policy, except for any act or statement or failure to make a statement that has not had, and would not reasonably be expected to have, individually or in the aggregate, an Aspen Material Adverse Effect.</w:t>
      </w:r>
    </w:p>
    <w:p>
      <w:pPr>
        <w:spacing w:after="0" w:line="191" w:lineRule="exact"/>
        <w:rPr>
          <w:rFonts w:ascii="Times New Roman" w:cs="Times New Roman" w:eastAsia="Times New Roman" w:hAnsi="Times New Roman"/>
          <w:sz w:val="18"/>
          <w:szCs w:val="18"/>
          <w:color w:val="auto"/>
        </w:rPr>
      </w:pPr>
    </w:p>
    <w:p>
      <w:pPr>
        <w:ind w:left="4" w:right="20" w:firstLine="1428"/>
        <w:spacing w:after="0" w:line="255" w:lineRule="auto"/>
        <w:tabs>
          <w:tab w:leader="none" w:pos="166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Aspen nor its Subsidiaries, nor any director, officer or employee of Aspen or its Subsidiaries (acting in the capacity of a director, officer or employee of Aspen or its Subsidiaries) or, to the Knowledge of Aspen, any representative or agent of Aspen or its Subsidiaries (acting in the capacity of a representative or agent of Aspen or its Subsidiaries), has been: (i) debarred under 21 U.S.C. § 335a or any similar applicable Law; (ii) excluded under 42 U.S.C. §§ 1320a-7 or 1320a-7a or any similar applicable Law, including persons identified on the HHS/OIG List of Excluded Individuals/Entities; (iii) suspended or otherwise declared ineligible for U.S. or non-U.S. federal, state, provincial or other healthcare program participation, including persons identified on the General Services Administration’s List of Parties Excluded from Federal Programs; (iv) convicted of any crime or engaged in any conduct that</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4"/>
          </w:cols>
          <w:pgMar w:left="436" w:top="270" w:right="499" w:bottom="1440" w:gutter="0" w:footer="0" w:header="0"/>
        </w:sectPr>
      </w:pPr>
    </w:p>
    <w:bookmarkStart w:id="72" w:name="page73"/>
    <w:bookmarkEnd w:id="7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reasonably be expected to result in debarment, exclusion or suspension as described in the foregoing clauses (i), (ii) or (iii); (v) declared ineligible for awards of contracts by any U.S. or non-U.S. federal, state, provincial or other agency; (vi) disqualified as a clinical investigator by the FDA or any other Drug Governmental Authority; or (vii) convicted of any offense related to any U.S. or non-U.S. federal, state, provincial or other healthcare program.</w:t>
      </w:r>
    </w:p>
    <w:p>
      <w:pPr>
        <w:spacing w:after="0" w:line="180" w:lineRule="exact"/>
        <w:rPr>
          <w:sz w:val="20"/>
          <w:szCs w:val="20"/>
          <w:color w:val="auto"/>
        </w:rPr>
      </w:pPr>
    </w:p>
    <w:p>
      <w:pPr>
        <w:ind w:right="40" w:firstLine="1428"/>
        <w:spacing w:after="0" w:line="253" w:lineRule="auto"/>
        <w:tabs>
          <w:tab w:leader="none" w:pos="16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Aspen Product for which Aspen has withdrawn and/or terminated the IND and/or CTA, as applicable, and excluding any compassionate use/named patient activities not sponsored by Aspen, Aspen has made available to the Company complete and accurate copies of (i) each investigational new drug application and all material correspondence relating to clinical trial applications submitted to the FDA or any other Drug Governmental Authority by or on behalf of Aspen, including any supplements or amendments thereto, relating to any Aspen Product, (ii) all final preclinical study and clinical trial results or reports relating to any Aspen Product, (iii) all documents in the possession of Aspen or its Subsidiaries related to inspections by any Drug Governmental Authority, in each case relating to any Aspen Product, (iv) all material information relating to adverse drug experiences, events or reactions or other safety information obtained or otherwise received by Aspen relating to any Aspen Product, and (v) clinical trial databases, clinical trial master files, and statistical programs for ongoing and completed clinical trials and studies in the possession of Aspen or its Subsidiaries or, to the Knowledge of Aspen, in a Collaboration Partner’s possession, relating to any Aspen Product. Aspen has a complete log of the material correspondence described in clause (i) of this section, except as has not been, and would not reasonably be expected to be, individually or in the aggregate, material to Aspen and its Subsidiaries, taken as a whole.</w:t>
      </w:r>
    </w:p>
    <w:p>
      <w:pPr>
        <w:spacing w:after="0" w:line="191"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Aspen nor any of its Subsidiaries has any current or future obligation or requirement to issue any safety reports to the FDA or any other Drug Governmental Authority on any matter, including with respect to any investigational new drug application (IND) or clinical trial application (CTA), including with respect to any Aspen Product, and any such prior obligation or requirement has either been terminated by the FDA or other applicable Drug Governmental Authority or has been transferred to a third party without any further requirement on the part of Aspen in respect of such drug safety reporting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61" w:lineRule="auto"/>
        <w:tabs>
          <w:tab w:leader="none" w:pos="16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xml:space="preserve"> of the Aspen Disclosure Schedule, there is no pending Legal Proceeding and, to the Knowledge of Aspen, no Person has threatened in writing to commence any Legal Proceeding: (i) that involves Aspen or any of its Subsidiaries or any Aspen Associate (in his or her capacity as such) or any of the material assets owned or used by Aspen or any of its Subsidiaries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right="200" w:firstLine="1428"/>
        <w:spacing w:after="0" w:line="261" w:lineRule="auto"/>
        <w:tabs>
          <w:tab w:leader="none" w:pos="16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Aspen or any of its Subsidiaries, or any of the material assets owned or used by Aspen or any of its Subsidiaries is subject. To the Knowledge of Aspen, no officer or other Aspen Key Employee or any of its Subsidiaries is subject to any Order that prohibits such officer or employee from engaging in or continuing any conduct, activity or practice relating to the business of Aspen or any of its Subsidiaries or to any material assets owned or used by Aspen or any of its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3" w:name="page74"/>
    <w:bookmarkEnd w:id="73"/>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428"/>
        <w:spacing w:after="0" w:line="254" w:lineRule="auto"/>
        <w:tabs>
          <w:tab w:leader="none" w:pos="16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Aspen and its Subsidiaries have filed with the appropriate Governmental Authority all income and other material Tax Returns that are required to be filed by it and such Tax Returns are true, correct and complete in all material respects. All income and other material Taxes due and owing by or with respect to Aspen and its Subsidiaries have been paid regardless of whether such Taxes have been shown as due and payable on any Tax Return. Aspen and its Subsidiaries have established on their relevant books and records, in accordance with GAAP, reserves that are adequate for the payment of any income or other material Taxes not yet due and payable. None of Aspen and its Subsidiaries currently is the beneficiary of any extension of time within which to file any income or other material Tax Return, other than customary extensions that have been obtained consistent with past practice. There are no Encumbrances on any of the assets of Aspen and its Subsidiaries that arose in connection with any failure to pay any material Tax, other than Permitted Encumbrances.</w:t>
      </w:r>
    </w:p>
    <w:p>
      <w:pPr>
        <w:spacing w:after="0" w:line="19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Aspen and its Subsidiaries has executed any power of attorney with respect to Taxes which will continue in effect after the Closing other than any customary powers of attorney entered into with the Company’s Tax Return preparer or payroll provider solely for the purpose of filing Tax Returns on behalf of the Company.</w:t>
      </w:r>
    </w:p>
    <w:p>
      <w:pPr>
        <w:spacing w:after="0" w:line="175" w:lineRule="exact"/>
        <w:rPr>
          <w:rFonts w:ascii="Times New Roman" w:cs="Times New Roman" w:eastAsia="Times New Roman" w:hAnsi="Times New Roman"/>
          <w:sz w:val="18"/>
          <w:szCs w:val="18"/>
          <w:color w:val="auto"/>
        </w:rPr>
      </w:pPr>
    </w:p>
    <w:p>
      <w:pPr>
        <w:ind w:left="-20" w:right="100" w:firstLine="1428"/>
        <w:spacing w:after="0" w:line="255" w:lineRule="auto"/>
        <w:tabs>
          <w:tab w:leader="none" w:pos="16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Aspen and its Subsidiaries, taken as a whole, Aspen and its Subsidiaries have: (i) complied with all applicable Laws relating to the payment, reporting and withholding (including any amount not withheld because of exemption or similar circumstance) of Taxes; (ii) within the manner prescribed by applicable Law, remitted to the proper Governmental Authority (or is properly holding for such remittance) all amounts required to be so withheld and remitted in connection with any amounts paid or owing to any employee, independent contractor, creditor, member, or other third party; (iii) properly collected and remitted sales, value added, and similar Taxes with respect to sales made to, or purchases made by, its customers or users; and (iv) as applicable, received and retained the appropriate certification or similar documentation to establish an exemption from withholding.</w:t>
      </w:r>
    </w:p>
    <w:p>
      <w:pPr>
        <w:spacing w:after="0" w:line="188" w:lineRule="exact"/>
        <w:rPr>
          <w:rFonts w:ascii="Times New Roman" w:cs="Times New Roman" w:eastAsia="Times New Roman" w:hAnsi="Times New Roman"/>
          <w:sz w:val="18"/>
          <w:szCs w:val="18"/>
          <w:color w:val="auto"/>
        </w:rPr>
      </w:pPr>
    </w:p>
    <w:p>
      <w:pPr>
        <w:jc w:val="both"/>
        <w:ind w:left="-20" w:right="40" w:firstLine="1428"/>
        <w:spacing w:after="0" w:line="261" w:lineRule="auto"/>
        <w:tabs>
          <w:tab w:leader="none" w:pos="16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to Aspen and its Subsidiaries, taken as a whole, there is no dispute, audits, examinations, assessments or other actions concerning any Tax liability of Aspen and its Subsidiaries pending or, to the Knowledge of Aspen, threatened by any Governmental Authority against, or with respect to, Aspen and its Subsidiaries that remains unpaid, and none of Aspen and its Subsidiaries has received written notice of any threatened audits, examinations or assessments relating to any Taxes.</w:t>
      </w:r>
    </w:p>
    <w:p>
      <w:pPr>
        <w:spacing w:after="0" w:line="179" w:lineRule="exact"/>
        <w:rPr>
          <w:rFonts w:ascii="Times New Roman" w:cs="Times New Roman" w:eastAsia="Times New Roman" w:hAnsi="Times New Roman"/>
          <w:sz w:val="18"/>
          <w:szCs w:val="18"/>
          <w:color w:val="auto"/>
        </w:rPr>
      </w:pPr>
    </w:p>
    <w:p>
      <w:pPr>
        <w:jc w:val="both"/>
        <w:ind w:left="-20" w:right="600" w:firstLine="1428"/>
        <w:spacing w:after="0" w:line="266" w:lineRule="auto"/>
        <w:tabs>
          <w:tab w:leader="none" w:pos="16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Aspen and its Subsidiaries has waived any statute of limitations in respect of Taxes (other than as a result of any extension to file a Tax Return that is automatically granted) or agreed to, or requested, any extension of time with respect to a Tax assessment or deficiency, in each case that is in effect as of the date hereof.</w:t>
      </w:r>
    </w:p>
    <w:p>
      <w:pPr>
        <w:spacing w:after="0" w:line="175" w:lineRule="exact"/>
        <w:rPr>
          <w:rFonts w:ascii="Times New Roman" w:cs="Times New Roman" w:eastAsia="Times New Roman" w:hAnsi="Times New Roman"/>
          <w:sz w:val="18"/>
          <w:szCs w:val="18"/>
          <w:color w:val="auto"/>
        </w:rPr>
      </w:pPr>
    </w:p>
    <w:p>
      <w:pPr>
        <w:ind w:left="-20" w:right="220" w:firstLine="1428"/>
        <w:spacing w:after="0" w:line="261" w:lineRule="auto"/>
        <w:tabs>
          <w:tab w:leader="none" w:pos="16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Aspen and its Subsidiaries has constituted a “distributing corporation” or “controlled corporation” in a distribution of stock intended to qualify for Tax-free treatment under Section 355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w:t>
      </w:r>
    </w:p>
    <w:p>
      <w:pPr>
        <w:spacing w:after="0" w:line="179" w:lineRule="exact"/>
        <w:rPr>
          <w:rFonts w:ascii="Times New Roman" w:cs="Times New Roman" w:eastAsia="Times New Roman" w:hAnsi="Times New Roman"/>
          <w:sz w:val="18"/>
          <w:szCs w:val="18"/>
          <w:color w:val="auto"/>
        </w:rPr>
      </w:pPr>
    </w:p>
    <w:p>
      <w:pPr>
        <w:ind w:left="-20" w:right="380" w:firstLine="1428"/>
        <w:spacing w:after="0" w:line="312" w:lineRule="auto"/>
        <w:tabs>
          <w:tab w:leader="none" w:pos="166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Aspen, none of Aspen and its Subsidiaries has entered into or been a party to any “listed transaction” within the meaning of Treasury regulations Section 1.6011-4(b)(2) for a taxable period for which the applicable statute of limitations remains open.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0"/>
          </w:cols>
          <w:pgMar w:left="460" w:top="270" w:right="479" w:bottom="1440" w:gutter="0" w:footer="0" w:header="0"/>
        </w:sectPr>
      </w:pPr>
    </w:p>
    <w:bookmarkStart w:id="74" w:name="page75"/>
    <w:bookmarkEnd w:id="74"/>
    <w:p>
      <w:pPr>
        <w:ind w:left="4" w:right="160" w:firstLine="1428"/>
        <w:spacing w:after="0" w:line="266" w:lineRule="auto"/>
        <w:tabs>
          <w:tab w:leader="none" w:pos="169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Aspen and its Subsidiaries are party to any agreements relating to the allocation or sharing of Taxes, including Tax indemnity agreements, other than customary commercial contracts entered into in the Ordinary Course of Business the primary purpose of which does not relate to Tax.</w:t>
      </w:r>
    </w:p>
    <w:p>
      <w:pPr>
        <w:spacing w:after="0" w:line="175"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Aspen and its Subsidiaries (i) has been a member of an affiliated group of corporations within the meaning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1504 of the Code (or similar provision of local, state or non-U.S. Law), other than any affiliated group of which Aspen is the common parent or</w:t>
      </w:r>
    </w:p>
    <w:p>
      <w:pPr>
        <w:spacing w:after="0" w:line="9" w:lineRule="exact"/>
        <w:rPr>
          <w:sz w:val="20"/>
          <w:szCs w:val="20"/>
          <w:color w:val="auto"/>
        </w:rPr>
      </w:pPr>
    </w:p>
    <w:p>
      <w:pPr>
        <w:ind w:left="4" w:right="400" w:hanging="4"/>
        <w:spacing w:after="0" w:line="255" w:lineRule="auto"/>
        <w:tabs>
          <w:tab w:leader="none" w:pos="26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for the Taxes of any Person (other than any of its Subsidiaries) under Treasury Regulations Section 1.1502-6 (or any similar provision of local, state or non-U.S. Law) as a transferee or successor, or by contract other than customary commercial contracts entered into in the Ordinary Course of Business the primary purpose of which does not relate to Tax.</w:t>
      </w:r>
    </w:p>
    <w:p>
      <w:pPr>
        <w:spacing w:after="0" w:line="185" w:lineRule="exact"/>
        <w:rPr>
          <w:rFonts w:ascii="Times New Roman" w:cs="Times New Roman" w:eastAsia="Times New Roman" w:hAnsi="Times New Roman"/>
          <w:sz w:val="18"/>
          <w:szCs w:val="18"/>
          <w:color w:val="auto"/>
        </w:rPr>
      </w:pPr>
    </w:p>
    <w:p>
      <w:pPr>
        <w:ind w:left="4" w:right="100" w:firstLine="1428"/>
        <w:spacing w:after="0" w:line="261" w:lineRule="auto"/>
        <w:tabs>
          <w:tab w:leader="none" w:pos="165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Aspen and its Subsidiaries is subject to Tax in any jurisdiction other than the jurisdiction in which it is organized, by virtue of having a permanent establishment, fixed place of business or, to the Knowledge of Aspen, otherwise. As of the date hereof, no claim has been made by a Governmental Authority in a jurisdiction where Aspen or any of its Subsidiaries does not file Tax Returns that Aspen or any of its Subsidiaries is or may be subject to taxation by that jurisdiction.</w:t>
      </w:r>
    </w:p>
    <w:p>
      <w:pPr>
        <w:spacing w:after="0" w:line="179" w:lineRule="exact"/>
        <w:rPr>
          <w:rFonts w:ascii="Times New Roman" w:cs="Times New Roman" w:eastAsia="Times New Roman" w:hAnsi="Times New Roman"/>
          <w:sz w:val="18"/>
          <w:szCs w:val="18"/>
          <w:color w:val="auto"/>
        </w:rPr>
      </w:pPr>
    </w:p>
    <w:p>
      <w:pPr>
        <w:ind w:left="4" w:right="180" w:firstLine="1428"/>
        <w:spacing w:after="0" w:line="282" w:lineRule="auto"/>
        <w:tabs>
          <w:tab w:leader="none" w:pos="169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is not and has not been a United States real property holding corporation within the meaning of Section 897(c)(2) of the Code in the last five (5) years.</w:t>
      </w:r>
    </w:p>
    <w:p>
      <w:pPr>
        <w:spacing w:after="0" w:line="161" w:lineRule="exact"/>
        <w:rPr>
          <w:rFonts w:ascii="Times New Roman" w:cs="Times New Roman" w:eastAsia="Times New Roman" w:hAnsi="Times New Roman"/>
          <w:sz w:val="18"/>
          <w:szCs w:val="18"/>
          <w:color w:val="auto"/>
        </w:rPr>
      </w:pPr>
    </w:p>
    <w:p>
      <w:pPr>
        <w:jc w:val="both"/>
        <w:ind w:left="4" w:right="300" w:firstLine="1428"/>
        <w:spacing w:after="0" w:line="312" w:lineRule="auto"/>
        <w:tabs>
          <w:tab w:leader="none" w:pos="1651"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Aspen nor any of its Subsidiaries is aware of any facts or circumstances or has taken or agreed to take or refrain from taking any action, in each case, that would reasonably be expected to prevent or impede the Merger from qualifying for the Intended Tax Treatment.</w:t>
      </w:r>
    </w:p>
    <w:p>
      <w:pPr>
        <w:spacing w:after="0" w:line="14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4" w:lineRule="auto"/>
        <w:tabs>
          <w:tab w:leader="none" w:pos="168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is, and has been since January 1, 2021, in compliance with all applicable Laws and Orders governing labor or employment, including Laws and Orders relating to employment practices, wages, hours, leaves, harassment, retaliation, equal employment opportunity, reasonable accommodations, break and meal periods, occupational safety and health, workers’ compensation, immigration and other terms and conditions of employment (including the proper classification and compensation of employees for purposes of the Fair Labor Standards Act and cognate state laws) and Laws and Orders in respect of any reduction in force, including notice, information and consultation requirements, except where the failure to so comply has not been, and would not reasonably be expected to be, individually or in the aggregate, material to Aspen, taken as a whole. Aspen does not have, or since January 1, 2021 has not had, any material liability with respect to any misclassification of any person as an independent contractor, consultant, temporary worker or contingent worker rather than as an “employee,” or with respect to any employee leased from another employer.</w:t>
      </w:r>
    </w:p>
    <w:p>
      <w:pPr>
        <w:spacing w:after="0" w:line="188" w:lineRule="exact"/>
        <w:rPr>
          <w:rFonts w:ascii="Times New Roman" w:cs="Times New Roman" w:eastAsia="Times New Roman" w:hAnsi="Times New Roman"/>
          <w:sz w:val="18"/>
          <w:szCs w:val="18"/>
          <w:color w:val="auto"/>
        </w:rPr>
      </w:pPr>
    </w:p>
    <w:p>
      <w:pPr>
        <w:ind w:left="4" w:right="240" w:firstLine="1428"/>
        <w:spacing w:after="0" w:line="256" w:lineRule="auto"/>
        <w:tabs>
          <w:tab w:leader="none" w:pos="16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is not a party to, nor does it have a duty to bargain for or is currently negotiating in connection with entering into, any collective bargaining agreement or other Contract with a labor union or works council representing any of its employees, there are no labor organizations representing any employees of Aspen and, as of the date hereof, there is not, to the Knowledge of Aspen, any attempt to organize any employees of Aspen for the purpose of forming or joining a labor union or works council. Since January 1, 2021 to the date hereof, there has been no strike, slowdown, picketing, lockout, job action, work stoppage, union organizing activity or other labor dispute, or, to the Knowledge of Aspen, any threat thereof, affecting Aspen or any of its employees.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70" w:right="479" w:bottom="1440" w:gutter="0" w:footer="0" w:header="0"/>
        </w:sectPr>
      </w:pPr>
    </w:p>
    <w:bookmarkStart w:id="75" w:name="page76"/>
    <w:bookmarkEnd w:id="75"/>
    <w:p>
      <w:pPr>
        <w:ind w:firstLine="1428"/>
        <w:spacing w:after="0" w:line="256" w:lineRule="auto"/>
        <w:tabs>
          <w:tab w:leader="none" w:pos="167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not, and since January 1, 2021 has not been, any Legal Proceeding pending, or to the Knowledge of Aspen, threatened in writing relating to employment, including relating to wages and hours, leave of absence, break and meal periods, plant closing notification, employment statute or regulation, privacy right, labor dispute, workers’ compensation policy or long-term-disability policy, safety, retaliation, libel, wrongful discharge, harassment, reasonable accommodations, immigration or discrimination matters involving any employee of Aspen, including unfair labor practices, misclassification of independent contractors or consultants, unlawful retaliation, discrimination or harassment complaints, in each case that is material to Aspen, taken as a whole.</w:t>
      </w:r>
    </w:p>
    <w:p>
      <w:pPr>
        <w:spacing w:after="0" w:line="187" w:lineRule="exact"/>
        <w:rPr>
          <w:rFonts w:ascii="Times New Roman" w:cs="Times New Roman" w:eastAsia="Times New Roman" w:hAnsi="Times New Roman"/>
          <w:sz w:val="18"/>
          <w:szCs w:val="18"/>
          <w:color w:val="auto"/>
        </w:rPr>
      </w:pPr>
    </w:p>
    <w:p>
      <w:pPr>
        <w:ind w:right="40" w:firstLine="1428"/>
        <w:spacing w:after="0" w:line="266" w:lineRule="auto"/>
        <w:tabs>
          <w:tab w:leader="none" w:pos="1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three (3) years, Aspen has not implemented any plant closing or layoff of employees that (in either case) violated the United States Worker Adjustment and Retraining Notification Act, as amended, or any similar state, local or foreign law (together,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and Aspen has not incurred any material liability under WARN that remains unsatisfied.</w:t>
      </w:r>
    </w:p>
    <w:p>
      <w:pPr>
        <w:spacing w:after="0" w:line="175" w:lineRule="exact"/>
        <w:rPr>
          <w:rFonts w:ascii="Times New Roman" w:cs="Times New Roman" w:eastAsia="Times New Roman" w:hAnsi="Times New Roman"/>
          <w:sz w:val="18"/>
          <w:szCs w:val="18"/>
          <w:color w:val="auto"/>
        </w:rPr>
      </w:pPr>
    </w:p>
    <w:p>
      <w:pPr>
        <w:ind w:right="60" w:firstLine="1428"/>
        <w:spacing w:after="0" w:line="254" w:lineRule="auto"/>
        <w:tabs>
          <w:tab w:leader="none" w:pos="167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4.17(e)</w:t>
      </w:r>
      <w:r>
        <w:rPr>
          <w:rFonts w:ascii="Times New Roman" w:cs="Times New Roman" w:eastAsia="Times New Roman" w:hAnsi="Times New Roman"/>
          <w:sz w:val="18"/>
          <w:szCs w:val="18"/>
          <w:color w:val="auto"/>
        </w:rPr>
        <w:t xml:space="preserve"> of the Aspen Disclosure Schedule sets forth a correct and complete list of each material Aspen Employee Plan. Aspen has made available to Company, with respect to each material Aspen Employee Plan, accurate and complete copies (as applicable) of: (i) all plan documents and all amendments thereto, and all related trust or other funding documents, and in the case of unwritten material Aspen Employee Plans, a written description of the material terms thereof, (ii) the most recent determination letter or opinion letter issued by the IRS or the United States Department of Labor, (iii) the most recently filed annual return/report (Form 5500) and accompanying schedules and attachments thereto, (iv) the most recently prepared actuarial report and financial statements, (v) the most recent prospectus or summary plan descriptions and any material modifications thereto and (vi) all material correspondence with a Governmental Authority received in the last three (3) years with respect to such Aspen Employee Plan.</w:t>
      </w:r>
    </w:p>
    <w:p>
      <w:pPr>
        <w:spacing w:after="0" w:line="191" w:lineRule="exact"/>
        <w:rPr>
          <w:rFonts w:ascii="Times New Roman" w:cs="Times New Roman" w:eastAsia="Times New Roman" w:hAnsi="Times New Roman"/>
          <w:sz w:val="18"/>
          <w:szCs w:val="18"/>
          <w:color w:val="auto"/>
        </w:rPr>
      </w:pPr>
    </w:p>
    <w:p>
      <w:pPr>
        <w:ind w:right="20" w:firstLine="1428"/>
        <w:spacing w:after="0" w:line="266" w:lineRule="auto"/>
        <w:tabs>
          <w:tab w:leader="none" w:pos="16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Aspen Employee Plan that is intended to be qualified under Section 401(a) of the Code has received or is permitted to rely upon a favorable determination or opinion letter that it is so qualified, and to the Knowledge of Aspen, there are no circumstances that would reasonably be expected to cause the loss of such qualification.</w:t>
      </w:r>
    </w:p>
    <w:p>
      <w:pPr>
        <w:spacing w:after="0" w:line="175" w:lineRule="exact"/>
        <w:rPr>
          <w:rFonts w:ascii="Times New Roman" w:cs="Times New Roman" w:eastAsia="Times New Roman" w:hAnsi="Times New Roman"/>
          <w:sz w:val="18"/>
          <w:szCs w:val="18"/>
          <w:color w:val="auto"/>
        </w:rPr>
      </w:pPr>
    </w:p>
    <w:p>
      <w:pPr>
        <w:ind w:right="100" w:firstLine="1428"/>
        <w:spacing w:after="0" w:line="255" w:lineRule="auto"/>
        <w:tabs>
          <w:tab w:leader="none" w:pos="1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Aspen and its Subsidiaries, taken as a whole, each Aspen Employee Plan has been operated, maintained and administered in compliance with its terms and with the requirements prescribed by applicable Laws, including ERISA and the Code. As of the date hereof, no Legal Proceeding or governmental audit is pending with respect to any Aspen Employee Plan (other than routine claims for benefits) and, to the Knowledge of the Aspen, no such Legal Proceeding or governmental audit is threatened; and there are no governmental investigations pending or, to the Knowledge of the Aspen, threatened in connection with any Aspen Employee Plan, the assets of any trust under any Aspen Employee Plan or the plan sponsor, the plan administrator or any fiduciary under any Aspen Employee Plan.</w:t>
      </w:r>
    </w:p>
    <w:p>
      <w:pPr>
        <w:spacing w:after="0" w:line="188" w:lineRule="exact"/>
        <w:rPr>
          <w:rFonts w:ascii="Times New Roman" w:cs="Times New Roman" w:eastAsia="Times New Roman" w:hAnsi="Times New Roman"/>
          <w:sz w:val="18"/>
          <w:szCs w:val="18"/>
          <w:color w:val="auto"/>
        </w:rPr>
      </w:pPr>
    </w:p>
    <w:p>
      <w:pPr>
        <w:ind w:right="100" w:firstLine="1428"/>
        <w:spacing w:after="0" w:line="258" w:lineRule="auto"/>
        <w:tabs>
          <w:tab w:leader="none" w:pos="16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Aspen nor any of its respective directors, officers, employees or agents has, with respect to any Aspen Employee Plan, engaged in or been a party to any non-exempt “prohibited transaction,” as such term is defined in Section 4975 of the Code or Section 406 of ERISA, that could reasonably be expected to result in the imposition of a future penalty assessed pursuant to Section 502(i) of ERISA or a tax imposed by Section 4975 of the Code, in each case applicable to Aspen or any Aspen Employee Plan or for which Aspen has any future indemnification obligation, except, in each case, as would not reasonably be expected, individually or in the aggregate, to result in material liability to Aspen.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6" w:name="page77"/>
    <w:bookmarkEnd w:id="76"/>
    <w:p>
      <w:pPr>
        <w:ind w:left="4" w:right="40" w:firstLine="1428"/>
        <w:spacing w:after="0" w:line="256" w:lineRule="auto"/>
        <w:tabs>
          <w:tab w:leader="none" w:pos="16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Aspen nor any of its respective ERISA Affiliates sponsors, maintains or contributes or is obligated to contribute to, or has ever sponsored, maintained or contributed or been obligated to contribute to, or has or is reasonably expected to have any direct or indirect liability with respect to, any (i) plan subject to Section 302 of ERISA, Title IV of ERISA or Section 412 of the Code, (ii) “multiemployer plan” within the meaning of Section 4001(a)(3) or 3(37) of ERISA, (iii) “multiple employer plan” (as defined in Section 4063 or 4064 of ERISA), (iv) “multiple employer welfare arrangement” within the meaning of Section 3(40)(A) of ERISA, or (v) any health or other welfare arrangement that is self-insured by Aspen.</w:t>
      </w:r>
    </w:p>
    <w:p>
      <w:pPr>
        <w:spacing w:after="0" w:line="187"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6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Aspen Employee Plan provides for, and Aspen does not have any present or future obligation to provide, post-retirement or post-termination health, life insurance or other welfare benefits except as required under Part 6 of Subtitle B of Title I of ERISA or Section 4980B of the Code or similar state Law.</w:t>
      </w:r>
    </w:p>
    <w:p>
      <w:pPr>
        <w:spacing w:after="0" w:line="175" w:lineRule="exact"/>
        <w:rPr>
          <w:rFonts w:ascii="Times New Roman" w:cs="Times New Roman" w:eastAsia="Times New Roman" w:hAnsi="Times New Roman"/>
          <w:sz w:val="18"/>
          <w:szCs w:val="18"/>
          <w:color w:val="auto"/>
        </w:rPr>
      </w:pPr>
    </w:p>
    <w:p>
      <w:pPr>
        <w:ind w:left="4" w:right="240" w:firstLine="1428"/>
        <w:spacing w:after="0" w:line="282" w:lineRule="auto"/>
        <w:tabs>
          <w:tab w:leader="none" w:pos="16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does not have any obligation to pay or provide any tax “gross-up” or similar “make-whole” payments or indemnities to any current or former employee, officer, director or other service provider of Aspen.</w:t>
      </w:r>
    </w:p>
    <w:p>
      <w:pPr>
        <w:spacing w:after="0" w:line="161" w:lineRule="exact"/>
        <w:rPr>
          <w:rFonts w:ascii="Times New Roman" w:cs="Times New Roman" w:eastAsia="Times New Roman" w:hAnsi="Times New Roman"/>
          <w:sz w:val="18"/>
          <w:szCs w:val="18"/>
          <w:color w:val="auto"/>
        </w:rPr>
      </w:pPr>
    </w:p>
    <w:p>
      <w:pPr>
        <w:ind w:left="4" w:right="400" w:firstLine="1428"/>
        <w:spacing w:after="0" w:line="261" w:lineRule="auto"/>
        <w:tabs>
          <w:tab w:leader="none" w:pos="16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all Aspen Employee Plans maintained primarily for the benefit of employees outside of the United States comply with applicable Laws, and all such plans that are intended to be funded and/or book-reserved are funded and/or book-reserved, as appropriate, based on reasonable actuarial assumptions, except, in each case, as has not resulted in, and would not reasonably be expect to result in, individually or in the aggregate, material liability to Aspen.</w:t>
      </w:r>
    </w:p>
    <w:p>
      <w:pPr>
        <w:spacing w:after="0" w:line="179" w:lineRule="exact"/>
        <w:rPr>
          <w:rFonts w:ascii="Times New Roman" w:cs="Times New Roman" w:eastAsia="Times New Roman" w:hAnsi="Times New Roman"/>
          <w:sz w:val="18"/>
          <w:szCs w:val="18"/>
          <w:color w:val="auto"/>
        </w:rPr>
      </w:pPr>
    </w:p>
    <w:p>
      <w:pPr>
        <w:ind w:left="4" w:right="180" w:firstLine="1428"/>
        <w:spacing w:after="0" w:line="255" w:lineRule="auto"/>
        <w:tabs>
          <w:tab w:leader="none" w:pos="17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Merger (either alone or when combined with the occurrence of any other event, including without limitation, a termination of employment) will result in the receipt or retention by any person who is a “disqualified individual” (within the meaning of Section 280G of the Code) with respect to Aspen of any payment or benefit that is or could be characterized as a “parachute payment” (within the meaning of Section 280G of the Code), determined without regard to the application of</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280G(b)(5) of the Code.</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Aspen Employee Plan that is a “nonqualified deferred compensation plan” (as such term is defined under Section 409A(d)</w:t>
      </w:r>
    </w:p>
    <w:p>
      <w:pPr>
        <w:spacing w:after="0" w:line="27" w:lineRule="exact"/>
        <w:rPr>
          <w:sz w:val="20"/>
          <w:szCs w:val="20"/>
          <w:color w:val="auto"/>
        </w:rPr>
      </w:pPr>
    </w:p>
    <w:p>
      <w:pPr>
        <w:ind w:left="4" w:right="760" w:hanging="4"/>
        <w:spacing w:after="0" w:line="260" w:lineRule="auto"/>
        <w:tabs>
          <w:tab w:leader="none" w:pos="2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the guidance thereunder) has been operated and maintained in compliance in all material respects with the requirements of Section 409A of the Code and the applicable guidance thereunder.</w:t>
      </w:r>
    </w:p>
    <w:p>
      <w:pPr>
        <w:spacing w:after="0" w:line="18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Since January 1, 2022, Aspen and each of its Subsidiaries has complied with all applicable Environmental Laws, which compliance includes the possession by Aspen of all permits and other Governmental Authorizations required under applicable Environmental Laws and compliance with the terms and conditions thereof, except for any failure to be in compliance that, individually or in the aggregate, would not result in an Aspen Material Adverse Effect. Neither Aspen nor any of its Subsidiaries has received since January 1, 2022, any written notice or other communication (in writing or otherwise), whether from a Governmental Authority, citizens group, employee or otherwise, that alleges that Aspen or any of its Subsidiaries is not in compliance with any Environmental Law, and, to the Knowledge of Aspen, there are no circumstances that may prevent or interfere with Aspen’s or any of its Subsidiaries’ compliance with any Environmental Law in the future, except where such failure to comply would not reasonably be expected to have an Aspen Material Adverse Effect. To the Knowledge of Aspen: (i) no current or prior owner of any property leased or controlled by Aspen or any of its Subsidiaries has received since January 1, 2022, any written notice or other communication relating to property owned or leased at any time by Aspen or any of its Subsidiaries, whether from a Governmental Authority, citizens group, employee or otherwise, that alleges that such current or prior owner or Aspen or any of its Subsidiaries is not in compliance with or violated any Environmental Law relating to such property and (ii) neither Aspen nor any of its Subsidiaries has any material liability under any Environmental Law.</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77" w:name="page78"/>
    <w:bookmarkEnd w:id="77"/>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Aspen has made available to the Company accurate and complete copies or summaries of all material insurance policies and all material self-insurance programs and arrangements relating to the business, assets, liabilities and operations of Aspen and its Subsidiaries (including Merger Sub). Each of such insurance policies is in full force and effect and Aspen and its Subsidiaries (including Merger Sub) are in compliance in all material respects with the terms thereof. Other than customary end of policy notifications from insurance carriers, since January 1, 2022, neither Aspen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Aspen and its Subsidiaries (including Merger Sub) has provided timely written notice to the appropriate insurance carrier(s) of each Legal Proceeding pending against Aspen or such Subsidiary for which Aspen or such Subsidiary has insurance coverage, and no such carrier has issued a denial of coverage or a reservation of rights with respect to any such Legal Proceeding, or informed Aspen or any of its Subsidiaries of its intent to do so.</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set forth in the Aspen SEC Documents filed prior to the date of this Agreement, since the date of Aspen’s last proxy statement filed in 2023 with the SEC, no event has occurred that would be required to be reported by Aspen pursuant to Item 404 of Regulation S-K promulgated by the SEC.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Aspen Disclosure Schedule identifies each Person who is (or who may be deemed to be) an Affiliate of Aspen as of the date of this Agreement.</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4.21 No Financial Advisors. Except as set forth on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of the Aspen Disclosure Schedule, no broker, finder or investment banker is entitled to any brokerage fee, finder’s fee, opinion fee, success fee, transaction fee or other fee or commission in connection with the Contemplated Transactions based upon arrangements made by or on behalf of Aspen.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-313055</wp:posOffset>
            </wp:positionV>
            <wp:extent cx="10629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5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Aspen Common Stock to be issued in the Merger will, when issued in accordance with the provisions of this Agreement, be validly issued, fully paid and nonassessable.</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 Since January 1, 2021, each of Aspen and its Subsidiaries has complied with all applicable Privacy Laws, including with respect to the collection, acquisition, use, storage and transfer (including cross-border transfer) of Personal Information, except for such non-compliance as is not, and would not reasonably be expected to be, individually or in the aggregate, material to Aspen and its Subsidiaries, taken as a whole. Since January 1, 2021, Aspen and its Subsidiaries have complied in all material respects with each of their respective Privacy Policies, if applicable and required. Aspen and its Subsidiaries maintain commercially reasonable policies, procedures and security measures with respect to the physical and electronic security and privacy of Personal Information that are designed to achieve compliance in all material respects with Privacy Laws, and Aspen and its Subsidiaries are in compliance in all material respects with such policies and procedures. To the Knowledge of Aspen, there have been no material breaches or material violations of any security measures of Aspen and its Subsidiaries, or any material unauthorized access, use or disclosure of any Personal Information. None of Aspen and its Subsidiaries has received written notice (or, to the Knowledge of Aspen, any other communication) of (a) any material violation or breach, or alleged material violation or breach, of Privacy Laws and/or Privacy Policies, or (b) any claims against any of Aspen and its Subsidiaries by any Person, and there is no Legal Proceeding pending or, to Knowledge of Aspen, threatened against any of Aspen and its Subsidiaries, alleging a violation or breach of Privacy Laws and/or Privacy Policies, except in each case as would not be material to Aspen and its Subsidiaries, taken as a whole.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8" w:name="page79"/>
    <w:bookmarkEnd w:id="7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68" w:lineRule="auto"/>
        <w:tabs>
          <w:tab w:leader="none" w:pos="168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Aspen nor Merger Sub, nor any director or officer or, to the Knowledge of Aspen, any employee of Aspen or Merger Sub (acting in the capacity of a director, officer or employee of Aspen or Merger Sub) or, to the Knowledge of Aspen or Merger Sub, any representative or agent of Aspen or Merger Sub (acting in the capacity of a representative or agent of Aspen or Merger Sub), has directly or indirectly (i) given any funds (whether of Aspen or Merger Sub or otherwise) for unlawful contributions, unlawful gifts or unlawful entertainment or other unlawful expenses relating to political activity, (ii) made any unlawful payment to, or otherwise unlawfully provided anything of value to, any foreign or domestic government officials or employees or to foreign or domestic political parties or campaigns or solicited or accepted any such payment or thing of value, or</w:t>
      </w:r>
    </w:p>
    <w:p>
      <w:pPr>
        <w:spacing w:after="0" w:line="4" w:lineRule="exact"/>
        <w:rPr>
          <w:rFonts w:ascii="Times New Roman" w:cs="Times New Roman" w:eastAsia="Times New Roman" w:hAnsi="Times New Roman"/>
          <w:sz w:val="17"/>
          <w:szCs w:val="17"/>
          <w:color w:val="auto"/>
        </w:rPr>
      </w:pPr>
    </w:p>
    <w:p>
      <w:pPr>
        <w:ind w:left="4" w:hanging="4"/>
        <w:spacing w:after="0" w:line="252" w:lineRule="auto"/>
        <w:tabs>
          <w:tab w:leader="none" w:pos="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provision of any Anti-Corruption Law.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not received any written communication (or, to the Knowledge of Aspen, any other communication) that alleges any of the foregoing. To the Knowledge of Aspen, Aspen has disclosed to the Company any and all allegations that have been made of any potential wrongdoing by Aspen, Merger Sub, or by any director, officer, employee, agent or representative of Aspen or Merger Sub (acting in the capacity of a director, officer, employee, agent or representative of Aspen or Merger Sub) with respect to any Anti-Corruption Law.</w:t>
      </w:r>
    </w:p>
    <w:p>
      <w:pPr>
        <w:spacing w:after="0" w:line="188"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and since January 1, 2021, there have not been, any Legal Proceedings with respect to any Anti-Corruption Law pending or, to the Knowledge of Aspen, threatened in writing against Aspen, Merger Sub,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Since January 1, 2021, neither Aspen nor Merger Sub, nor any director or officer or, to the Knowledge of Aspen, any employee of Aspen or Merger Sub (acting in the capacity of a director, officer or employee of Aspen or Merger Sub) or, to the Knowledge of Aspen, any representative or agent of Aspen or Merger Sub (acting in the capacity of a representative or agent of Aspen or Merger Sub), has made any disclosure (voluntary or otherwise) to any Governmental Authority with respect to any alleged irregularity, misstatement, omission or other potential violation or liability arising under or relating to any Anti-Corruption Law.</w:t>
      </w:r>
    </w:p>
    <w:p>
      <w:pPr>
        <w:spacing w:after="0" w:line="188"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4.25 </w:t>
      </w:r>
      <w:r>
        <w:rPr>
          <w:rFonts w:ascii="Times New Roman" w:cs="Times New Roman" w:eastAsia="Times New Roman" w:hAnsi="Times New Roman"/>
          <w:sz w:val="17"/>
          <w:szCs w:val="17"/>
          <w:u w:val="single" w:color="auto"/>
          <w:color w:val="auto"/>
        </w:rPr>
        <w:t>Sanctions Laws</w:t>
      </w:r>
      <w:r>
        <w:rPr>
          <w:rFonts w:ascii="Times New Roman" w:cs="Times New Roman" w:eastAsia="Times New Roman" w:hAnsi="Times New Roman"/>
          <w:sz w:val="17"/>
          <w:szCs w:val="17"/>
          <w:color w:val="auto"/>
        </w:rPr>
        <w:t>. Since January 1, 2021, neither Aspen nor Merger Sub, nor any director or officer or, to the Knowledge of Aspen, any employee of Aspen nor Merger Sub (acting in the capacity of a director, officer or employee of Aspen or Merger Sub) or, to the Knowledge of Aspen, any representative or agent of Aspen nor Merger Sub (acting in the capacity of a representative or agent of Aspen nor Merger Sub), (a) has been in violation of any Sanctions Laws, or (b) has been or was charged by any Governmental Authority with or has made any voluntary disclosure or paid any fine or penalty to any Governmental Authority concerning, or has been investigated for, a violation of any Sanctions Laws. There are not, and since January 1, 2021, there have not been, any Legal Proceedings, allegations, investigations or inquiries concerning any actual or suspected violations of any Sanctions Law pending or to the Knowledge of Aspen threatened in writing against Aspen, any director or officer or, to the Knowledge of Aspen, any employee of Aspen nor Merger Sub (acting in the capacity of a director, officer or employee of Aspen nor Merger Sub) or, to the Knowledge of Aspen, any representative or agent of Aspen nor Merger Sub (acting in the capacity of a representative or agent of Aspen nor Merger Sub). Neither Aspen nor Merger Sub, nor any director, officer or employee of any of Aspen or Merger Sub, is a Sanctioned Person. Since January 1, 2021, neither Aspen nor Merger Sub has had, directly or indirectly, any unlawful transactions with or unlawful investments in any Sanctioned Person or Sanctioned Country.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79" w:name="page80"/>
    <w:bookmarkEnd w:id="79"/>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4.26 No Other Representations or Warranties. Aspen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Aspen,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(in each case as qualified and limited by the Company Disclosure Schedule)) none of Aspen, Merger Sub nor any of their respective Representatives or stockholders, has relied on any such information (including the accuracy or completeness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-854075</wp:posOffset>
            </wp:positionV>
            <wp:extent cx="1859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59280" cy="8255"/>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Certain Covenants of the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Operation of Aspen’s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5" w:lineRule="auto"/>
        <w:tabs>
          <w:tab w:leader="none" w:pos="16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on Section 5.1(a) of the Aspen Disclosure Schedule, (iii) as required by applicable Law, or (iv) with the prior written consent of the Company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the Effective Time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Aspen shall, and shall cause its Subsidiaries to, use commercially reasonable efforts to (x) conduct its business and operations in the Ordinary Course of Business and in material compliance with all applicable Law and the requirements of all Contracts that constitute Aspen Material Contracts and (y) continue to pay material outstanding accounts payable and other material current Liabilities (including payroll) when due and payable.</w:t>
      </w:r>
    </w:p>
    <w:p>
      <w:pPr>
        <w:spacing w:after="0" w:line="188" w:lineRule="exact"/>
        <w:rPr>
          <w:rFonts w:ascii="Times New Roman" w:cs="Times New Roman" w:eastAsia="Times New Roman" w:hAnsi="Times New Roman"/>
          <w:sz w:val="18"/>
          <w:szCs w:val="18"/>
          <w:color w:val="auto"/>
        </w:rPr>
      </w:pPr>
    </w:p>
    <w:p>
      <w:pPr>
        <w:ind w:right="120" w:firstLine="1428"/>
        <w:spacing w:after="0" w:line="261" w:lineRule="auto"/>
        <w:tabs>
          <w:tab w:leader="none" w:pos="168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Aspen Disclosure Schedule, (iii) as required by applicable Law, or (iv) with the prior written consent of the Company (which consent shall not be unreasonably withheld, delayed or conditioned), at all times during the Pre-Closing Period, Aspen shall not, nor shall it cause or permit any of its Subsidiaries to, do any of the following:</w:t>
      </w:r>
    </w:p>
    <w:p>
      <w:pPr>
        <w:spacing w:after="0" w:line="71" w:lineRule="exact"/>
        <w:rPr>
          <w:rFonts w:ascii="Times New Roman" w:cs="Times New Roman" w:eastAsia="Times New Roman" w:hAnsi="Times New Roman"/>
          <w:sz w:val="18"/>
          <w:szCs w:val="18"/>
          <w:color w:val="auto"/>
        </w:rPr>
      </w:pPr>
    </w:p>
    <w:p>
      <w:pPr>
        <w:ind w:left="440" w:right="200" w:firstLine="1371"/>
        <w:spacing w:after="0" w:line="266" w:lineRule="auto"/>
        <w:tabs>
          <w:tab w:leader="none" w:pos="203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its capital stock or repurchase, redeem or otherwise reacquire any shares of its capital stock or other securities (except for shares of Aspen Common Stock from terminated employees, directors or consultants of Aspen);</w:t>
      </w:r>
    </w:p>
    <w:p>
      <w:pPr>
        <w:spacing w:after="0" w:line="67" w:lineRule="exact"/>
        <w:rPr>
          <w:rFonts w:ascii="Times New Roman" w:cs="Times New Roman" w:eastAsia="Times New Roman" w:hAnsi="Times New Roman"/>
          <w:sz w:val="18"/>
          <w:szCs w:val="18"/>
          <w:color w:val="auto"/>
        </w:rPr>
      </w:pPr>
    </w:p>
    <w:p>
      <w:pPr>
        <w:ind w:left="440" w:right="180" w:firstLine="1371"/>
        <w:spacing w:after="0" w:line="261" w:lineRule="auto"/>
        <w:tabs>
          <w:tab w:leader="none" w:pos="2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pledge or otherwise dispose of or encumber or authorize the issuance of: (A) any capital stock or other security (except for Aspen Common Stock issued upon the valid exercise or settlement of outstanding Aspen Options or Aspen Restricted Stock Units, as applicable), (B) any option, warrant or right to acquire any capital stock or any other security or (C) any instrument convertible into or exchangeable for any capital stock or other security;</w:t>
      </w:r>
    </w:p>
    <w:p>
      <w:pPr>
        <w:spacing w:after="0" w:line="71" w:lineRule="exact"/>
        <w:rPr>
          <w:rFonts w:ascii="Times New Roman" w:cs="Times New Roman" w:eastAsia="Times New Roman" w:hAnsi="Times New Roman"/>
          <w:sz w:val="18"/>
          <w:szCs w:val="18"/>
          <w:color w:val="auto"/>
        </w:rPr>
      </w:pPr>
    </w:p>
    <w:p>
      <w:pPr>
        <w:jc w:val="both"/>
        <w:ind w:left="440" w:right="80" w:firstLine="1371"/>
        <w:spacing w:after="0" w:line="266" w:lineRule="auto"/>
        <w:tabs>
          <w:tab w:leader="none" w:pos="213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6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80" w:name="page81"/>
    <w:bookmarkEnd w:id="80"/>
    <w:p>
      <w:pPr>
        <w:ind w:left="4" w:right="540" w:firstLine="1371"/>
        <w:spacing w:after="0" w:line="282" w:lineRule="auto"/>
        <w:tabs>
          <w:tab w:leader="none" w:pos="163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lend money to any Person, (B) incur or guarantee any indebtedness for borrowed money, (C) guarantee any debt securities of others or (D) make any capital expenditure or commitment;</w:t>
      </w:r>
    </w:p>
    <w:p>
      <w:pPr>
        <w:spacing w:after="0" w:line="53" w:lineRule="exact"/>
        <w:rPr>
          <w:rFonts w:ascii="Times New Roman" w:cs="Times New Roman" w:eastAsia="Times New Roman" w:hAnsi="Times New Roman"/>
          <w:sz w:val="18"/>
          <w:szCs w:val="18"/>
          <w:color w:val="auto"/>
        </w:rPr>
      </w:pPr>
    </w:p>
    <w:p>
      <w:pPr>
        <w:ind w:left="1684" w:hanging="309"/>
        <w:spacing w:after="0"/>
        <w:tabs>
          <w:tab w:leader="none" w:pos="16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establish or enter into any Aspen Employee Plan, including, for avoidance of doubt, any equity awards plans,</w:t>
      </w:r>
    </w:p>
    <w:p>
      <w:pPr>
        <w:spacing w:after="0" w:line="27" w:lineRule="exact"/>
        <w:rPr>
          <w:rFonts w:ascii="Times New Roman" w:cs="Times New Roman" w:eastAsia="Times New Roman" w:hAnsi="Times New Roman"/>
          <w:sz w:val="18"/>
          <w:szCs w:val="18"/>
          <w:color w:val="auto"/>
        </w:rPr>
      </w:pPr>
    </w:p>
    <w:p>
      <w:pPr>
        <w:ind w:left="4" w:right="140" w:hanging="4"/>
        <w:spacing w:after="0" w:line="250" w:lineRule="auto"/>
        <w:tabs>
          <w:tab w:leader="none" w:pos="2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Aspen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29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amend the severance or change of control benefits offered to any current or new employees, directors or consultants, or (E) hire or engage any officer, or, employee; provided, however, that consultants may be retained on terms permitting termination by Aspen without notice to provide supplemental support services as reasonably may be needed by Aspen, or to fill vacancies to the extent such positions are existing as of the date hereof and which vacancies occur after the date hereof;</w:t>
      </w:r>
    </w:p>
    <w:p>
      <w:pPr>
        <w:spacing w:after="0" w:line="80" w:lineRule="exact"/>
        <w:rPr>
          <w:rFonts w:ascii="Times New Roman" w:cs="Times New Roman" w:eastAsia="Times New Roman" w:hAnsi="Times New Roman"/>
          <w:sz w:val="18"/>
          <w:szCs w:val="18"/>
          <w:color w:val="auto"/>
        </w:rPr>
      </w:pPr>
    </w:p>
    <w:p>
      <w:pPr>
        <w:ind w:left="1724" w:hanging="349"/>
        <w:spacing w:after="0"/>
        <w:tabs>
          <w:tab w:leader="none" w:pos="17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outside the Ordinary Course of Business;</w:t>
      </w:r>
    </w:p>
    <w:p>
      <w:pPr>
        <w:spacing w:after="0" w:line="117" w:lineRule="exact"/>
        <w:rPr>
          <w:rFonts w:ascii="Times New Roman" w:cs="Times New Roman" w:eastAsia="Times New Roman" w:hAnsi="Times New Roman"/>
          <w:sz w:val="18"/>
          <w:szCs w:val="18"/>
          <w:color w:val="auto"/>
        </w:rPr>
      </w:pPr>
    </w:p>
    <w:p>
      <w:pPr>
        <w:ind w:left="4" w:firstLine="1371"/>
        <w:spacing w:after="0" w:line="282" w:lineRule="auto"/>
        <w:tabs>
          <w:tab w:leader="none" w:pos="178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license or otherwise irrevocably dispose of any of its assets or properties, or grant any Encumbrance with respect to such assets or properties;</w:t>
      </w:r>
    </w:p>
    <w:p>
      <w:pPr>
        <w:spacing w:after="0" w:line="53" w:lineRule="exact"/>
        <w:rPr>
          <w:rFonts w:ascii="Times New Roman" w:cs="Times New Roman" w:eastAsia="Times New Roman" w:hAnsi="Times New Roman"/>
          <w:sz w:val="18"/>
          <w:szCs w:val="18"/>
          <w:color w:val="auto"/>
        </w:rPr>
      </w:pPr>
    </w:p>
    <w:p>
      <w:pPr>
        <w:ind w:left="1684" w:hanging="309"/>
        <w:spacing w:after="0"/>
        <w:tabs>
          <w:tab w:leader="none" w:pos="168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file any amended income or other material Tax Return;</w:t>
      </w:r>
    </w:p>
    <w:p>
      <w:pPr>
        <w:spacing w:after="0" w:line="27" w:lineRule="exact"/>
        <w:rPr>
          <w:rFonts w:ascii="Times New Roman" w:cs="Times New Roman" w:eastAsia="Times New Roman" w:hAnsi="Times New Roman"/>
          <w:sz w:val="18"/>
          <w:szCs w:val="18"/>
          <w:color w:val="auto"/>
        </w:rPr>
      </w:pPr>
    </w:p>
    <w:p>
      <w:pPr>
        <w:ind w:left="4" w:right="200" w:hanging="4"/>
        <w:spacing w:after="0" w:line="253" w:lineRule="auto"/>
        <w:tabs>
          <w:tab w:leader="none" w:pos="28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w:t>
      </w:r>
    </w:p>
    <w:p>
      <w:pPr>
        <w:spacing w:after="0" w:line="80" w:lineRule="exact"/>
        <w:rPr>
          <w:rFonts w:ascii="Times New Roman" w:cs="Times New Roman" w:eastAsia="Times New Roman" w:hAnsi="Times New Roman"/>
          <w:sz w:val="18"/>
          <w:szCs w:val="18"/>
          <w:color w:val="auto"/>
        </w:rPr>
      </w:pPr>
    </w:p>
    <w:p>
      <w:pPr>
        <w:ind w:left="4" w:right="40" w:firstLine="1371"/>
        <w:spacing w:after="0" w:line="258" w:lineRule="auto"/>
        <w:tabs>
          <w:tab w:leader="none" w:pos="163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Aspen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Aspen or its Subsidiaries, taken as a whole, or any equitable relief on, or the admission of wrongdoing by Aspen or any of its Subsidiaries;</w:t>
      </w:r>
    </w:p>
    <w:p>
      <w:pPr>
        <w:spacing w:after="0" w:line="75" w:lineRule="exact"/>
        <w:rPr>
          <w:rFonts w:ascii="Times New Roman" w:cs="Times New Roman" w:eastAsia="Times New Roman" w:hAnsi="Times New Roman"/>
          <w:sz w:val="18"/>
          <w:szCs w:val="18"/>
          <w:color w:val="auto"/>
        </w:rPr>
      </w:pPr>
    </w:p>
    <w:p>
      <w:pPr>
        <w:ind w:left="4" w:right="220" w:firstLine="1371"/>
        <w:spacing w:after="0" w:line="266" w:lineRule="auto"/>
        <w:tabs>
          <w:tab w:leader="none" w:pos="168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 to repay when due any material obligation, including accounts payable and accrued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accounts payable or accrued expenses need not be paid if the validity or amount thereof shall at the time be contested in good faith);</w:t>
      </w:r>
    </w:p>
    <w:p>
      <w:pPr>
        <w:spacing w:after="0" w:line="67" w:lineRule="exact"/>
        <w:rPr>
          <w:rFonts w:ascii="Times New Roman" w:cs="Times New Roman" w:eastAsia="Times New Roman" w:hAnsi="Times New Roman"/>
          <w:sz w:val="18"/>
          <w:szCs w:val="18"/>
          <w:color w:val="auto"/>
        </w:rPr>
      </w:pPr>
    </w:p>
    <w:p>
      <w:pPr>
        <w:ind w:left="1724" w:hanging="349"/>
        <w:spacing w:after="0"/>
        <w:tabs>
          <w:tab w:leader="none" w:pos="17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w:t>
      </w:r>
    </w:p>
    <w:p>
      <w:pPr>
        <w:spacing w:after="0" w:line="117" w:lineRule="exact"/>
        <w:rPr>
          <w:rFonts w:ascii="Times New Roman" w:cs="Times New Roman" w:eastAsia="Times New Roman" w:hAnsi="Times New Roman"/>
          <w:sz w:val="18"/>
          <w:szCs w:val="18"/>
          <w:color w:val="auto"/>
        </w:rPr>
      </w:pPr>
    </w:p>
    <w:p>
      <w:pPr>
        <w:ind w:left="1784" w:hanging="409"/>
        <w:spacing w:after="0"/>
        <w:tabs>
          <w:tab w:leader="none" w:pos="178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in any material respect, or fail to exercise renewal rights with respect to, any material insurance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4"/>
          </w:cols>
          <w:pgMar w:left="876" w:top="270" w:right="479" w:bottom="1440" w:gutter="0" w:footer="0" w:header="0"/>
        </w:sectPr>
      </w:pPr>
    </w:p>
    <w:bookmarkStart w:id="81" w:name="page82"/>
    <w:bookmarkEnd w:id="81"/>
    <w:p>
      <w:pPr>
        <w:jc w:val="both"/>
        <w:ind w:left="440" w:right="400" w:firstLine="1371"/>
        <w:spacing w:after="0" w:line="266" w:lineRule="auto"/>
        <w:tabs>
          <w:tab w:leader="none" w:pos="220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materially change pricing or royalties or other payments set or charged by Aspen or any of its Subsidiaries to its customers or licensees or (B) agree to materially change pricing or royalties or other payments set or charged by Persons who have licensed Intellectual Property to Aspen or any of its Subsidiaries;</w:t>
      </w:r>
    </w:p>
    <w:p>
      <w:pPr>
        <w:spacing w:after="0" w:line="67" w:lineRule="exact"/>
        <w:rPr>
          <w:rFonts w:ascii="Times New Roman" w:cs="Times New Roman" w:eastAsia="Times New Roman" w:hAnsi="Times New Roman"/>
          <w:sz w:val="18"/>
          <w:szCs w:val="18"/>
          <w:color w:val="auto"/>
        </w:rPr>
      </w:pPr>
    </w:p>
    <w:p>
      <w:pPr>
        <w:ind w:left="2160" w:hanging="349"/>
        <w:spacing w:after="0"/>
        <w:tabs>
          <w:tab w:leader="none" w:pos="2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or terminate any Aspen Material Contract except as permitted under subparagraph (c) below; or</w:t>
      </w:r>
    </w:p>
    <w:p>
      <w:pPr>
        <w:spacing w:after="0" w:line="117" w:lineRule="exact"/>
        <w:rPr>
          <w:rFonts w:ascii="Times New Roman" w:cs="Times New Roman" w:eastAsia="Times New Roman" w:hAnsi="Times New Roman"/>
          <w:sz w:val="18"/>
          <w:szCs w:val="18"/>
          <w:color w:val="auto"/>
        </w:rPr>
      </w:pPr>
    </w:p>
    <w:p>
      <w:pPr>
        <w:ind w:left="2200" w:hanging="389"/>
        <w:spacing w:after="0"/>
        <w:tabs>
          <w:tab w:leader="none" w:pos="22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the Company, directly or indirectly, the right to control or direct the operations of Aspen prior to the Effective Time. Prior to the Effective Time, Aspen shall exercise, consistent with the terms and conditions of this Agreement, complete unilateral control and supervision over its business operations.</w:t>
      </w:r>
    </w:p>
    <w:p>
      <w:pPr>
        <w:spacing w:after="0" w:line="176" w:lineRule="exact"/>
        <w:rPr>
          <w:sz w:val="20"/>
          <w:szCs w:val="20"/>
          <w:color w:val="auto"/>
        </w:rPr>
      </w:pPr>
    </w:p>
    <w:p>
      <w:pPr>
        <w:ind w:firstLine="1428"/>
        <w:spacing w:after="0" w:line="256" w:lineRule="auto"/>
        <w:tabs>
          <w:tab w:leader="none" w:pos="167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(including the foregoing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Aspen may engage in the sale, license, transfer, disposition, divestiture or other monetization transaction (i.e., a royalty transaction) and/or winding down of Aspen’s business or operations as they exist prior to the Closing or the sale, license, transfer, disposition, divestiture or other monetization transaction (i.e., a royalty transaction) or other disposition of any Aspen Pre-Closing Asset (each, an “</w:t>
      </w:r>
      <w:r>
        <w:rPr>
          <w:rFonts w:ascii="Times New Roman" w:cs="Times New Roman" w:eastAsia="Times New Roman" w:hAnsi="Times New Roman"/>
          <w:sz w:val="18"/>
          <w:szCs w:val="18"/>
          <w:b w:val="1"/>
          <w:bCs w:val="1"/>
          <w:color w:val="auto"/>
        </w:rPr>
        <w:t>Aspen Pre-Closing Transaction</w:t>
      </w:r>
      <w:r>
        <w:rPr>
          <w:rFonts w:ascii="Times New Roman" w:cs="Times New Roman" w:eastAsia="Times New Roman" w:hAnsi="Times New Roman"/>
          <w:sz w:val="18"/>
          <w:szCs w:val="18"/>
          <w:color w:val="auto"/>
        </w:rPr>
        <w:t xml:space="preserve">”), including entering into Contracts or amending or terminating Contracts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Aspen Pre-Closing Transaction results in obligations of Aspen that will extend after Closing, then such terms shall be reasonably acceptable to Company.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Operation of the Company’s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428"/>
        <w:spacing w:after="0" w:line="258" w:lineRule="auto"/>
        <w:tabs>
          <w:tab w:leader="none" w:pos="16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including the Subscription Agreement, (ii) as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of the Company Disclosure Schedule, (iii) as required by applicable Law, or (iv) with the prior written consent of Aspen (which consent shall not be unreasonably withheld, delayed or conditioned), during the Pre-Closing Period the Company shall, and shall cause its Subsidiaries to, use commercially reasonable efforts to conduct its business and operations in the Ordinary Course of Business and in material compliance with all applicable Law and the requirements of all Contracts that constitute Company Material Contracts.</w:t>
      </w:r>
    </w:p>
    <w:p>
      <w:pPr>
        <w:spacing w:after="0" w:line="183" w:lineRule="exact"/>
        <w:rPr>
          <w:rFonts w:ascii="Times New Roman" w:cs="Times New Roman" w:eastAsia="Times New Roman" w:hAnsi="Times New Roman"/>
          <w:sz w:val="18"/>
          <w:szCs w:val="18"/>
          <w:color w:val="auto"/>
        </w:rPr>
      </w:pPr>
    </w:p>
    <w:p>
      <w:pPr>
        <w:jc w:val="both"/>
        <w:ind w:right="100" w:firstLine="1428"/>
        <w:spacing w:after="0" w:line="261" w:lineRule="auto"/>
        <w:tabs>
          <w:tab w:leader="none" w:pos="168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including the Subscription Agreement, (ii) as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of the Company Disclosure Schedule, (iii) as required by applicable Law, or (iv) with the prior written consent of Aspen (which consent shall not be unreasonably withheld, delayed or conditioned), at all times during the Pre-Closing Period, the Company shall not, nor shall it cause or permit any of its Subsidiaries to, do any of the following:</w:t>
      </w:r>
    </w:p>
    <w:p>
      <w:pPr>
        <w:spacing w:after="0" w:line="71" w:lineRule="exact"/>
        <w:rPr>
          <w:rFonts w:ascii="Times New Roman" w:cs="Times New Roman" w:eastAsia="Times New Roman" w:hAnsi="Times New Roman"/>
          <w:sz w:val="18"/>
          <w:szCs w:val="18"/>
          <w:color w:val="auto"/>
        </w:rPr>
      </w:pPr>
    </w:p>
    <w:p>
      <w:pPr>
        <w:ind w:left="440" w:right="320" w:firstLine="1371"/>
        <w:spacing w:after="0" w:line="266" w:lineRule="auto"/>
        <w:tabs>
          <w:tab w:leader="none" w:pos="203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w:t>
      </w:r>
    </w:p>
    <w:p>
      <w:pPr>
        <w:spacing w:after="0" w:line="67" w:lineRule="exact"/>
        <w:rPr>
          <w:rFonts w:ascii="Times New Roman" w:cs="Times New Roman" w:eastAsia="Times New Roman" w:hAnsi="Times New Roman"/>
          <w:sz w:val="18"/>
          <w:szCs w:val="18"/>
          <w:color w:val="auto"/>
        </w:rPr>
      </w:pPr>
    </w:p>
    <w:p>
      <w:pPr>
        <w:jc w:val="both"/>
        <w:ind w:left="440" w:right="80" w:firstLine="1371"/>
        <w:spacing w:after="0" w:line="289" w:lineRule="auto"/>
        <w:tabs>
          <w:tab w:leader="none" w:pos="20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82" w:name="page83"/>
    <w:bookmarkEnd w:id="82"/>
    <w:p>
      <w:pPr>
        <w:ind w:left="4" w:right="60" w:firstLine="1371"/>
        <w:spacing w:after="0" w:line="261" w:lineRule="auto"/>
        <w:tabs>
          <w:tab w:leader="none" w:pos="169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 or any of its Subsidiaries;</w:t>
      </w:r>
    </w:p>
    <w:p>
      <w:pPr>
        <w:spacing w:after="0" w:line="71" w:lineRule="exact"/>
        <w:rPr>
          <w:rFonts w:ascii="Times New Roman" w:cs="Times New Roman" w:eastAsia="Times New Roman" w:hAnsi="Times New Roman"/>
          <w:sz w:val="18"/>
          <w:szCs w:val="18"/>
          <w:color w:val="auto"/>
        </w:rPr>
      </w:pPr>
    </w:p>
    <w:p>
      <w:pPr>
        <w:ind w:left="1684" w:hanging="309"/>
        <w:spacing w:after="0"/>
        <w:tabs>
          <w:tab w:leader="none" w:pos="168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any equity interest or other interest in any other Entity or enter into a joint venture with any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w:t>
      </w:r>
    </w:p>
    <w:p>
      <w:pPr>
        <w:spacing w:after="0" w:line="98" w:lineRule="exact"/>
        <w:rPr>
          <w:rFonts w:ascii="Times New Roman" w:cs="Times New Roman" w:eastAsia="Times New Roman" w:hAnsi="Times New Roman"/>
          <w:sz w:val="18"/>
          <w:szCs w:val="18"/>
          <w:color w:val="auto"/>
        </w:rPr>
      </w:pPr>
    </w:p>
    <w:p>
      <w:pPr>
        <w:ind w:left="4" w:right="560" w:firstLine="1371"/>
        <w:spacing w:after="0" w:line="282" w:lineRule="auto"/>
        <w:tabs>
          <w:tab w:leader="none" w:pos="1633"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 money to any Person, (B) incur or guarantee any indebtedness for borrowed money, (C) guarantee any debt securities of others or (D) make any capital expenditure or commitment in excess of $500,000;</w:t>
      </w:r>
    </w:p>
    <w:p>
      <w:pPr>
        <w:spacing w:after="0" w:line="53" w:lineRule="exact"/>
        <w:rPr>
          <w:rFonts w:ascii="Times New Roman" w:cs="Times New Roman" w:eastAsia="Times New Roman" w:hAnsi="Times New Roman"/>
          <w:sz w:val="18"/>
          <w:szCs w:val="18"/>
          <w:color w:val="auto"/>
        </w:rPr>
      </w:pPr>
    </w:p>
    <w:p>
      <w:pPr>
        <w:ind w:left="4" w:firstLine="1371"/>
        <w:spacing w:after="0" w:line="269" w:lineRule="auto"/>
        <w:tabs>
          <w:tab w:leader="none" w:pos="1683"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adopt, establish or enter into any Company Employee Plan, including, for the avoidance of doubt, any equity awards plans, (B) cause or permit any Company Employee Plan to be amended other than as required by Law or in order to make amendments for the purposes of compliance with Section 409A of the Code, (C) pay any bonus or make any profit-sharing or similar payment to, or increase the amount of the wages, salary, commissions, fringe benefits or other compensation or remuneration payable to, any of its directors, officers or employees, (D) increase or amend the severance or change of control benefits offered to any current or new employees, directors or consultants, or</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engage any officer or employee;</w:t>
      </w:r>
    </w:p>
    <w:p>
      <w:pPr>
        <w:spacing w:after="0" w:line="98" w:lineRule="exact"/>
        <w:rPr>
          <w:rFonts w:ascii="Times New Roman" w:cs="Times New Roman" w:eastAsia="Times New Roman" w:hAnsi="Times New Roman"/>
          <w:sz w:val="18"/>
          <w:szCs w:val="18"/>
          <w:color w:val="auto"/>
        </w:rPr>
      </w:pPr>
    </w:p>
    <w:p>
      <w:pPr>
        <w:ind w:left="1724" w:hanging="349"/>
        <w:spacing w:after="0"/>
        <w:tabs>
          <w:tab w:leader="none" w:pos="1724"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material transaction outside the Ordinary Course of Business;</w:t>
      </w:r>
    </w:p>
    <w:p>
      <w:pPr>
        <w:spacing w:after="0" w:line="117" w:lineRule="exact"/>
        <w:rPr>
          <w:rFonts w:ascii="Times New Roman" w:cs="Times New Roman" w:eastAsia="Times New Roman" w:hAnsi="Times New Roman"/>
          <w:sz w:val="18"/>
          <w:szCs w:val="18"/>
          <w:color w:val="auto"/>
        </w:rPr>
      </w:pPr>
    </w:p>
    <w:p>
      <w:pPr>
        <w:ind w:left="4" w:right="20" w:firstLine="1371"/>
        <w:spacing w:after="0" w:line="282" w:lineRule="auto"/>
        <w:tabs>
          <w:tab w:leader="none" w:pos="178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asset or sell, lease, license or otherwise irrevocably dispose of any of its assets or properties, or grant any Encumbrance with respect to such assets or properties in excess of $250,000, except in the Ordinary Course of Business;</w:t>
      </w:r>
    </w:p>
    <w:p>
      <w:pPr>
        <w:spacing w:after="0" w:line="53" w:lineRule="exact"/>
        <w:rPr>
          <w:rFonts w:ascii="Times New Roman" w:cs="Times New Roman" w:eastAsia="Times New Roman" w:hAnsi="Times New Roman"/>
          <w:sz w:val="18"/>
          <w:szCs w:val="18"/>
          <w:color w:val="auto"/>
        </w:rPr>
      </w:pPr>
    </w:p>
    <w:p>
      <w:pPr>
        <w:ind w:left="4" w:right="280" w:firstLine="1371"/>
        <w:spacing w:after="0" w:line="282" w:lineRule="auto"/>
        <w:tabs>
          <w:tab w:leader="none" w:pos="1683"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sublicense or otherwise dispose of any material Company Intellectual Property (other than pursuant to non-exclusive licenses in the Ordinary Course of Business);</w:t>
      </w:r>
    </w:p>
    <w:p>
      <w:pPr>
        <w:spacing w:after="0" w:line="53" w:lineRule="exact"/>
        <w:rPr>
          <w:rFonts w:ascii="Times New Roman" w:cs="Times New Roman" w:eastAsia="Times New Roman" w:hAnsi="Times New Roman"/>
          <w:sz w:val="18"/>
          <w:szCs w:val="18"/>
          <w:color w:val="auto"/>
        </w:rPr>
      </w:pPr>
    </w:p>
    <w:p>
      <w:pPr>
        <w:ind w:left="4" w:firstLine="1371"/>
        <w:spacing w:after="0" w:line="281" w:lineRule="auto"/>
        <w:tabs>
          <w:tab w:leader="none" w:pos="1633"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(other than as a result of any extension to file a Tax Return that is automatically granted); or (F) apply for or surrender any claim for Tax refund;</w:t>
      </w:r>
    </w:p>
    <w:p>
      <w:pPr>
        <w:spacing w:after="0" w:line="56" w:lineRule="exact"/>
        <w:rPr>
          <w:rFonts w:ascii="Times New Roman" w:cs="Times New Roman" w:eastAsia="Times New Roman" w:hAnsi="Times New Roman"/>
          <w:sz w:val="17"/>
          <w:szCs w:val="17"/>
          <w:color w:val="auto"/>
        </w:rPr>
      </w:pPr>
    </w:p>
    <w:p>
      <w:pPr>
        <w:ind w:left="4" w:right="100" w:firstLine="419"/>
        <w:spacing w:after="0" w:line="258" w:lineRule="auto"/>
        <w:tabs>
          <w:tab w:leader="none" w:pos="73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settle or compromise any pending or threatened Legal Proceeding against the Company or any of its Subsidiaries, other than waivers, settlements or agreements (A) for an amount not in excess of $100,000 individually or $300,000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4"/>
          </w:cols>
          <w:pgMar w:left="876" w:top="270" w:right="459" w:bottom="1440" w:gutter="0" w:footer="0" w:header="0"/>
        </w:sectPr>
      </w:pPr>
    </w:p>
    <w:bookmarkStart w:id="83" w:name="page84"/>
    <w:bookmarkEnd w:id="83"/>
    <w:p>
      <w:pPr>
        <w:ind w:left="440" w:right="260" w:firstLine="1371"/>
        <w:spacing w:after="0" w:line="266" w:lineRule="auto"/>
        <w:tabs>
          <w:tab w:leader="none" w:pos="21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delay or fail to repay when due any material obligation, including accounts payable and accrued expenses (provided, however, that any such accounts payable or accrued expenses need not be paid if the validity or amount thereof shall at the time be contested in good faith);</w:t>
      </w:r>
    </w:p>
    <w:p>
      <w:pPr>
        <w:spacing w:after="0" w:line="67" w:lineRule="exact"/>
        <w:rPr>
          <w:rFonts w:ascii="Times New Roman" w:cs="Times New Roman" w:eastAsia="Times New Roman" w:hAnsi="Times New Roman"/>
          <w:sz w:val="18"/>
          <w:szCs w:val="18"/>
          <w:color w:val="auto"/>
        </w:rPr>
      </w:pPr>
    </w:p>
    <w:p>
      <w:pPr>
        <w:ind w:left="2220" w:hanging="409"/>
        <w:spacing w:after="0"/>
        <w:tabs>
          <w:tab w:leader="none" w:pos="22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forgive any loans to any Person, including its employees, officers, directors or Affiliate;</w:t>
      </w:r>
    </w:p>
    <w:p>
      <w:pPr>
        <w:spacing w:after="0" w:line="117" w:lineRule="exact"/>
        <w:rPr>
          <w:rFonts w:ascii="Times New Roman" w:cs="Times New Roman" w:eastAsia="Times New Roman" w:hAnsi="Times New Roman"/>
          <w:sz w:val="18"/>
          <w:szCs w:val="18"/>
          <w:color w:val="auto"/>
        </w:rPr>
      </w:pPr>
    </w:p>
    <w:p>
      <w:pPr>
        <w:ind w:left="2200" w:hanging="389"/>
        <w:spacing w:after="0"/>
        <w:tabs>
          <w:tab w:leader="none" w:pos="2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modify in any material respect, or fail to exercise renewal rights with respect to, any material insurance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w:t>
      </w:r>
    </w:p>
    <w:p>
      <w:pPr>
        <w:spacing w:after="0" w:line="98" w:lineRule="exact"/>
        <w:rPr>
          <w:rFonts w:ascii="Times New Roman" w:cs="Times New Roman" w:eastAsia="Times New Roman" w:hAnsi="Times New Roman"/>
          <w:sz w:val="18"/>
          <w:szCs w:val="18"/>
          <w:color w:val="auto"/>
        </w:rPr>
      </w:pPr>
    </w:p>
    <w:p>
      <w:pPr>
        <w:ind w:left="440" w:firstLine="1371"/>
        <w:spacing w:after="0" w:line="266" w:lineRule="auto"/>
        <w:tabs>
          <w:tab w:leader="none" w:pos="21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w:t>
      </w:r>
    </w:p>
    <w:p>
      <w:pPr>
        <w:spacing w:after="0" w:line="67" w:lineRule="exact"/>
        <w:rPr>
          <w:rFonts w:ascii="Times New Roman" w:cs="Times New Roman" w:eastAsia="Times New Roman" w:hAnsi="Times New Roman"/>
          <w:sz w:val="18"/>
          <w:szCs w:val="18"/>
          <w:color w:val="auto"/>
        </w:rPr>
      </w:pPr>
    </w:p>
    <w:p>
      <w:pPr>
        <w:jc w:val="both"/>
        <w:ind w:left="440" w:right="240" w:firstLine="1371"/>
        <w:spacing w:after="0" w:line="266" w:lineRule="auto"/>
        <w:tabs>
          <w:tab w:leader="none" w:pos="220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or terminate any Company Material Contract, except in the Ordinary Course of Business in a manner that would not otherwise require Aspen’s consent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would not reasonably be expected to prevent or to materially impede or delay the consummation of the Contemplated Transactions; or</w:t>
      </w:r>
    </w:p>
    <w:p>
      <w:pPr>
        <w:spacing w:after="0" w:line="67" w:lineRule="exact"/>
        <w:rPr>
          <w:rFonts w:ascii="Times New Roman" w:cs="Times New Roman" w:eastAsia="Times New Roman" w:hAnsi="Times New Roman"/>
          <w:sz w:val="18"/>
          <w:szCs w:val="18"/>
          <w:color w:val="auto"/>
        </w:rPr>
      </w:pPr>
    </w:p>
    <w:p>
      <w:pPr>
        <w:ind w:left="2260" w:hanging="449"/>
        <w:spacing w:after="0"/>
        <w:tabs>
          <w:tab w:leader="none" w:pos="2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Aspen,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3" w:lineRule="auto"/>
        <w:tabs>
          <w:tab w:leader="none" w:pos="16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Confidentiality Agreement, which the Parties agree will continue in full force following the date of this Agreement, during the Pre-Closing Period, upon reasonable notice, Aspen,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84" w:name="page85"/>
    <w:bookmarkEnd w:id="84"/>
    <w:p>
      <w:pPr>
        <w:ind w:left="4" w:right="80" w:hanging="4"/>
        <w:spacing w:after="0" w:line="261" w:lineRule="auto"/>
        <w:tabs>
          <w:tab w:leader="none" w:pos="2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make available to the other Party copies of any material notice, report or other document filed with or sent to or received from any Governmental Authority in connection with the Contemplated Transactions. Any investigation conducted by either Aspen or the Company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 Aspen shall not be required to provide any information or documents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relating to any Acquisition Transaction or Acquisition Inquiry.</w:t>
      </w:r>
    </w:p>
    <w:p>
      <w:pPr>
        <w:spacing w:after="0" w:line="179" w:lineRule="exact"/>
        <w:rPr>
          <w:rFonts w:ascii="Times New Roman" w:cs="Times New Roman" w:eastAsia="Times New Roman" w:hAnsi="Times New Roman"/>
          <w:sz w:val="18"/>
          <w:szCs w:val="18"/>
          <w:color w:val="auto"/>
        </w:rPr>
      </w:pPr>
    </w:p>
    <w:p>
      <w:pPr>
        <w:ind w:left="4" w:right="180" w:firstLine="1428"/>
        <w:spacing w:after="0" w:line="255" w:lineRule="auto"/>
        <w:tabs>
          <w:tab w:leader="none" w:pos="16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no access or examination contemplated by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1" w:lineRule="auto"/>
        <w:tabs>
          <w:tab w:leader="none" w:pos="1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Aspen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or submission of any Acquisition Proposal or Acquisition Inquiry, (ii) furnish any non-public information regarding Aspen or the Company (as applicable) to any Person in connection with or in response to an Acquisition Proposal or Acquisition Inquiry, (iii) engage in discussions or negotiations (other than to inform any Person of the existence of the provisions of this Agreement) with any Person with respect to any Acquisition Proposal or Acquisition Inquiry, (iv) approve, endorse or recommend any Acquisition Proposal (except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(v) execute or enter into any letter of intent or any Contract contemplating or otherwise relating to any Acquisition Transaction (except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(vi) publicly propose, resolve or agree to do any of the foregoing (except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prior to the receipt of the Required Aspen Stockholder Vote as to Aspen or prior to the receipt of the Required Company Stockholder Vote, as to the Company, each Party may furnish non-public information regarding itself and its Subsidiaries to, and enter into discussions or negotiations with, any Person in response to a bona fide written Acquisition Proposal by such Person which that Party’s Board (or a committee thereof) determines in good faith, after consultation with its financial advisors and outside legal counsel, constitutes, or is reasonably likely to constitute or result in, a Superior Offer (and is not withdrawn) if: (A) such Party and the Representatives of such Party shall not have breached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in any material respect, (B) the Party’s Board (or a committee thereof) concludes in good faith based on the advice of outside legal counsel, that the failure to take such action would be inconsistent with such Party’s Board’s fiduciary duties under applicable Law, (C) prior to providing any non-public information about itself, the Party receives from such Person an executed Acceptable Confidentiality Agreement (the negotiation of which shall not be prohibited by this Agreement) and</w:t>
      </w:r>
    </w:p>
    <w:p>
      <w:pPr>
        <w:spacing w:after="0" w:line="10" w:lineRule="exact"/>
        <w:rPr>
          <w:rFonts w:ascii="Times New Roman" w:cs="Times New Roman" w:eastAsia="Times New Roman" w:hAnsi="Times New Roman"/>
          <w:sz w:val="18"/>
          <w:szCs w:val="18"/>
          <w:color w:val="auto"/>
        </w:rPr>
      </w:pPr>
    </w:p>
    <w:p>
      <w:pPr>
        <w:ind w:left="4" w:right="60" w:hanging="4"/>
        <w:spacing w:after="0" w:line="260" w:lineRule="auto"/>
        <w:tabs>
          <w:tab w:leader="none" w:pos="2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with furnishing any such non-public information to such Person, the Party furnishes such non-public information to the other Party (to the extent such information has not been previously furnished to the other Party). Without limiting the generality of</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5" w:name="page86"/>
    <w:bookmarkEnd w:id="85"/>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each of Aspen and the Company acknowledges and agrees that, in the event any of its Representative takes any action with its consent that, if taken by such Party, would constitute a breach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by such Party, the taking of such action by such Representative shall be deemed to constitute a breach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by such Party for purposes of this Agreement. Notwithstanding anything to the contrary in this Agreement,</w:t>
      </w:r>
    </w:p>
    <w:p>
      <w:pPr>
        <w:spacing w:after="0" w:line="2" w:lineRule="exact"/>
        <w:rPr>
          <w:sz w:val="20"/>
          <w:szCs w:val="20"/>
          <w:color w:val="auto"/>
        </w:rPr>
      </w:pPr>
    </w:p>
    <w:p>
      <w:pPr>
        <w:ind w:left="4" w:right="100" w:hanging="4"/>
        <w:spacing w:after="0" w:line="253" w:lineRule="auto"/>
        <w:tabs>
          <w:tab w:leader="none" w:pos="24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Aspen and the Company may (i) grant any waiver with respect to, or release, any standstill provision or similar restriction in order to permit a third party to make an Acquisition Proposal or Acquisition Inquiry or (ii) contact any Person that has made an Acquisition Proposal or Acquisition Inquiry after the date hereof to clarify the terms thereof so that the receiving Party’s Board (or a committee thereof) may inform itself of such Acquisition Proposal or Acquisition Inquiry and (b) nothing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prohibit the Company from contacting any Person for the purposes of entering into transactions for capital raising purposes that are otherwise in accordance with the terms of this Agreement.</w:t>
      </w:r>
    </w:p>
    <w:p>
      <w:pPr>
        <w:spacing w:after="0" w:line="186"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69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87" w:lineRule="exact"/>
        <w:rPr>
          <w:rFonts w:ascii="Times New Roman" w:cs="Times New Roman" w:eastAsia="Times New Roman" w:hAnsi="Times New Roman"/>
          <w:sz w:val="18"/>
          <w:szCs w:val="18"/>
          <w:color w:val="auto"/>
        </w:rPr>
      </w:pPr>
    </w:p>
    <w:p>
      <w:pPr>
        <w:ind w:left="4" w:right="160" w:firstLine="1428"/>
        <w:spacing w:after="0" w:line="266" w:lineRule="auto"/>
        <w:tabs>
          <w:tab w:leader="none" w:pos="168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76"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During the Pre-Closing Period, each of the Company, on the one hand, and Aspen,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Aspen Key Employee or Company Key Employee (as applicable)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as applicable, impossible or materially less likely. No such notice shall be deemed to supplement or amend the Company Disclosure Schedule or the Aspen Disclosure Schedule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has been satisfied. Any failure by either Party to provide notice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to be a breach for purposes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as applicable, unless such failure to provide such notice was knowing and intentional.</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Additional Agreements of the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Registration Statement,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1428"/>
        <w:spacing w:after="0" w:line="253" w:lineRule="auto"/>
        <w:tabs>
          <w:tab w:leader="none" w:pos="163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of this Agreement, (i) Aspen shall prepare and file with the SEC a proxy statement relating to the Aspen Stockholder Meeting to be held in connection with the Merger (together with any amendments thereof or supplements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(ii) Aspen, in cooperation with the Company,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the Proxy Statement shall be included as a part (the Proxy Statement and the Form S-4, collectively,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in connection with the registration under the Securities Act of the shares of Aspen Common Stock to be issued by virtue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Transactions. Aspen shall use commercially reasonable efforts to (i) cause the Registration Statement to comply with applicable rules and regulations promulgated by the SEC, (ii) cause the Registration Statement to become effective as promptly as practicable, (iii) respond promptly to any comments or requests of the SEC or its staff related to the Registration Statement. Aspen shall take all or any action required under any applicable federal, state, securities and other Laws in connection with the issuance of shares of Aspen Common Stock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w:t>
      </w:r>
    </w:p>
    <w:p>
      <w:pPr>
        <w:spacing w:after="0" w:line="189" w:lineRule="exact"/>
        <w:rPr>
          <w:rFonts w:ascii="Times New Roman" w:cs="Times New Roman" w:eastAsia="Times New Roman" w:hAnsi="Times New Roman"/>
          <w:sz w:val="18"/>
          <w:szCs w:val="18"/>
          <w:color w:val="auto"/>
        </w:rPr>
      </w:pPr>
    </w:p>
    <w:p>
      <w:pPr>
        <w:ind w:left="-40" w:right="20" w:firstLine="1428"/>
        <w:spacing w:after="0" w:line="253" w:lineRule="auto"/>
        <w:tabs>
          <w:tab w:leader="none" w:pos="164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covenants and agrees that the Registration Statement (and the letter to stockholders, notice of meeting and form of proxy included therewith) will (i) comply as to form in all material respects with the requirements of applicable U.S. federal securities laws and the DGCL as well as the SEC form requirements,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Aspen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94" w:lineRule="exact"/>
        <w:rPr>
          <w:rFonts w:ascii="Times New Roman" w:cs="Times New Roman" w:eastAsia="Times New Roman" w:hAnsi="Times New Roman"/>
          <w:sz w:val="18"/>
          <w:szCs w:val="18"/>
          <w:color w:val="auto"/>
        </w:rPr>
      </w:pPr>
    </w:p>
    <w:p>
      <w:pPr>
        <w:ind w:left="-40" w:firstLine="1428"/>
        <w:spacing w:after="0" w:line="252" w:lineRule="auto"/>
        <w:tabs>
          <w:tab w:leader="none" w:pos="163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shall use commercially reasonable efforts to cause the Proxy Statement to be mailed to Aspen’s stockholders as promptly as practicable after the Registration Statement is declared effective under the Securities Act. If at any time before the Effective Time, (i) Aspen,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Aspen filing such amendment or supplement with the SEC (and, if appropriate, in mailing such amendment or supplement to the Aspen stockholders) or otherwise addressing such SEC request or comments and each Party and shall use their commercially reasonable efforts to cause any such amendment to become effective, if required. Aspen shall promptly notify the Company if it becomes aware (1) that the Registration Statement has become effective, (2) of the issuance of any stop order or suspension of the qualification or registration of the Aspen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80" w:top="270" w:right="479" w:bottom="1440" w:gutter="0" w:footer="0" w:header="0"/>
        </w:sectPr>
      </w:pPr>
    </w:p>
    <w:bookmarkStart w:id="87" w:name="page88"/>
    <w:bookmarkEnd w:id="87"/>
    <w:p>
      <w:pPr>
        <w:ind w:left="4" w:firstLine="1428"/>
        <w:spacing w:after="0" w:line="252" w:lineRule="auto"/>
        <w:tabs>
          <w:tab w:leader="none" w:pos="169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reasonably cooperate with Aspen and provide, and cause its Representatives to provide, Aspen and its Representatives, with all true, correct and complete information regarding the Company that is required by Law to be included in the Registration Statement or reasonably requested by Aspen to be included in the Registration Statement (collectively, the “</w:t>
      </w:r>
      <w:r>
        <w:rPr>
          <w:rFonts w:ascii="Times New Roman" w:cs="Times New Roman" w:eastAsia="Times New Roman" w:hAnsi="Times New Roman"/>
          <w:sz w:val="18"/>
          <w:szCs w:val="18"/>
          <w:b w:val="1"/>
          <w:bCs w:val="1"/>
          <w:color w:val="auto"/>
        </w:rPr>
        <w:t>Company Required S-4 Information</w:t>
      </w:r>
      <w:r>
        <w:rPr>
          <w:rFonts w:ascii="Times New Roman" w:cs="Times New Roman" w:eastAsia="Times New Roman" w:hAnsi="Times New Roman"/>
          <w:sz w:val="18"/>
          <w:szCs w:val="18"/>
          <w:color w:val="auto"/>
        </w:rPr>
        <w:t xml:space="preserve">”). Without limiting the foregoing, the Company will use commercially reasonable efforts to cause to be delivered to Aspen a consent letter of the Company’s independent accounting firm, dated no more than three (3) Business Days before the date on which the Registration Statement is filed with the SEC (and reasonably satisfactory in form and substance to Aspen),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Aspen may not file the Registration Statement, or any amendment or supplement thereto, without the prior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Aspen has included the Company Required S-4 Information in the Registration Statement in substantially the same form as it was provided to Aspen by the Company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prior consent of the Company is not obtained then, notwithstanding anything else herein, the Company makes no covenant or representation regarding the portion of such information supplied by or on behalf of the Company to Aspen for inclusion in such Registration Statement that the Company reasonably identifies prior to such filing of the Registration Statement.</w:t>
      </w:r>
    </w:p>
    <w:p>
      <w:pPr>
        <w:spacing w:after="0" w:line="197"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date of this Agreement, the Company will furnish to Aspen (i) audited financial statements for each of its fiscal years required to be included in the Registration Statement (the “</w:t>
      </w:r>
      <w:r>
        <w:rPr>
          <w:rFonts w:ascii="Times New Roman" w:cs="Times New Roman" w:eastAsia="Times New Roman" w:hAnsi="Times New Roman"/>
          <w:sz w:val="18"/>
          <w:szCs w:val="18"/>
          <w:b w:val="1"/>
          <w:bCs w:val="1"/>
          <w:color w:val="auto"/>
        </w:rPr>
        <w:t>Company Audited Financial Statements</w:t>
      </w:r>
      <w:r>
        <w:rPr>
          <w:rFonts w:ascii="Times New Roman" w:cs="Times New Roman" w:eastAsia="Times New Roman" w:hAnsi="Times New Roman"/>
          <w:sz w:val="18"/>
          <w:szCs w:val="18"/>
          <w:color w:val="auto"/>
        </w:rPr>
        <w:t>”) and (ii)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8"/>
          <w:szCs w:val="18"/>
          <w:b w:val="1"/>
          <w:bCs w:val="1"/>
          <w:color w:val="auto"/>
        </w:rPr>
        <w:t>Company Interim Financial Statements</w:t>
      </w:r>
      <w:r>
        <w:rPr>
          <w:rFonts w:ascii="Times New Roman" w:cs="Times New Roman" w:eastAsia="Times New Roman" w:hAnsi="Times New Roman"/>
          <w:sz w:val="18"/>
          <w:szCs w:val="18"/>
          <w:color w:val="auto"/>
        </w:rPr>
        <w:t>”).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Registration Statement has been declared effective under the Securities Act, and in any event no later than four</w:t>
      </w:r>
    </w:p>
    <w:p>
      <w:pPr>
        <w:spacing w:after="0" w:line="38" w:lineRule="exact"/>
        <w:rPr>
          <w:rFonts w:ascii="Times New Roman" w:cs="Times New Roman" w:eastAsia="Times New Roman" w:hAnsi="Times New Roman"/>
          <w:sz w:val="17"/>
          <w:szCs w:val="17"/>
          <w:color w:val="auto"/>
        </w:rPr>
      </w:pPr>
    </w:p>
    <w:p>
      <w:pPr>
        <w:ind w:left="4" w:right="20" w:hanging="4"/>
        <w:spacing w:after="0" w:line="268" w:lineRule="auto"/>
        <w:tabs>
          <w:tab w:leader="none" w:pos="25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thereafter, the Company shall have obtained the approval by written consent from Company stockholders representing no less than 88% of the voting power of the Company, which is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7"/>
          <w:szCs w:val="17"/>
          <w:b w:val="1"/>
          <w:bCs w:val="1"/>
          <w:color w:val="auto"/>
        </w:rPr>
        <w:t>Company Stockholder Written Consents</w:t>
      </w:r>
      <w:r>
        <w:rPr>
          <w:rFonts w:ascii="Times New Roman" w:cs="Times New Roman" w:eastAsia="Times New Roman" w:hAnsi="Times New Roman"/>
          <w:sz w:val="17"/>
          <w:szCs w:val="17"/>
          <w:color w:val="auto"/>
        </w:rPr>
        <w:t>”). Under no circumstances shall the Company assert that any other approval or consent is necessary by its stockholders to approve this Agreement and the Contemplated Transactions.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8" w:name="page89"/>
    <w:bookmarkEnd w:id="88"/>
    <w:p>
      <w:pPr>
        <w:jc w:val="both"/>
        <w:ind w:firstLine="1428"/>
        <w:spacing w:after="0" w:line="257" w:lineRule="auto"/>
        <w:tabs>
          <w:tab w:leader="none" w:pos="168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promptly as reasonably practicable following receipt of the Required Company Stockholder Vote, the Company shall prepare and mail a notice (the “</w:t>
      </w:r>
      <w:r>
        <w:rPr>
          <w:rFonts w:ascii="Times New Roman" w:cs="Times New Roman" w:eastAsia="Times New Roman" w:hAnsi="Times New Roman"/>
          <w:sz w:val="18"/>
          <w:szCs w:val="18"/>
          <w:b w:val="1"/>
          <w:bCs w:val="1"/>
          <w:color w:val="auto"/>
        </w:rPr>
        <w:t>Stockholder Notice</w:t>
      </w:r>
      <w:r>
        <w:rPr>
          <w:rFonts w:ascii="Times New Roman" w:cs="Times New Roman" w:eastAsia="Times New Roman" w:hAnsi="Times New Roman"/>
          <w:sz w:val="18"/>
          <w:szCs w:val="18"/>
          <w:color w:val="auto"/>
        </w:rPr>
        <w:t>”) to every stockholder of the Company that did not execute the Company Stockholder Written Consent. The Stockholder Notice shall (i) be a statement to the effect that the Company Board determined that the Merger is advisable in accordance with</w:t>
      </w:r>
    </w:p>
    <w:p>
      <w:pPr>
        <w:spacing w:after="0" w:line="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Organizational Documents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subject to Aspen’s advance review and reasonable approval.</w:t>
      </w:r>
    </w:p>
    <w:p>
      <w:pPr>
        <w:spacing w:after="0" w:line="188" w:lineRule="exact"/>
        <w:rPr>
          <w:rFonts w:ascii="Times New Roman" w:cs="Times New Roman" w:eastAsia="Times New Roman" w:hAnsi="Times New Roman"/>
          <w:sz w:val="18"/>
          <w:szCs w:val="18"/>
          <w:color w:val="auto"/>
        </w:rPr>
      </w:pPr>
    </w:p>
    <w:p>
      <w:pPr>
        <w:ind w:right="120" w:firstLine="1428"/>
        <w:spacing w:after="0" w:line="255" w:lineRule="auto"/>
        <w:tabs>
          <w:tab w:leader="none" w:pos="16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 the Company Board shall recommend that the Company’s stockholders vote to adopt and approve this Agreement and the Contemplated Transactions (the recommendation of the Company Board that the Company’s stockholders vote to adopt and approve this Agreement being referred to as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and (ii) except as provided in Section 6.2(d), the Company Board Recommendation shall not be withdrawn or modified (and the Company Board shall not publicly propose to withdraw or modify the Company Board Recommendation) in a manner adverse to Aspen, and no resolution by the Company Board or any committee thereof to withdraw or modify the Company Board Recommendation in a manner adverse to Aspen or to adopt, approve or recommend (or publicly propose to adopt, approve or recommend) any Acquisition Proposal shall be adopted or proposed.</w:t>
      </w:r>
    </w:p>
    <w:p>
      <w:pPr>
        <w:spacing w:after="0" w:line="18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if at any time prior to approval and adoption of this Agreement by the Required Company Stockholder Vote, the Company receives a Superior Offer, the Company Board may withhold, amend, withdraw or modify the Company Board Recommendation (or publicly propose to withhold, amend, withdraw or modify the Company Board Recommendation) in a manner adverse to Aspen (collectively, a “</w:t>
      </w:r>
      <w:r>
        <w:rPr>
          <w:rFonts w:ascii="Times New Roman" w:cs="Times New Roman" w:eastAsia="Times New Roman" w:hAnsi="Times New Roman"/>
          <w:sz w:val="18"/>
          <w:szCs w:val="18"/>
          <w:b w:val="1"/>
          <w:bCs w:val="1"/>
          <w:color w:val="auto"/>
        </w:rPr>
        <w:t>Company Board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if, but only if, following the receipt of and on account of such Superior Offer, (i) the Company Board (or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determines in good faith, after consultation with its outside legal counsel, that the failure to take such action would be inconsistent with its fiduciary duties under applicable Law, (ii) the Company has, and has caused its financial advisors and outside legal counsel to, during the Company Notice Period (as defined below) negotiated with Aspen to the extent required by clause (y) below and (iii) if after Aspen shall have delivered to the Company a written offer to alter the terms or conditions of this Agreement during the Company Notice Period pursuant to clause (y) of the proviso to this sentence, the Company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provided that (x) Aspen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8"/>
          <w:szCs w:val="18"/>
          <w:b w:val="1"/>
          <w:bCs w:val="1"/>
          <w:color w:val="auto"/>
        </w:rPr>
        <w:t>Company Notice Period</w:t>
      </w:r>
      <w:r>
        <w:rPr>
          <w:rFonts w:ascii="Times New Roman" w:cs="Times New Roman" w:eastAsia="Times New Roman" w:hAnsi="Times New Roman"/>
          <w:sz w:val="18"/>
          <w:szCs w:val="18"/>
          <w:color w:val="auto"/>
        </w:rPr>
        <w:t>”), which notice shall include a description in reasonable detail of the reasons for such Company Board Adverse Recommendation Change, and written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9" w:name="page90"/>
    <w:bookmarkEnd w:id="8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of any relevant proposed transaction agreements with any party making a potential Superior Offer, (y) during any Company Notice Period, Aspen shall be entitled to deliver to the Company one or more counterproposals to such Acquisition Proposal and the Company will, and cause its Representatives to, negotiate with Aspen in good faith (to the extent Aspen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Aspen with notice of such material amendment and the Company Notice Period shall be extended, if applicable, to ensure that at least three (3) Business Days remain in the Company Notice Period following such notification during which the parties shall comply again with the requirements of this Section 6.2(d) and the Company Board shall not make a Company Board Adverse Recommendation Change prior to the end of such Company Notice Period as so extended (it being understood that there may be multiple extensions).</w:t>
      </w:r>
    </w:p>
    <w:p>
      <w:pPr>
        <w:spacing w:after="0" w:line="194" w:lineRule="exact"/>
        <w:rPr>
          <w:sz w:val="20"/>
          <w:szCs w:val="20"/>
          <w:color w:val="auto"/>
        </w:rPr>
      </w:pPr>
    </w:p>
    <w:p>
      <w:pPr>
        <w:jc w:val="both"/>
        <w:ind w:right="580" w:firstLine="1428"/>
        <w:spacing w:after="0" w:line="266" w:lineRule="auto"/>
        <w:tabs>
          <w:tab w:leader="none" w:pos="16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solicit the consent of its stockholders to sign the Company Stockholder Written Consents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Acquisition Inquiry, Acquisition Proposal or Company Board Adverse Recommendation Change.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Aspen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3" w:lineRule="auto"/>
        <w:tabs>
          <w:tab w:leader="none" w:pos="16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shall take all action necessary under applicable Law to call, give notice of and hold a meeting of the holders of Aspen Common Stock to consider and vote upon the Aspen Stockholder Matters and, if mutually agreed between the parties, the routine annual meeting approvals in compliance with Nasdaq (the “</w:t>
      </w:r>
      <w:r>
        <w:rPr>
          <w:rFonts w:ascii="Times New Roman" w:cs="Times New Roman" w:eastAsia="Times New Roman" w:hAnsi="Times New Roman"/>
          <w:sz w:val="18"/>
          <w:szCs w:val="18"/>
          <w:b w:val="1"/>
          <w:bCs w:val="1"/>
          <w:color w:val="auto"/>
        </w:rPr>
        <w:t>Aspen Stockholder Meeting</w:t>
      </w:r>
      <w:r>
        <w:rPr>
          <w:rFonts w:ascii="Times New Roman" w:cs="Times New Roman" w:eastAsia="Times New Roman" w:hAnsi="Times New Roman"/>
          <w:sz w:val="18"/>
          <w:szCs w:val="18"/>
          <w:color w:val="auto"/>
        </w:rPr>
        <w:t xml:space="preserve">”). The Aspen Stockholder Meeting shall be held as promptly as practicable after the date that the Registration Statement is declared effective under the Securities Act, and in any event, no later than forty-five (45) days after the effective date of the Registration Statement. Aspen shall take reasonable measures to ensure that all proxies solicited in connection with the Aspen Stockholder Meeting are solicited in compliance with all applicable Law. Notwithstanding anything to the contrary contained herein, if on the date of the Aspen Stockholder Meeting, or a date preceding the date on which the Aspen Stockholder Meeting is scheduled, Aspen reasonably believes that (i) it will not receive proxies sufficient to obtain the Required Aspen Stockholder Vote, whether or not a quorum would be present, or (ii) it will not have sufficient shares of Aspen Common Stock represented (whether in person or by proxy) to constitute a quorum necessary to conduct the business of the Aspen Stockholder Meeting, Aspen may postpone or adjourn, or make one or more successive postponements or adjournments of, the Aspen Stockholder Meeting as long as the date of the Aspen Stockholder Meeting is not postponed or adjourned more than an aggregate of forty-five (45) days in connection with any postponements or adjournments,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more than one postponement or adjournment shall not be permitted without the Company’s prior written consent.</w:t>
      </w:r>
    </w:p>
    <w:p>
      <w:pPr>
        <w:spacing w:after="0" w:line="187"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Aspen agrees that (i) the Aspen Board shall recommend that the holders of Aspen Common Stock vote to approve the Specified Aspen Stockholder Matters and (ii) the Proxy Statement shall include a statement to the effect that the Aspen Board recommends that Aspen’s stockholders vote to approve the Specified Aspen Stockholder Matters (such recommendation of the Aspen Board being referred to as the “</w:t>
      </w:r>
      <w:r>
        <w:rPr>
          <w:rFonts w:ascii="Times New Roman" w:cs="Times New Roman" w:eastAsia="Times New Roman" w:hAnsi="Times New Roman"/>
          <w:sz w:val="18"/>
          <w:szCs w:val="18"/>
          <w:b w:val="1"/>
          <w:bCs w:val="1"/>
          <w:color w:val="auto"/>
        </w:rPr>
        <w:t>Aspen Board Recommendation</w:t>
      </w:r>
      <w:r>
        <w:rPr>
          <w:rFonts w:ascii="Times New Roman" w:cs="Times New Roman" w:eastAsia="Times New Roman" w:hAnsi="Times New Roman"/>
          <w:sz w:val="18"/>
          <w:szCs w:val="18"/>
          <w:color w:val="auto"/>
        </w:rPr>
        <w:t>”). In addition, the Aspen Board shall recommend that the holders of Aspen Common Stock vote to approve the other Aspen Stockholder Matters (the “</w:t>
      </w:r>
      <w:r>
        <w:rPr>
          <w:rFonts w:ascii="Times New Roman" w:cs="Times New Roman" w:eastAsia="Times New Roman" w:hAnsi="Times New Roman"/>
          <w:sz w:val="18"/>
          <w:szCs w:val="18"/>
          <w:b w:val="1"/>
          <w:bCs w:val="1"/>
          <w:color w:val="auto"/>
        </w:rPr>
        <w:t>Aspen Second Board Recommendation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0" w:name="page91"/>
    <w:bookmarkEnd w:id="90"/>
    <w:p>
      <w:pPr>
        <w:ind w:left="-20" w:firstLine="1428"/>
        <w:spacing w:after="0" w:line="251" w:lineRule="auto"/>
        <w:tabs>
          <w:tab w:leader="none" w:pos="165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if at any time prior to approval and adoption of this Agreement by the Required Aspen Stockholder Vote, if Aspen receives a Superior Offer, the Aspen Board may withhold, amend, withdraw or modify the Aspen Board Recommendation (or publicly propose to withhold, amend, withdraw or modify the Aspen Board Recommendation) in a manner adverse to the Company (collectively, a “</w:t>
      </w:r>
      <w:r>
        <w:rPr>
          <w:rFonts w:ascii="Times New Roman" w:cs="Times New Roman" w:eastAsia="Times New Roman" w:hAnsi="Times New Roman"/>
          <w:sz w:val="18"/>
          <w:szCs w:val="18"/>
          <w:b w:val="1"/>
          <w:bCs w:val="1"/>
          <w:color w:val="auto"/>
        </w:rPr>
        <w:t>Aspen Board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approve, endorse or recommend an Acquisition Proposal that constitutes a Superior Offer or enter into any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Contract contemplating or otherwise relating to an Acquisition Proposal that constitutes a Superior Offer, if, but only if, following the receipt of and on account of such Superior Offer: (i) the Aspen Board (or a committee thereof) determines in good faith, after consultation with its outside legal counsel, that the failure to take such action would be inconsistent with its fiduciary duties under applicable Law, (ii) Aspen has, and has caused its financial advisors and outside legal counsel to, during the Aspen Notice Period (as defined below) negotiated with the Company to the extent required by clause (y) below, and (iii) if after the Company shall have delivered to the Company a written offer to alter the terms or conditions of this Agreement during the Aspen Notice Period pursuant to clause (y) of the proviso to this sentence, the Aspen Board (or a committee thereof) shall have determined in good faith, after consultation with its outside legal counsel, that the failure to take such action would be inconsistent with its fiduciary duties under applicable Law (after taking into account such alterations of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Company receives written notice from Aspen confirming that the Aspen Board has determined to change its recommendation at least four (4) Business Days in advance of the Aspen Board Adverse Recommendation Change (the “</w:t>
      </w:r>
      <w:r>
        <w:rPr>
          <w:rFonts w:ascii="Times New Roman" w:cs="Times New Roman" w:eastAsia="Times New Roman" w:hAnsi="Times New Roman"/>
          <w:sz w:val="18"/>
          <w:szCs w:val="18"/>
          <w:b w:val="1"/>
          <w:bCs w:val="1"/>
          <w:color w:val="auto"/>
        </w:rPr>
        <w:t>Aspen Notice Period</w:t>
      </w:r>
      <w:r>
        <w:rPr>
          <w:rFonts w:ascii="Times New Roman" w:cs="Times New Roman" w:eastAsia="Times New Roman" w:hAnsi="Times New Roman"/>
          <w:sz w:val="18"/>
          <w:szCs w:val="18"/>
          <w:color w:val="auto"/>
        </w:rPr>
        <w:t xml:space="preserve">”), which notice shall include a description in reasonable detail of the reasons for such Aspen Board Adverse Recommendation Change, and written copies of any relevant proposed transaction agreements with any party making a potential Superior Offer, (y) during any Aspen Notice Period, the Company shall be entitled to deliver to Aspen one or more counterproposals to such Acquisition Proposal and Aspen will, and cause its Representatives to, negotiate with the Company in good faith (to the extent the Company desires to negotiate) to make such adjustments in the terms and conditions of this Agreement, to attempt to make the applicable Acquisition Proposal cease to constitute a Superior Offer and (z) in the event of any material amendment to any Superior Offer (including any revision in the amount, form or mix of consideration the Aspen’s stockholders would receive as a result of such potential Superior Offer), Aspen shall be required to provide the Company with notice of such material amendment and the Aspen Notice Period shall be extended, if applicable, to ensure that at least three (3) Business Days remain in the Aspen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the Aspen Board shall not make an Aspen Board Adverse Recommendation Change prior to the end of such Aspen Notice Period as so extended (it being understood that there may be multiple extensions). In addition, notwithstanding anything to the contrary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at any time prior to the adoption of this Agreement by the Required Aspen Stockholder Vote, the Aspen Board may withhold, amend, withdraw or modify the Aspen Second Board Recommendation in its exercise of its fiduciary duties.</w:t>
      </w:r>
    </w:p>
    <w:p>
      <w:pPr>
        <w:spacing w:after="0" w:line="203" w:lineRule="exact"/>
        <w:rPr>
          <w:rFonts w:ascii="Times New Roman" w:cs="Times New Roman" w:eastAsia="Times New Roman" w:hAnsi="Times New Roman"/>
          <w:sz w:val="18"/>
          <w:szCs w:val="18"/>
          <w:color w:val="auto"/>
        </w:rPr>
      </w:pPr>
    </w:p>
    <w:p>
      <w:pPr>
        <w:ind w:left="-20" w:right="140" w:firstLine="1428"/>
        <w:spacing w:after="0" w:line="258" w:lineRule="auto"/>
        <w:tabs>
          <w:tab w:leader="none" w:pos="16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Aspen or the Aspen Board (or a committee thereof) from complying with Rules 14d-9 and 14e-2(a) promulgated under the Exchange Act; provided, however, that in no event shall this Section 6.3(d) permit a definitive Aspen Board Adverse Recommendation Change without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For the avoidance of doubt, no statement that Aspen is unable to take a position or is considering its position or a “stop, look and listen” communication shall constitute an Aspen Board Adverse Recommendation Change.</w:t>
      </w:r>
    </w:p>
    <w:p>
      <w:pPr>
        <w:spacing w:after="0" w:line="183" w:lineRule="exact"/>
        <w:rPr>
          <w:rFonts w:ascii="Times New Roman" w:cs="Times New Roman" w:eastAsia="Times New Roman" w:hAnsi="Times New Roman"/>
          <w:sz w:val="18"/>
          <w:szCs w:val="18"/>
          <w:color w:val="auto"/>
        </w:rPr>
      </w:pPr>
    </w:p>
    <w:p>
      <w:pPr>
        <w:jc w:val="both"/>
        <w:ind w:left="-20" w:right="60" w:firstLine="1428"/>
        <w:spacing w:after="0" w:line="266" w:lineRule="auto"/>
        <w:tabs>
          <w:tab w:leader="none" w:pos="165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Aspen’s obligation to call, give notice of and hold the Aspen Stockholder Meeting in accordance with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shall not be limited or otherwise affected by the commencement, disclosure, announcement or submission of any Superior Offer or Acquisition Proposal, or by any Aspen Board Adverse Recommendation Change (unless this Agreement is terminated in connection therewith).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60" w:top="270" w:right="479" w:bottom="1440" w:gutter="0" w:footer="0" w:header="0"/>
        </w:sectPr>
      </w:pPr>
    </w:p>
    <w:bookmarkStart w:id="91" w:name="page92"/>
    <w:bookmarkEnd w:id="9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Efforts; 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use reasonable best efforts to consummate the Contemplated Transactions. Without limiting the generality of the</w:t>
      </w:r>
    </w:p>
    <w:p>
      <w:pPr>
        <w:spacing w:after="0" w:line="38" w:lineRule="exact"/>
        <w:rPr>
          <w:rFonts w:ascii="Times New Roman" w:cs="Times New Roman" w:eastAsia="Times New Roman" w:hAnsi="Times New Roman"/>
          <w:sz w:val="17"/>
          <w:szCs w:val="17"/>
          <w:color w:val="auto"/>
        </w:rPr>
      </w:pPr>
    </w:p>
    <w:p>
      <w:pPr>
        <w:ind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89" w:lineRule="exact"/>
        <w:rPr>
          <w:rFonts w:ascii="Times New Roman" w:cs="Times New Roman" w:eastAsia="Times New Roman" w:hAnsi="Times New Roman"/>
          <w:sz w:val="17"/>
          <w:szCs w:val="17"/>
          <w:color w:val="auto"/>
        </w:rPr>
      </w:pPr>
    </w:p>
    <w:p>
      <w:pPr>
        <w:ind w:right="20" w:firstLine="1428"/>
        <w:spacing w:after="0" w:line="261" w:lineRule="auto"/>
        <w:tabs>
          <w:tab w:leader="none" w:pos="168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79" w:lineRule="exact"/>
        <w:rPr>
          <w:rFonts w:ascii="Times New Roman" w:cs="Times New Roman" w:eastAsia="Times New Roman" w:hAnsi="Times New Roman"/>
          <w:sz w:val="18"/>
          <w:szCs w:val="18"/>
          <w:color w:val="auto"/>
        </w:rPr>
      </w:pPr>
    </w:p>
    <w:p>
      <w:pPr>
        <w:ind w:right="40" w:firstLine="1428"/>
        <w:spacing w:after="0" w:line="252" w:lineRule="auto"/>
        <w:tabs>
          <w:tab w:leader="none" w:pos="167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Aspen shall give the Company prompt written notice of any litigation against Aspen and/or its directors relating to this Agreement or the Contemplated Transactions (“</w:t>
      </w:r>
      <w:r>
        <w:rPr>
          <w:rFonts w:ascii="Times New Roman" w:cs="Times New Roman" w:eastAsia="Times New Roman" w:hAnsi="Times New Roman"/>
          <w:sz w:val="18"/>
          <w:szCs w:val="18"/>
          <w:b w:val="1"/>
          <w:bCs w:val="1"/>
          <w:color w:val="auto"/>
        </w:rPr>
        <w:t>Aspen Transaction Litigation</w:t>
      </w:r>
      <w:r>
        <w:rPr>
          <w:rFonts w:ascii="Times New Roman" w:cs="Times New Roman" w:eastAsia="Times New Roman" w:hAnsi="Times New Roman"/>
          <w:sz w:val="18"/>
          <w:szCs w:val="18"/>
          <w:color w:val="auto"/>
        </w:rPr>
        <w:t xml:space="preserve">”) (including by providing copies of all pleadings with respect thereto) and keep Company reasonably informed with respect to the status thereof. Aspen will (i) give the Company the opportunity to participate in, but not control, the defense, settlement or prosecution of any Aspen Transaction Litigation (to the extent that the attorney-client privilege is not waived, undermined, or otherwise adversely affected;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Aspen and the Company will use commercially reasonable efforts to find alternative solutions to not undermine or adversely effect the privilege such as entering into common interest agreements, joint defense agreements or similar agreements), (ii) consult with the Company with respect to the defense, settlement and prosecution of any Aspen Transaction Litigation and (iii) consider in good faith the Company’s advice with respect to such Aspen Transaction Litigation. Aspen will obtain the prior written consent of the Company (such consent not to be unreasonably withheld, conditioned or delayed) prior to settling or satisfying any such claim. Without otherwise limiting the D&amp;O Indemnified Parties’ rights with regard to the right to counsel, following the Effective Time, the D&amp;O Indemnified Parties shall be entitled to continue to retain Goodwin Procter LLP or such other counsel selected by such Indemnified Parties to defend any Aspen Transaction Litigation. Prior to the Closing, the Company shall have the right to control the defense and settlement of any litigation brought against the Company and/or its directors, and not against Aspen and/or any of Aspen’s directors, related to this Agreement or the Contemplated Transactions (“</w:t>
      </w:r>
      <w:r>
        <w:rPr>
          <w:rFonts w:ascii="Times New Roman" w:cs="Times New Roman" w:eastAsia="Times New Roman" w:hAnsi="Times New Roman"/>
          <w:sz w:val="18"/>
          <w:szCs w:val="18"/>
          <w:b w:val="1"/>
          <w:bCs w:val="1"/>
          <w:color w:val="auto"/>
        </w:rPr>
        <w:t>Company Transaction Litigation</w:t>
      </w:r>
      <w:r>
        <w:rPr>
          <w:rFonts w:ascii="Times New Roman" w:cs="Times New Roman" w:eastAsia="Times New Roman" w:hAnsi="Times New Roman"/>
          <w:sz w:val="18"/>
          <w:szCs w:val="18"/>
          <w:color w:val="auto"/>
        </w:rPr>
        <w:t>”), but shall reasonably consult with and permit Aspen and its Representatives to participate in consideration to the Company’s advice with respect to such Company Transaction Litigation. The Company shall promptly advise Aspen of the initiation of, and shall keep Aspen reasonably apprised of any material developments in connection with, any such Company Transaction Litigation.</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6" w:lineRule="auto"/>
        <w:tabs>
          <w:tab w:leader="none" w:pos="16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Aspen shall assume the Company Equity Incentive Plan and each Company Option, whether vested or unvested, that is outstanding immediately prior to the Effective Time shall, at the Effective Time, cease to represent a right to acquire shares of Company Common Stock and shall be converted, at the Effective Time, into an option to purchase shares of Aspen Common Stock (an “</w:t>
      </w:r>
      <w:r>
        <w:rPr>
          <w:rFonts w:ascii="Times New Roman" w:cs="Times New Roman" w:eastAsia="Times New Roman" w:hAnsi="Times New Roman"/>
          <w:sz w:val="18"/>
          <w:szCs w:val="18"/>
          <w:b w:val="1"/>
          <w:bCs w:val="1"/>
          <w:color w:val="auto"/>
        </w:rPr>
        <w:t>Assumed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on the same terms and conditions (including any vesting provisions and any provisions providing for accelerated vesting upon certain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were applicable under such Company Option as of immediately prior to the Effective Time, except for administrative or ministerial changes as determined by the Company Board (or, following the Effective Time, the Aspen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2" w:name="page93"/>
    <w:bookmarkEnd w:id="9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Board or compensation committee). The number of shares of Aspen Common Stock subject to each such Assumed Option shall be equal to (i) the number of shares of Company Common Stock subject to the respective Company Option immediately prior to the Effective Time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(ii) the Exchange Ratio, rounded down, if necessary, to the nearest whole share of Aspen Common Stock, and such Assumed Option shall have an exercise price per share (rounded up to the nearest whole cent) equal to (A) the exercise price per share of the Company Common Stock otherwise purchasable pursuant to the respective Company Option immediately prior to the Effective Time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Aspen Common Stock subject to such option and the terms and conditions of exercise of such option shall be determined in a manner consistent with the requirements of Section 424(a) of the Code;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any Assumed Option to which Section 409A of the Code applies as of the Effective Time, the exercise price, the number of shares of Aspen Common Stock subject to such option and the terms and conditions of exercise of such option shall be determined in a manner consistent with the requirements of Section 409A of the Code in order to avoid the imposition of any additional taxes thereunder.</w:t>
      </w:r>
    </w:p>
    <w:p>
      <w:pPr>
        <w:spacing w:after="0" w:line="190" w:lineRule="exact"/>
        <w:rPr>
          <w:sz w:val="20"/>
          <w:szCs w:val="20"/>
          <w:color w:val="auto"/>
        </w:rPr>
      </w:pPr>
    </w:p>
    <w:p>
      <w:pPr>
        <w:ind w:right="120" w:firstLine="1428"/>
        <w:spacing w:after="0" w:line="266" w:lineRule="auto"/>
        <w:tabs>
          <w:tab w:leader="none" w:pos="16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shall, prior to the Effective Time, take all actions necessary to effect the foregoing, and the Company shall ensure that there will be no “single-trigger” accelerated vesting of any Company Options triggered at and as of the consummation of any of the transactions contemplated hereby.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82" w:lineRule="auto"/>
        <w:tabs>
          <w:tab w:leader="none" w:pos="16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Aspen shall comply with the terms of any employment, severance, retention, change of control, or similar agreement specified on </w:t>
      </w: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or contemplated by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Aspen Disclosure Schedule, subject to the provisions of such agreements.</w:t>
      </w:r>
    </w:p>
    <w:p>
      <w:pPr>
        <w:spacing w:after="0" w:line="161" w:lineRule="exact"/>
        <w:rPr>
          <w:rFonts w:ascii="Times New Roman" w:cs="Times New Roman" w:eastAsia="Times New Roman" w:hAnsi="Times New Roman"/>
          <w:sz w:val="18"/>
          <w:szCs w:val="18"/>
          <w:color w:val="auto"/>
        </w:rPr>
      </w:pPr>
    </w:p>
    <w:p>
      <w:pPr>
        <w:ind w:right="20" w:firstLine="1428"/>
        <w:spacing w:after="0" w:line="253" w:lineRule="auto"/>
        <w:tabs>
          <w:tab w:leader="none" w:pos="168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with respect to each benefit plan maintained by Aspen or the Surviving Corporation that is an “employee welfare benefit plan” as defined in Section 3(1) of ERISA (each, a “</w:t>
      </w:r>
      <w:r>
        <w:rPr>
          <w:rFonts w:ascii="Times New Roman" w:cs="Times New Roman" w:eastAsia="Times New Roman" w:hAnsi="Times New Roman"/>
          <w:sz w:val="18"/>
          <w:szCs w:val="18"/>
          <w:b w:val="1"/>
          <w:bCs w:val="1"/>
          <w:color w:val="auto"/>
        </w:rPr>
        <w:t>Post-Closing Welfare Plan</w:t>
      </w:r>
      <w:r>
        <w:rPr>
          <w:rFonts w:ascii="Times New Roman" w:cs="Times New Roman" w:eastAsia="Times New Roman" w:hAnsi="Times New Roman"/>
          <w:sz w:val="18"/>
          <w:szCs w:val="18"/>
          <w:color w:val="auto"/>
        </w:rPr>
        <w:t>”) in which any current or former employee of Aspen or the Company is or becomes eligible to participate (including under COBRA), Aspen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Aspen or Company employee and his or her eligible dependents to the same extent that such pre-existing conditions, waiting periods, required physical examinations and exclusions would not have applied or would have been waived under the corresponding Aspen Employee Plan or Company Employee Plan, as applicable, in which such current or former Aspen or Company employee was a participant immediately prior to his or her commencement of participation in such Post-Closing Welfare Plan, and (ii) provide each such current or former Aspen or Company employee and his or her eligible dependents with credit for any co-payments and deductibles paid in the plan year that includes the Effective Time, and prior to the date that, such current or former Aspen or Company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Aspen Employee Plan or Company Employee Plan, as applicable.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3" w:name="page94"/>
    <w:bookmarkEnd w:id="93"/>
    <w:p>
      <w:pPr>
        <w:ind w:left="-40" w:firstLine="1428"/>
        <w:spacing w:after="0" w:line="258" w:lineRule="auto"/>
        <w:tabs>
          <w:tab w:leader="none" w:pos="163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upon and inure solely to the benefit of each of the parties to this Agreement, and nothing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confer upon any other Person any rights or remedies of any nature whatsoever. Nothing contained herein shall be construed to establish, amend or modify any benefit plan, program, agreement, or arrangement. The parties hereto acknowledge and agree that the terms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not create any right in any employee or any other Person to any continued employment with the Company, the Surviving Corporation, Aspen or any of their respective Affiliates or compensation or benefits of any nature or kind whatsoever.</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Aspen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428"/>
        <w:spacing w:after="0" w:line="252" w:lineRule="auto"/>
        <w:tabs>
          <w:tab w:leader="none" w:pos="16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Aspen Options</w:t>
      </w:r>
      <w:r>
        <w:rPr>
          <w:rFonts w:ascii="Times New Roman" w:cs="Times New Roman" w:eastAsia="Times New Roman" w:hAnsi="Times New Roman"/>
          <w:sz w:val="18"/>
          <w:szCs w:val="18"/>
          <w:color w:val="auto"/>
        </w:rPr>
        <w:t xml:space="preserve">. Prior to the Closing, the Aspen Board shall have adopted appropriate resolutions and taken all other actions necessary and appropriate to provide that (i) the vesting and exercisability of each unexpired, unexercised and unvested In the Money Aspen Option outstanding as of immediately prior to the Effective Time (A) that is held by a current employee, director, or consultant of Aspen as of the date hereof shall be accelerated in full effective as of immediately prior to the Effective Time, and (B) each In the Money Aspen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and (ii) the vesting and exercisability of 50% of all unexpired, unexercised and unvested Aspen Options set forth on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of the Aspen Disclosure Schedule and that remain outstanding as of immediately prior to the Effective Time (the “</w:t>
      </w:r>
      <w:r>
        <w:rPr>
          <w:rFonts w:ascii="Times New Roman" w:cs="Times New Roman" w:eastAsia="Times New Roman" w:hAnsi="Times New Roman"/>
          <w:sz w:val="18"/>
          <w:szCs w:val="18"/>
          <w:u w:val="single" w:color="auto"/>
          <w:color w:val="auto"/>
        </w:rPr>
        <w:t>Specified Options</w:t>
      </w:r>
      <w:r>
        <w:rPr>
          <w:rFonts w:ascii="Times New Roman" w:cs="Times New Roman" w:eastAsia="Times New Roman" w:hAnsi="Times New Roman"/>
          <w:sz w:val="18"/>
          <w:szCs w:val="18"/>
          <w:color w:val="auto"/>
        </w:rPr>
        <w:t xml:space="preserve">”) (A) that is held by a current employee, director, or consultant of Aspen as of the date hereof shall be accelerated in full effective as of immediately prior to the Effective Time, and (B) each Specified Option that is unexpired, unexercised, and outstanding as of immediately prior to the Effective Time and is held by a current employee, director or consultant of Aspen as of the date hereof who is or will be party to a Lock-Up Agreement shall remain outstanding and exercisable until six (6) months after the expiration of the applicable Restricted Period (as defined in such Person’s Lock-Up Agreement) (for the avoidance of doubt, no Specified Options shall be included in the total number of shares of Aspen Common Stock outstanding for purposes of determining the Aspen Outstanding Shares). Except as otherwise provided by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each Aspen Option shall continue to be subject to the same terms and conditions after the Effective Time as were applicable under such Aspen Option as of immediately prior to the Effective Time.</w:t>
      </w:r>
    </w:p>
    <w:p>
      <w:pPr>
        <w:spacing w:after="0" w:line="194" w:lineRule="exact"/>
        <w:rPr>
          <w:rFonts w:ascii="Times New Roman" w:cs="Times New Roman" w:eastAsia="Times New Roman" w:hAnsi="Times New Roman"/>
          <w:sz w:val="18"/>
          <w:szCs w:val="18"/>
          <w:color w:val="auto"/>
        </w:rPr>
      </w:pPr>
    </w:p>
    <w:p>
      <w:pPr>
        <w:ind w:left="-40" w:firstLine="1428"/>
        <w:spacing w:after="0" w:line="253" w:lineRule="auto"/>
        <w:tabs>
          <w:tab w:leader="none" w:pos="164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Aspen Restricted Stock Units</w:t>
      </w:r>
      <w:r>
        <w:rPr>
          <w:rFonts w:ascii="Times New Roman" w:cs="Times New Roman" w:eastAsia="Times New Roman" w:hAnsi="Times New Roman"/>
          <w:sz w:val="18"/>
          <w:szCs w:val="18"/>
          <w:color w:val="auto"/>
        </w:rPr>
        <w:t xml:space="preserve">. Prior to the Closing, the Aspen Board shall have adopted appropriate resolutions and taken all other actions necessary and appropriate to provide that (i) the vesting of each outstanding and unvested Aspen Restricted Stock Unit that vests solely on the basis of time shall be accelerated in full effective as of immediately prior to the Effective Time, contingent on the occurrence of the Effective Time, and (ii) for each outstanding and unsettled Aspen Restricted Stock Unit that vests solely on the basis of time (including any Aspen Restricted Stock Units accelerated under </w:t>
      </w:r>
      <w:r>
        <w:rPr>
          <w:rFonts w:ascii="Times New Roman" w:cs="Times New Roman" w:eastAsia="Times New Roman" w:hAnsi="Times New Roman"/>
          <w:sz w:val="18"/>
          <w:szCs w:val="18"/>
          <w:u w:val="single" w:color="auto"/>
          <w:color w:val="auto"/>
        </w:rPr>
        <w:t>Section 6.7(b)(i)</w:t>
      </w:r>
      <w:r>
        <w:rPr>
          <w:rFonts w:ascii="Times New Roman" w:cs="Times New Roman" w:eastAsia="Times New Roman" w:hAnsi="Times New Roman"/>
          <w:sz w:val="18"/>
          <w:szCs w:val="18"/>
          <w:color w:val="auto"/>
        </w:rPr>
        <w:t xml:space="preserve"> above) the holder thereof shall receive, immediately prior to the Effective Time, a number of shares of Aspen Common Stock equal to the number of vested and unsettled shares underlying such Aspen Restricted Stock Units. Notwithstanding anything herein to the contrary, the tax withholding obligations for each holder receiving shares of Aspen Common Stock in accordance with the preceding sentence shall be satisfied by Aspen withholding from issuance that number of shares of Aspen Common Stock calculated by multiplying the legally-required withholding rate for such holder in connection with such issuance by the number of shares of Aspen Common Stock to be issued in accordance with the preceding sentence, and rounding up to the nearest whole share and remitting such withholding in cash to the appropriate taxing authorities. For the avoidance of doubt, any Aspen Restricted Stock Unit that vests in whole or in part based on the achievement of performance goals shall not be impacted by this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shall remain in effect in accordance with their terms.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20"/>
          </w:cols>
          <w:pgMar w:left="480" w:top="270" w:right="499" w:bottom="1440" w:gutter="0" w:footer="0" w:header="0"/>
        </w:sectPr>
      </w:pPr>
    </w:p>
    <w:bookmarkStart w:id="94" w:name="page95"/>
    <w:bookmarkEnd w:id="94"/>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 w:firstLine="1428"/>
        <w:spacing w:after="0" w:line="252" w:lineRule="auto"/>
        <w:tabs>
          <w:tab w:leader="none" w:pos="161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through the sixth anniversary of the date on which the Effective Time occurs, each of Aspen and the Surviving Corporation shall indemnify and hold harmless each person who is now, or has been at any time prior to the date hereof, or who becomes prior to the Effective Time, a director or officer of Aspen or the Company, respectively (the “</w:t>
      </w:r>
      <w:r>
        <w:rPr>
          <w:rFonts w:ascii="Times New Roman" w:cs="Times New Roman" w:eastAsia="Times New Roman" w:hAnsi="Times New Roman"/>
          <w:sz w:val="18"/>
          <w:szCs w:val="18"/>
          <w:b w:val="1"/>
          <w:bCs w:val="1"/>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18"/>
          <w:szCs w:val="18"/>
          <w:color w:val="auto"/>
        </w:rPr>
        <w:t>”), incurred in connection with any claim, action, suit, proceeding or investigation (each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whether formal or informal, civil, criminal, administrative or investigative, arising out of or pertaining to the fact that the D&amp;O Indemnified Party is or was (i) a director or officer of Aspen or of the Company, respectively, or (ii) by reason of such D&amp;O Indemnified Party’s service in connection with any other corporation or organization for which he or she serves or has served as a director, officer, employee, agent trustee or fiduciary at the request of the Company or Aspen, respectively (including in any capacity with respect to any employee benefit plan), whether asserted or claimed prior to, at or after the Effective Time, in each case, to the fullest extent permitted under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rights to being held harmless, indemnification and advancement of expenses in respect of any Proceeding asserted or made, and for which a D&amp;O Indemnified Party delivers a written notice to Aspen or the Surviving Corporation within such six (6) year period asserting a claim for such protections pursuant to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continue until the final disposition of such Proceeding. Each D&amp;O Indemnified Party will be entitled to advancement of expenses incurred in the defense of any such Proceeding from each of Aspen and the Surviving Corporation, jointly and severally, upon receipt by Aspen or the Surviving Corporation from the D&amp;O Indemnified Party of a request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person to whom expenses are advanced provides an undertaking to Aspen, to the extent then required by the DGCL, to repay such advances if it is ultimately determined that such person is not entitled to indemnification (such undertaking shall be unsecured and made without reference to such D&amp;O Indemnified Party’s ultimate entitlement to indemnification or ability to repay such advances (and no other form of undertaking shall be required)).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89" w:lineRule="exact"/>
        <w:rPr>
          <w:rFonts w:ascii="Times New Roman" w:cs="Times New Roman" w:eastAsia="Times New Roman" w:hAnsi="Times New Roman"/>
          <w:sz w:val="18"/>
          <w:szCs w:val="18"/>
          <w:color w:val="auto"/>
        </w:rPr>
      </w:pPr>
    </w:p>
    <w:p>
      <w:pPr>
        <w:ind w:left="-60" w:firstLine="1428"/>
        <w:spacing w:after="0" w:line="255" w:lineRule="auto"/>
        <w:tabs>
          <w:tab w:leader="none" w:pos="162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Organizational Documents of Aspen with respect to indemnification, advancement of expenses and exculpation of present and former directors and officers of Aspen that are presently set forth in the Organizational Documents of Aspen shall not be amended, modified or repealed for a period of six (6) years from the Effective Time in a manner that would adversely affect the rights thereunder of individuals who, at or prior to the Effective Time, were officers or directors of Aspen, unless such modification is required by applicable Law. The Organizational Documents of the Surviving Corporation shall contain, and Aspen shall cause the Organizational Documents of the Surviving Corporation to so contain, provisions no less favorable with respect to indemnification, advancement of expenses and exculpation of present and former directors and officers as those presently set forth in the Organizational Documents of Aspen.</w:t>
      </w:r>
    </w:p>
    <w:p>
      <w:pPr>
        <w:spacing w:after="0" w:line="188" w:lineRule="exact"/>
        <w:rPr>
          <w:rFonts w:ascii="Times New Roman" w:cs="Times New Roman" w:eastAsia="Times New Roman" w:hAnsi="Times New Roman"/>
          <w:sz w:val="18"/>
          <w:szCs w:val="18"/>
          <w:color w:val="auto"/>
        </w:rPr>
      </w:pPr>
    </w:p>
    <w:p>
      <w:pPr>
        <w:ind w:left="-60" w:right="120" w:firstLine="1428"/>
        <w:spacing w:after="0" w:line="255" w:lineRule="auto"/>
        <w:tabs>
          <w:tab w:leader="none" w:pos="161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Aspen shall fulfill and honor in all respects the obligations of Aspen to its D&amp;O Indemnified Parties as of immediately prior to the Closing pursuant to any indemnification provisions under Aspen’s Organizational Documents and pursuant to any indemnification agreements between Aspen and such D&amp;O Indemnified Parties, with respect to claims arising out of matters occurring at or prior to the Effective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880"/>
          </w:cols>
          <w:pgMar w:left="500" w:top="270" w:right="519" w:bottom="1440" w:gutter="0" w:footer="0" w:header="0"/>
        </w:sectPr>
      </w:pPr>
    </w:p>
    <w:bookmarkStart w:id="95" w:name="page96"/>
    <w:bookmarkEnd w:id="95"/>
    <w:p>
      <w:pPr>
        <w:ind w:left="4" w:right="140" w:firstLine="1428"/>
        <w:spacing w:after="0" w:line="253" w:lineRule="auto"/>
        <w:tabs>
          <w:tab w:leader="none" w:pos="169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after the Effective Time, the Surviving Corporation shall maintain directors’ and officers’ liability insurance policies, with an effective date as of the Closing Date, on commercially reasonable terms and conditions and with coverage limits customary for U.S. public companies similarly situated to Aspen. In addition, Aspen shall purchase, prior to the Effective Time, six (6) year prepaid “D&amp;O tail policies” for the non-cancelable extension of the directors’ and officers’ liability coverage of Aspen’s existing directors’ and officers’ insurance policies for a claims reporting or discovery period of at least six (6) years from and after the Effective Time with respect to any claim related to any act, error or omission occurring at or prior to the Effective Time with terms, conditions, retentions and limits of liability that are no less favorable than the coverage provided under Aspen’s existing policies as of the date of this Agreement, except that Aspen will not commit or spend on such “D&amp;O tail policies” annual premiums in excess of 350% of the annual premiums paid by Aspen prior to the Effective Time for Aspen’s policies of directors’ and officers’ liability insurance and fiduciary liability insurance, and if such premiums for such “D&amp;O tail policies” would exceed 350% of a premium, then Aspen shall purchase such “D&amp;O tail policies” that provide the maximum coverage available at an annual premium equal to 350% of such annual premium. Aspen and the Surviving Corporation shall maintain such “D&amp;O tail policies” in full force and effect for their full term and continue to honor the obligations thereunder.</w:t>
      </w:r>
    </w:p>
    <w:p>
      <w:pPr>
        <w:spacing w:after="0" w:line="189" w:lineRule="exact"/>
        <w:rPr>
          <w:rFonts w:ascii="Times New Roman" w:cs="Times New Roman" w:eastAsia="Times New Roman" w:hAnsi="Times New Roman"/>
          <w:sz w:val="18"/>
          <w:szCs w:val="18"/>
          <w:color w:val="auto"/>
        </w:rPr>
      </w:pPr>
    </w:p>
    <w:p>
      <w:pPr>
        <w:ind w:left="4" w:right="60" w:firstLine="1428"/>
        <w:spacing w:after="0" w:line="312" w:lineRule="auto"/>
        <w:tabs>
          <w:tab w:leader="none" w:pos="168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Effective Time, the Surviving Corporation shall pay all expenses, including reasonable attorneys’ fees, that are incurred by the persons referred to in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in connection with their enforcement of the rights provided to such persons in this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4" w:firstLine="1428"/>
        <w:spacing w:after="0" w:line="266" w:lineRule="auto"/>
        <w:tabs>
          <w:tab w:leader="none" w:pos="166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Aspen and the Company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Aspen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Aspen or the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Aspen shall cause the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firstLine="991"/>
        <w:spacing w:after="0" w:line="269"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Parties shall use their commercially reasonable efforts to agree to the text of any initial press release and Aspen’s Current Report on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w:t>
      </w:r>
    </w:p>
    <w:p>
      <w:pPr>
        <w:spacing w:after="0" w:line="3" w:lineRule="exact"/>
        <w:rPr>
          <w:sz w:val="20"/>
          <w:szCs w:val="20"/>
          <w:color w:val="auto"/>
        </w:rPr>
      </w:pPr>
    </w:p>
    <w:p>
      <w:pPr>
        <w:ind w:left="4" w:right="160" w:hanging="4"/>
        <w:spacing w:after="0" w:line="251"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Company and Aspen may make any public statement in response to specific questions by the press, analysts, investors or those attending industry conferences or financial analyst conference calls, or internal employee communications, so long as in each case any such statements or internal employee communications are consistent with previous press releases, public disclosures or public statements made by the Company or Aspen in compliance with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Notwithstanding the foregoing, Aspen and Merger Sub need not consult with the Company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relating thereto.</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96" w:name="page97"/>
    <w:bookmarkEnd w:id="96"/>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At or prior to the Effective Time, Aspen shall use its commercially reasonable efforts to (a) maintain its listing on Nasdaq until the Effective Time and to obtain approval of the listing of the combined corporation on Nasdaq, (b) to the extent required by the rules and regulations of Nasdaq, prepare and submit to Nasdaq a notification form for the listing of the shares of Aspen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Aspen’s certificate of incorporation effecting the Nasdaq Reverse Split, certified by the Secretary of State of the State of Delaware, to Nasdaq on the Closing Date; and (d) to the extent required by Nasdaq Listing Rule 5110, assist the Company in preparing and filing an initial listing application for the Aspen Common Stock on Nasdaq (the “</w:t>
      </w:r>
      <w:r>
        <w:rPr>
          <w:rFonts w:ascii="Times New Roman" w:cs="Times New Roman" w:eastAsia="Times New Roman" w:hAnsi="Times New Roman"/>
          <w:sz w:val="18"/>
          <w:szCs w:val="18"/>
          <w:b w:val="1"/>
          <w:bCs w:val="1"/>
          <w:color w:val="auto"/>
        </w:rPr>
        <w:t>Nasdaq Listing Application</w:t>
      </w:r>
      <w:r>
        <w:rPr>
          <w:rFonts w:ascii="Times New Roman" w:cs="Times New Roman" w:eastAsia="Times New Roman" w:hAnsi="Times New Roman"/>
          <w:sz w:val="18"/>
          <w:szCs w:val="18"/>
          <w:color w:val="auto"/>
        </w:rPr>
        <w:t xml:space="preserve">”)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All Nasdaq fees associated with any action contemplated by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Nasdaq Fees</w:t>
      </w:r>
      <w:r>
        <w:rPr>
          <w:rFonts w:ascii="Times New Roman" w:cs="Times New Roman" w:eastAsia="Times New Roman" w:hAnsi="Times New Roman"/>
          <w:sz w:val="18"/>
          <w:szCs w:val="18"/>
          <w:color w:val="auto"/>
        </w:rPr>
        <w:t>”) shall be shared equally by the Company and Aspen.</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5" w:lineRule="auto"/>
        <w:tabs>
          <w:tab w:leader="none" w:pos="16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Merger from qualifying for the Intended Tax Treatment. The Parties shall report the Contemplated Transactions for all applicable Tax 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w:t>
      </w:r>
    </w:p>
    <w:p>
      <w:pPr>
        <w:spacing w:after="0" w:line="188" w:lineRule="exact"/>
        <w:rPr>
          <w:rFonts w:ascii="Times New Roman" w:cs="Times New Roman" w:eastAsia="Times New Roman" w:hAnsi="Times New Roman"/>
          <w:sz w:val="18"/>
          <w:szCs w:val="18"/>
          <w:color w:val="auto"/>
        </w:rPr>
      </w:pPr>
    </w:p>
    <w:p>
      <w:pPr>
        <w:ind w:right="280" w:firstLine="1428"/>
        <w:spacing w:after="0" w:line="281" w:lineRule="auto"/>
        <w:tabs>
          <w:tab w:leader="none" w:pos="168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Aspen shall promptly notify the Company if, at any time before the Effective Time, Aspen becomes aware of any fact or circumstance that would reasonably be expected to prevent, cause a failure of, or impede the Merger from qualifying for the Intended Tax Treatment. The Company shall promptly notify Aspen if, at any time before the Effective Time, the Company becomes aware of any fact or circumstance that would reasonably be expected to prevent, cause a failure of, or impede the Merger from qualifying for the Intended Tax Treatment.</w:t>
      </w:r>
    </w:p>
    <w:p>
      <w:pPr>
        <w:spacing w:after="0" w:line="164" w:lineRule="exact"/>
        <w:rPr>
          <w:rFonts w:ascii="Times New Roman" w:cs="Times New Roman" w:eastAsia="Times New Roman" w:hAnsi="Times New Roman"/>
          <w:sz w:val="17"/>
          <w:szCs w:val="17"/>
          <w:color w:val="auto"/>
        </w:rPr>
      </w:pPr>
    </w:p>
    <w:p>
      <w:pPr>
        <w:ind w:right="80" w:firstLine="1428"/>
        <w:spacing w:after="0" w:line="258" w:lineRule="auto"/>
        <w:tabs>
          <w:tab w:leader="none" w:pos="16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good faith efforts by Aspen, in cooperation with the Company, to respond to any comments from the SEC requiring or requesting that an opinion with respect to the Intended Tax Treatment be prepared and submitted in connection with the Registration Statement and Proxy Statement (or any other filing required by applicable Law) or the SEC’s review thereof (“</w:t>
      </w:r>
      <w:r>
        <w:rPr>
          <w:rFonts w:ascii="Times New Roman" w:cs="Times New Roman" w:eastAsia="Times New Roman" w:hAnsi="Times New Roman"/>
          <w:sz w:val="18"/>
          <w:szCs w:val="18"/>
          <w:b w:val="1"/>
          <w:bCs w:val="1"/>
          <w:color w:val="auto"/>
        </w:rPr>
        <w:t>Tax Opinion</w:t>
      </w:r>
      <w:r>
        <w:rPr>
          <w:rFonts w:ascii="Times New Roman" w:cs="Times New Roman" w:eastAsia="Times New Roman" w:hAnsi="Times New Roman"/>
          <w:sz w:val="18"/>
          <w:szCs w:val="18"/>
          <w:color w:val="auto"/>
        </w:rPr>
        <w:t>”), the SEC continues to request or require that a Tax Opinion be prepared and submitted, (i) each of Aspen and the Company shall cause Goodwin Procter LLP (or such other nationally recognized law or accounting firm reasonably satisfactory to Aspen and the Company) and Cooley LLP (or such other nationally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7" w:name="page98"/>
    <w:bookmarkEnd w:id="97"/>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recognized law or accounting firm reasonably satisfactory to the Company and Aspen), respectively, to furnish such opinions (as so required or requested and subject to customary assumptions and limitations) and (ii) Aspen and the Company shall each deliver to Goodwin Procter LLP (or such other nationally recognized law or accounting firm reasonably satisfactory to Aspen and the Company) and Cooley LLP (or such other nationally recognized law or accounting firm reasonably satisfactory to the Company and Aspen) a Tax certificate, dated as of the date the Registration Statement and Proxy Statement (or such other filing if required by applicable Law) shall have been declared effective by the SEC and signed by an officer of Aspen or the Company, as applicable, containing customary representations and covenants reasonably acceptable to the Company and Aspen, as applicable, in each case, as reasonably necessary and appropriate to enable such advisors to render such opinion (the “</w:t>
      </w:r>
      <w:r>
        <w:rPr>
          <w:rFonts w:ascii="Times New Roman" w:cs="Times New Roman" w:eastAsia="Times New Roman" w:hAnsi="Times New Roman"/>
          <w:sz w:val="17"/>
          <w:szCs w:val="17"/>
          <w:b w:val="1"/>
          <w:bCs w:val="1"/>
          <w:color w:val="auto"/>
        </w:rPr>
        <w:t>Tax Certificates</w:t>
      </w:r>
      <w:r>
        <w:rPr>
          <w:rFonts w:ascii="Times New Roman" w:cs="Times New Roman" w:eastAsia="Times New Roman" w:hAnsi="Times New Roman"/>
          <w:sz w:val="17"/>
          <w:szCs w:val="17"/>
          <w:color w:val="auto"/>
        </w:rPr>
        <w:t>”). Each of Aspen and the Company shall use its reasonable best efforts not to take or cause to be taken any action that would cause to be untrue (or fail to take or cause not to be taken any action which would cause to be untrue) any of the Tax certifications, covenants or representations included in the Tax Certificates.</w:t>
      </w:r>
    </w:p>
    <w:p>
      <w:pPr>
        <w:spacing w:after="0" w:line="173" w:lineRule="exact"/>
        <w:rPr>
          <w:sz w:val="20"/>
          <w:szCs w:val="20"/>
          <w:color w:val="auto"/>
        </w:rPr>
      </w:pPr>
    </w:p>
    <w:p>
      <w:pPr>
        <w:ind w:right="220" w:firstLine="1428"/>
        <w:spacing w:after="0" w:line="256" w:lineRule="auto"/>
        <w:tabs>
          <w:tab w:leader="none" w:pos="16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Aspen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Aspen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87" w:lineRule="exact"/>
        <w:rPr>
          <w:rFonts w:ascii="Times New Roman" w:cs="Times New Roman" w:eastAsia="Times New Roman" w:hAnsi="Times New Roman"/>
          <w:sz w:val="18"/>
          <w:szCs w:val="18"/>
          <w:color w:val="auto"/>
        </w:rPr>
      </w:pPr>
    </w:p>
    <w:p>
      <w:pPr>
        <w:ind w:right="40" w:firstLine="1428"/>
        <w:spacing w:after="0" w:line="253" w:lineRule="auto"/>
        <w:tabs>
          <w:tab w:leader="none" w:pos="16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if the Company or Aspen reasonably determines on advice of its counsel that there is a material risk that the Merger will not qualify for the Intended Tax Treatment, but would be reasonably expected to so qualify if a second-step merger of the Surviving Corporation into a limited liability company directly and wholly owned by Aspen that is disregarded as an entity for U.S. federal income tax purposes were consummated (such second-step merger,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xml:space="preserve">”), then the Company and Aspen shall cause the Second Merger to be so consummated; provided, that if such Second Merger occurs, (i) the Merger and the Second Merger shall be treated as one integrated transaction for U.S. federal income tax purposes, (ii) the Second Merger shall be consummated in accordance with Delaware Law and as promptly as practicable following the Merger, and (iii) references to Aspen or the Surviving Corporation (in each case, after the effective time of the Second Merger) and all other provisions of this Agreement shall be interpreted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take into account the change in structure of the business combination. For the avoidance of doubt, any such amendment described in this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 xml:space="preserve"> shall not alter or change the amount, nature or mix of the Merger Consideration.</w:t>
      </w:r>
    </w:p>
    <w:p>
      <w:pPr>
        <w:spacing w:after="0" w:line="194"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Aspen shall be entitled to place appropriate legends on the book entries and/or certificates evidencing any shares of Aspen Common Stock to be received in the Merger by equityholders of the Company who may be considered “affiliates” of Aspen for purposes of Rules 144 and 145 under the Securities Act reflecting the restrictions set forth in Rules 144 and 145 and to issue appropriate stop transfer instructions to the transfer agent for Aspen Common Stock.</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the Aspen Disclosure Schedule are elected or appointed, as applicable, to the positions of officers or directors of Aspen and the Surviving Corporation, as set forth therein, to serve in such positions effective as of the Effective Time. If any Person listed on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the Aspen Disclosure Schedule is unable or unwilling to serve as officer or director of Aspen or the Surviving Corporation, as set forth therein, the Party appointing such Person (as set forth on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the Aspen Disclosure Schedule) shall designate a successor. The Parties shall use reasonable best efforts to have each of the Persons that will serve as directors and officers of the Aspen following the Closing to execute and deliver a Lock-Up Agreement prior to Closing.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98" w:name="page99"/>
    <w:bookmarkEnd w:id="98"/>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6.14 </w:t>
      </w:r>
      <w:r>
        <w:rPr>
          <w:rFonts w:ascii="Times New Roman" w:cs="Times New Roman" w:eastAsia="Times New Roman" w:hAnsi="Times New Roman"/>
          <w:sz w:val="18"/>
          <w:szCs w:val="18"/>
          <w:u w:val="single" w:color="auto"/>
          <w:color w:val="auto"/>
        </w:rPr>
        <w:t>Termination of Certain Agreements and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of the Aspen Disclosure Schedule, each of Aspen and the Company shall use commercially reasonable efforts to cause any stockholder agreements, voting agreements, registration rights agreements, co-sale agreements and any other similar Contracts between either Aspen or the Company and any holders of Aspen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Aspen or the Surviving Corporation.</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Aspen shall take all such steps as may be required to cause any acquisitions of Aspen Common Stock and any options to purchase Aspen Common Stock in connection with the Contemplated Transactions, by each individual who is reasonably expected to become subject to the reporting requirements of Section 16(a) of the Exchange Act with respect to Aspen, to be exempt under Rule 16b-3 promulgated under the Exchange Act.</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Allocation Certificate</w:t>
      </w:r>
      <w:r>
        <w:rPr>
          <w:rFonts w:ascii="Times New Roman" w:cs="Times New Roman" w:eastAsia="Times New Roman" w:hAnsi="Times New Roman"/>
          <w:sz w:val="18"/>
          <w:szCs w:val="18"/>
          <w:color w:val="auto"/>
        </w:rPr>
        <w:t>. The Company will prepare and deliver to Aspen at least five (5) Business Days prior to the Closing Date a certificate signed by the Company’s Chief Executive Officer in a form reasonably acceptable to Aspen setting forth (as of immediately prior to the Effective Time and after giving effect to the Company SAFEs Conversion and the Company Preferred Stock Conversion) (a) each holder of Company Capital Stock and Company Options, (b) such holder’s name and address, (c) the number and type of Company Capital Stock held as of immediately prior to the Effective Time for each such holder or, with respect to each Company Option, the grant date of such Company Option and the number of shares of Company Capital Stock subject to such Company Option, (d) the number of shares of Aspen Common Stock to be issued to such holder pursuant to this Agreement in respect of the Company Capital Stock held by such holder as of immediately prior to the Effective Time (after giving effect to the Company SAFEs Conversion and the Company Preferred Stock Conversion) or, with respect to each Company Option, the number of shares of Aspen Common Stock to be subject to the applicable Assumed Option immediately following the conversion of such Company Option into an Assumed Option in accordance with this Agreement, and (e) the name and address of each Concurrent Investor, the total investment to be made by such Concurrent Investor in the Concurrent Investment, the percentage of the Concurrent Investment Proceeds represented by such Concurrent Investor’s investment in the Concurrent Investment, and the number of shares of Aspen Common Stock to be issued to such Concurrent Investor pursuant to this Agreement (the “</w:t>
      </w:r>
      <w:r>
        <w:rPr>
          <w:rFonts w:ascii="Times New Roman" w:cs="Times New Roman" w:eastAsia="Times New Roman" w:hAnsi="Times New Roman"/>
          <w:sz w:val="18"/>
          <w:szCs w:val="18"/>
          <w:b w:val="1"/>
          <w:bCs w:val="1"/>
          <w:color w:val="auto"/>
        </w:rPr>
        <w:t>Allocation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Aspen will take all action necessary to cause Merger Sub to perform their obligations under this Agreement and to consummate the Merger on the terms and conditions set forth in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Covenants Regarding Concurrent Investment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28"/>
        <w:spacing w:after="0" w:line="258" w:lineRule="auto"/>
        <w:tabs>
          <w:tab w:leader="none" w:pos="167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or cause to be taken, all actions and do, or cause to be done, all things necessary, proper or advisable to enforce its rights under each Concurrent Investment Agreement in the event that all conditions in such Concurrent Investment Agreement (other than conditions whose satisfaction is controlled by the Parties or any of their Affiliates and other than conditions that by their nature are to be satisfied at the Closing) have been satisfied, and to cause the applicable Concurrent Investors to pay (to the extent not already paid) the applicable portion of the Concurrent Investment Amount set forth in the applicable Concurrent Investment Agreement in accordance with its terms. Without limiting</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generality of the foregoing, the Company shall give Aspen prompt (and, in any event, within one (1) Business Day) written notice: (A) of any request from an Concurrent Investor for any amendment to its Concurrent Investment Agreement (other than as a result of any assignments or transfers contemplated therein or otherwise permitted thereby); (B) of any breach or default (or any event or circumstance that, with or without notice, lapse of time or both, would reasonably be expected to give rise to any breach or default) by any Concurrent Investor under the applicable Concurrent Investment Agreement, to the extent known by the Company; and (C) of the receipt of any written notice or other written communication from any party to a Concurrent Investment Agreement with respect to any actual, potential, threatened or claimed expiration, lapse, withdrawal, breach, default, termination or repudiation by any Concurrent Investor under a Concurrent Investment Agreement or any related agreement. The Company shall deliver all notices they are required to deliver under the Concurrent Investment Agreements on a timely basis in order to cause the Subscription Agreement Concurrent Investors to consummate the Subscription Agreement Concurrent Investment immediately prior to the Effective Time and to cause the occurrence of the Company SAFEs Conversion immediately following the Company Preferred Stock Conversion and immediately prior to the Subscription Agreement Concurrent Investment and at the Specified Time.</w:t>
      </w:r>
    </w:p>
    <w:p>
      <w:pPr>
        <w:spacing w:after="0" w:line="192" w:lineRule="exact"/>
        <w:rPr>
          <w:sz w:val="20"/>
          <w:szCs w:val="20"/>
          <w:color w:val="auto"/>
        </w:rPr>
      </w:pPr>
    </w:p>
    <w:p>
      <w:pPr>
        <w:ind w:right="40" w:firstLine="1428"/>
        <w:spacing w:after="0" w:line="254" w:lineRule="auto"/>
        <w:tabs>
          <w:tab w:leader="none" w:pos="168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initial execution of the Concurrent Investment Agreements, the Company shall not amend, modify or waive any provisions of a Concurrent Investment Agreement without the prior written consent of Aspen if such termination, amendment, modification, waiver or replacement (i) reduces the aggregate Concurrent Investment Amount or (ii) imposes new or additional conditions or otherwise expands, amends or modifies any of the conditions to the receipt of the Concurrent Investment, or otherwise expands, amends or modifies any other provision of the applicable Concurrent Investment Agreement, in a manner that would reasonably be expected to (x) delay or prevent the funding of the Concurrent Investment or the funding in full of the Concurrent Investment Amount (or satisfaction of the conditions to the Concurrent Investment) at or substantially simultaneously with the Closing or (y) adversely impact the ability of the Company to enforce its rights against other parties to the applicable Concurrent Investment Agreement. The Company shall promptly deliver to Aspen copies of any such termination, amendment, modification, waiver or replacement.</w:t>
      </w:r>
    </w:p>
    <w:p>
      <w:pPr>
        <w:spacing w:after="0" w:line="188" w:lineRule="exact"/>
        <w:rPr>
          <w:rFonts w:ascii="Times New Roman" w:cs="Times New Roman" w:eastAsia="Times New Roman" w:hAnsi="Times New Roman"/>
          <w:sz w:val="18"/>
          <w:szCs w:val="18"/>
          <w:color w:val="auto"/>
        </w:rPr>
      </w:pPr>
    </w:p>
    <w:p>
      <w:pPr>
        <w:ind w:right="60" w:firstLine="1428"/>
        <w:spacing w:after="0" w:line="253" w:lineRule="auto"/>
        <w:tabs>
          <w:tab w:leader="none" w:pos="167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take such actions and cause the holders of Company Capital Stock to provide all documentation, including investor questionnaires in a manner that satisfies the requirements of Rule 506 of Regulation D under the Securities Act or Section 4(a)(2) under the Securities Act or Rule 902 of Regulation S, including certifications to Aspen: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Aspen Common Stock; and (iii) that unless the shares are registered for resale the Aspen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94" w:lineRule="exact"/>
        <w:rPr>
          <w:rFonts w:ascii="Times New Roman" w:cs="Times New Roman" w:eastAsia="Times New Roman" w:hAnsi="Times New Roman"/>
          <w:sz w:val="18"/>
          <w:szCs w:val="18"/>
          <w:color w:val="auto"/>
        </w:rPr>
      </w:pPr>
    </w:p>
    <w:p>
      <w:pPr>
        <w:jc w:val="both"/>
        <w:ind w:right="40" w:firstLine="1428"/>
        <w:spacing w:after="0" w:line="258" w:lineRule="auto"/>
        <w:tabs>
          <w:tab w:leader="none" w:pos="168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 5.2(b)(iii)(A) and (C), beginning on or after June 1, 2024, the Company shall be able to draw down on any Concurrent Investment, in no event exceeding $25,000,000 in the aggregate, for purposes of funding general operating expenses of the Company in the Ordinary Course of Business (for the avoidance of doubt in accordance with the Company’s obligations pursuant to Section 5.2(b)). Any such shares of Company Common Stock issued upon conversion of such drawdown(s) shall be issued by the Company in accordance with Section 2.5(g) applied on a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basis.</w:t>
      </w:r>
    </w:p>
    <w:p>
      <w:pPr>
        <w:spacing w:after="0" w:line="183"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Conditions Precedent to Obligations of Each Party</w:t>
      </w:r>
      <w:r>
        <w:rPr>
          <w:rFonts w:ascii="Times New Roman" w:cs="Times New Roman" w:eastAsia="Times New Roman" w:hAnsi="Times New Roman"/>
          <w:sz w:val="18"/>
          <w:szCs w:val="18"/>
          <w:color w:val="auto"/>
        </w:rPr>
        <w:t>.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Effectiveness of Registration Statement</w:t>
      </w:r>
      <w:r>
        <w:rPr>
          <w:rFonts w:ascii="Times New Roman" w:cs="Times New Roman" w:eastAsia="Times New Roman" w:hAnsi="Times New Roman"/>
          <w:sz w:val="18"/>
          <w:szCs w:val="18"/>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00" w:name="page101"/>
    <w:bookmarkEnd w:id="100"/>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No Restraints</w:t>
      </w:r>
      <w:r>
        <w:rPr>
          <w:rFonts w:ascii="Times New Roman" w:cs="Times New Roman" w:eastAsia="Times New Roman" w:hAnsi="Times New Roman"/>
          <w:sz w:val="18"/>
          <w:szCs w:val="18"/>
          <w:color w:val="auto"/>
        </w:rPr>
        <w:t>.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 Aspen shall have obtained the Required Aspen Stockholder Vote with respect to the Specified Aspen Stockholder Matters and (b) the Company shall have obtained the Required Company Stockholder Vote.</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approval of the listing of the additional shares of Aspen Common Stock on Nasdaq shall have been obtained and the shares of Aspen Common Stock to be issued in the Contemplated Transactions pursuant to this Agreement shall have been approved for listing (subject to official notice of issuance) on Nasdaq.</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Lock-Up Agreements shall be in full force and effect.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Concurrent Investment</w:t>
      </w:r>
      <w:r>
        <w:rPr>
          <w:rFonts w:ascii="Times New Roman" w:cs="Times New Roman" w:eastAsia="Times New Roman" w:hAnsi="Times New Roman"/>
          <w:sz w:val="18"/>
          <w:szCs w:val="18"/>
          <w:color w:val="auto"/>
        </w:rPr>
        <w:t xml:space="preserve">. Cash proceeds of not less than the Concurrent Investment Amount shall have been received by the Company, or will be received by the Company substantially simultaneously with the Closing, in connection with the consummation of the transactions contemplated by the Concurrent Investment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not be available to the Company if such cash proceeds in an amount not less than the Concurrent Investment Amount would have been received by the Company before or substantially simultaneously with the Closing, but for the breach or failure to perform by one or more Concurrent Investors that is a holder of Company Capital Stock or Company SAFEs as of the date hereof or an Affiliate thereof of the agreements or covenants required to be performed or complied with by such Concurrent Investor under the applicable Concurrent Investment Agreement.</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Additional Conditions Precedent to Obligations of Aspen and Merger Sub</w:t>
      </w:r>
      <w:r>
        <w:rPr>
          <w:rFonts w:ascii="Times New Roman" w:cs="Times New Roman" w:eastAsia="Times New Roman" w:hAnsi="Times New Roman"/>
          <w:sz w:val="18"/>
          <w:szCs w:val="18"/>
          <w:color w:val="auto"/>
        </w:rPr>
        <w:t>. The obligations of Aspen and Merger Sub to effect the Merger and otherwise consummate the transactions to be consummated at the Closing are subject to the satisfaction or the written waiver by Aspen, at or prior to the Closing, of each of the following conditions:</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xml:space="preserve">. The Company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01" w:name="page102"/>
    <w:bookmarkEnd w:id="101"/>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83"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The Company shall not have breached or failed to perform in any material respect any agreements or covenants required to be performed or complied with by it under this Agreement at or prior to the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Aspen shall have received the following documents, each of which shall be in full force and effect:</w:t>
      </w:r>
    </w:p>
    <w:p>
      <w:pPr>
        <w:spacing w:after="0" w:line="225" w:lineRule="exact"/>
        <w:rPr>
          <w:sz w:val="20"/>
          <w:szCs w:val="20"/>
          <w:color w:val="auto"/>
        </w:rPr>
      </w:pPr>
    </w:p>
    <w:p>
      <w:pPr>
        <w:ind w:right="60" w:firstLine="1428"/>
        <w:spacing w:after="0" w:line="266" w:lineRule="auto"/>
        <w:tabs>
          <w:tab w:leader="none" w:pos="167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is true and accurate in all respects as of the Closing Date; and</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Certificate.</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The Company Stockholder Written Consent executed by the stockholders of the Company shall be in full force and effect.</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xml:space="preserve">. Aspen shall have received from the Company a certificate and accompanying notice to the IRS (together with written authorization for Aspen to deliver such notice to the Internal Revenue Service on behalf of the Company after the Closing), in each case duly executed by an executive officer of the Company and meeting the requirements of Treasury Regulations Section 1.1445-2(c)(3) and in accordance with the requirements of Treasury Regulations Section 1.897-2(h) and in substantially the form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Company Conversions</w:t>
      </w:r>
      <w:r>
        <w:rPr>
          <w:rFonts w:ascii="Times New Roman" w:cs="Times New Roman" w:eastAsia="Times New Roman" w:hAnsi="Times New Roman"/>
          <w:sz w:val="17"/>
          <w:szCs w:val="17"/>
          <w:color w:val="auto"/>
        </w:rPr>
        <w:t>. The Company SAFEs Conversion and the Company Preferred Stock Conversion shall have been duly effected.</w:t>
      </w:r>
    </w:p>
    <w:p>
      <w:pPr>
        <w:spacing w:after="0" w:line="23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Additional Conditions Precedent to Obligation of the Company</w:t>
      </w:r>
      <w:r>
        <w:rPr>
          <w:rFonts w:ascii="Times New Roman" w:cs="Times New Roman" w:eastAsia="Times New Roman" w:hAnsi="Times New Roman"/>
          <w:sz w:val="18"/>
          <w:szCs w:val="18"/>
          <w:color w:val="auto"/>
        </w:rPr>
        <w:t>. 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176"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Accuracy of Representations</w:t>
      </w:r>
      <w:r>
        <w:rPr>
          <w:rFonts w:ascii="Times New Roman" w:cs="Times New Roman" w:eastAsia="Times New Roman" w:hAnsi="Times New Roman"/>
          <w:sz w:val="18"/>
          <w:szCs w:val="18"/>
          <w:color w:val="auto"/>
        </w:rPr>
        <w:t>. Each of the Aspen Fundamental Representations shall have been true and correct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Aspen Capitalization Representations shall have been true and correct in all respects as of the date of this Agreement and shall be true and correct on and as of the Closing Date with the same force and effect as if made on and as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02" w:name="page103"/>
    <w:bookmarkEnd w:id="10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date, except, in each case, (x) for such inaccuracies which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Aspen and Merger Sub contained in this Agreement (other than the Aspen Fundamental Representations and the Aspen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an Aspen Material Adverse Effect (without giving effect to any references therein to any Aspen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Aspen Disclosure Schedule made or purported to have been made after the date of this Agreement shall be disregarded).</w:t>
      </w:r>
    </w:p>
    <w:p>
      <w:pPr>
        <w:spacing w:after="0" w:line="194"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Performance of Covenants</w:t>
      </w:r>
      <w:r>
        <w:rPr>
          <w:rFonts w:ascii="Times New Roman" w:cs="Times New Roman" w:eastAsia="Times New Roman" w:hAnsi="Times New Roman"/>
          <w:sz w:val="18"/>
          <w:szCs w:val="18"/>
          <w:color w:val="auto"/>
        </w:rPr>
        <w:t>. Aspen and Merger Sub shall not have breached or failed to perform in any material respect any agreements or covenants required to be performed or complied with by either of them under this Agreement at or prior to the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The Company shall have received the following documents, each of which shall be in full force and effect: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(a) a certificate executed by an executive officer of Aspen certifying that the conditions set forth in </w:t>
      </w:r>
      <w:r>
        <w:rPr>
          <w:rFonts w:ascii="Times New Roman" w:cs="Times New Roman" w:eastAsia="Times New Roman" w:hAnsi="Times New Roman"/>
          <w:sz w:val="18"/>
          <w:szCs w:val="18"/>
          <w:u w:val="single" w:color="auto"/>
          <w:color w:val="auto"/>
        </w:rPr>
        <w:t>Sections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duly satisfied;</w:t>
      </w:r>
    </w:p>
    <w:p>
      <w:pPr>
        <w:spacing w:after="0" w:line="207" w:lineRule="exact"/>
        <w:rPr>
          <w:sz w:val="20"/>
          <w:szCs w:val="20"/>
          <w:color w:val="auto"/>
        </w:rPr>
      </w:pPr>
    </w:p>
    <w:p>
      <w:pPr>
        <w:ind w:right="140" w:firstLine="1428"/>
        <w:spacing w:after="0" w:line="282" w:lineRule="auto"/>
        <w:tabs>
          <w:tab w:leader="none" w:pos="168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resignations in forms satisfactory to the Company, dated as of the Closing Date and effective as of the Closing executed by the officers and directors of Aspen who are not to continue as officers or directors of Aspen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hereof; and</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Aspen Net Cash Schedule.</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No Aspen Material Adverse Effect</w:t>
      </w:r>
      <w:r>
        <w:rPr>
          <w:rFonts w:ascii="Times New Roman" w:cs="Times New Roman" w:eastAsia="Times New Roman" w:hAnsi="Times New Roman"/>
          <w:sz w:val="18"/>
          <w:szCs w:val="18"/>
          <w:color w:val="auto"/>
        </w:rPr>
        <w:t>. Since the date of this Agreement, there shall not have occurred any Aspen Material Adverse Effect that is continuing.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Aspen Net Cash</w:t>
      </w:r>
      <w:r>
        <w:rPr>
          <w:rFonts w:ascii="Times New Roman" w:cs="Times New Roman" w:eastAsia="Times New Roman" w:hAnsi="Times New Roman"/>
          <w:sz w:val="18"/>
          <w:szCs w:val="18"/>
          <w:color w:val="auto"/>
        </w:rPr>
        <w:t>. Aspen Net Cash shall not be less than $50,000,000 as of immediately prior to the Effective Time.</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xml:space="preserve">. The Aspen Common Stock shall be listed on Nasdaq as of immediately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shall not be available to the Company if the Company has refused or unreasonably delayed, withheld or conditioned its consent to actions by Aspen to maintain or regain, as applicable, the listing of Aspen Common Stock on Nasdaq.</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prior to the Effective Time (whether before or after adoption of this Agreement by the Company’s stockholders and whether before or after approval of the Aspen Stockholder Matters by Aspen’s stockholders, unless otherwise specified below):</w:t>
      </w:r>
    </w:p>
    <w:p>
      <w:pPr>
        <w:spacing w:after="0" w:line="176" w:lineRule="exact"/>
        <w:rPr>
          <w:sz w:val="20"/>
          <w:szCs w:val="20"/>
          <w:color w:val="auto"/>
        </w:rPr>
      </w:pPr>
    </w:p>
    <w:p>
      <w:pPr>
        <w:jc w:val="right"/>
        <w:ind w:left="5420" w:right="5380" w:hanging="3992"/>
        <w:spacing w:after="0" w:line="454" w:lineRule="auto"/>
        <w:tabs>
          <w:tab w:leader="none" w:pos="167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Aspen and the Company; 90</w:t>
      </w:r>
    </w:p>
    <w:p>
      <w:pPr>
        <w:sectPr>
          <w:pgSz w:w="11900" w:h="16838" w:orient="portrait"/>
          <w:cols w:equalWidth="0" w:num="1">
            <w:col w:w="11000"/>
          </w:cols>
          <w:pgMar w:left="440" w:top="268" w:right="459" w:bottom="1440" w:gutter="0" w:footer="0" w:header="0"/>
        </w:sectPr>
      </w:pPr>
    </w:p>
    <w:bookmarkStart w:id="103" w:name="page104"/>
    <w:bookmarkEnd w:id="103"/>
    <w:p>
      <w:pPr>
        <w:ind w:left="-20" w:right="120" w:firstLine="1428"/>
        <w:spacing w:after="0" w:line="262" w:lineRule="auto"/>
        <w:tabs>
          <w:tab w:leader="none" w:pos="16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either Aspen or the Company if the Merger shall not have been consummated by October 31, 2024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the Company or Aspen if such Party’s (or in the case of Aspen, Merger Sub) action or failure to act has been a principal cause of the failure of the Merger to occur on or before the End Date and such action or failure to act constitutes a breach of this Agreement;</w:t>
      </w:r>
    </w:p>
    <w:p>
      <w:pPr>
        <w:spacing w:after="0" w:line="180" w:lineRule="exact"/>
        <w:rPr>
          <w:rFonts w:ascii="Times New Roman" w:cs="Times New Roman" w:eastAsia="Times New Roman" w:hAnsi="Times New Roman"/>
          <w:sz w:val="18"/>
          <w:szCs w:val="18"/>
          <w:color w:val="auto"/>
        </w:rPr>
      </w:pPr>
    </w:p>
    <w:p>
      <w:pPr>
        <w:ind w:left="-20" w:right="220" w:firstLine="1428"/>
        <w:spacing w:after="0" w:line="266" w:lineRule="auto"/>
        <w:tabs>
          <w:tab w:leader="none" w:pos="16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Aspen or the Company if a court or other Governmental Authority of competent jurisdiction shall have issued a final and nonappealable Order, or shall have taken any other action, having the effect of permanently restraining, enjoining or otherwise prohibiting the Contemplated Transactions;</w:t>
      </w:r>
    </w:p>
    <w:p>
      <w:pPr>
        <w:spacing w:after="0" w:line="175" w:lineRule="exact"/>
        <w:rPr>
          <w:rFonts w:ascii="Times New Roman" w:cs="Times New Roman" w:eastAsia="Times New Roman" w:hAnsi="Times New Roman"/>
          <w:sz w:val="18"/>
          <w:szCs w:val="18"/>
          <w:color w:val="auto"/>
        </w:rPr>
      </w:pPr>
    </w:p>
    <w:p>
      <w:pPr>
        <w:ind w:left="-20" w:right="160" w:firstLine="1428"/>
        <w:spacing w:after="0" w:line="261" w:lineRule="auto"/>
        <w:tabs>
          <w:tab w:leader="none" w:pos="16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Aspen if the Required Company Stockholder Vote shall not have been obtained within four (4) Business Days after the Registration Statement has become effective in accordance with the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once the approval by irrevocable written consent from Company Stockholders representing no less than 88% of the voting power of the Company has been obtained, Aspen may not terminate this Agreement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100" w:firstLine="1428"/>
        <w:spacing w:after="0" w:line="261" w:lineRule="auto"/>
        <w:tabs>
          <w:tab w:leader="none" w:pos="16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Aspen or the Company if (i) the Aspen Stockholder Meeting (including any adjournments and postponements thereof) shall have been held and completed and Aspen’s stockholders shall have taken a final vote on the Specified Aspen Stockholder Matters and (ii) the Specified Aspen Stockholder Matters shall not have been approved at the Aspen Stockholder Meeting (or at any adjournment or postponement thereof) by the Required Aspen Stockholder Vote;</w:t>
      </w:r>
    </w:p>
    <w:p>
      <w:pPr>
        <w:spacing w:after="0" w:line="179" w:lineRule="exact"/>
        <w:rPr>
          <w:rFonts w:ascii="Times New Roman" w:cs="Times New Roman" w:eastAsia="Times New Roman" w:hAnsi="Times New Roman"/>
          <w:sz w:val="18"/>
          <w:szCs w:val="18"/>
          <w:color w:val="auto"/>
        </w:rPr>
      </w:pPr>
    </w:p>
    <w:p>
      <w:pPr>
        <w:ind w:left="-20" w:right="820" w:firstLine="1428"/>
        <w:spacing w:after="0" w:line="282" w:lineRule="auto"/>
        <w:tabs>
          <w:tab w:leader="none" w:pos="163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approval of the Specified Aspen Stockholder Matters by the Required Aspen Stockholder Vote) if an Aspen Triggering Event shall have occurred;</w:t>
      </w:r>
    </w:p>
    <w:p>
      <w:pPr>
        <w:spacing w:after="0" w:line="161" w:lineRule="exact"/>
        <w:rPr>
          <w:rFonts w:ascii="Times New Roman" w:cs="Times New Roman" w:eastAsia="Times New Roman" w:hAnsi="Times New Roman"/>
          <w:sz w:val="18"/>
          <w:szCs w:val="18"/>
          <w:color w:val="auto"/>
        </w:rPr>
      </w:pPr>
    </w:p>
    <w:p>
      <w:pPr>
        <w:ind w:left="-20" w:firstLine="1428"/>
        <w:spacing w:after="0" w:line="253" w:lineRule="auto"/>
        <w:tabs>
          <w:tab w:leader="none" w:pos="16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by Aspen or Merger Sub or if any representation or warranty of Aspen or Merger Sub shall have become inaccurate, in either case, such that the conditions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inaccuracy in Aspen’s or Merger Sub’s representations and warranties or breach by Aspen or Merger Sub of any representation, warranty, covenant or agreement is curable by Aspen or Merger Sub, then this Agreement shall not terminate pursuant to this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as a result of such particular breach or inaccuracy until the earlier of (i) the expiration of a thirty-(30) day period commencing upon delivery of written notice from the Company to Aspen or Merger Sub of such breach or inaccuracy and its intention to terminate pursuant to this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and (ii) Aspen or Merger Sub (as applicable) ceasing to exercise commercially reasonable efforts to cure such breach following delivery of written notice from the Company to Aspen or Merger Sub of such breach or inaccuracy, its intention to terminate pursuant to this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and its enumeration of all of the specific commercially reasonable efforts that it believes ought to be taken to cure such breach (it being understood that this Agreement shall not terminate pursuant to this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as a result of such particular breach or inaccuracy if such breach by Aspen or Merger Sub is cured prior to such termination becoming effective);</w:t>
      </w:r>
    </w:p>
    <w:p>
      <w:pPr>
        <w:spacing w:after="0" w:line="187" w:lineRule="exact"/>
        <w:rPr>
          <w:rFonts w:ascii="Times New Roman" w:cs="Times New Roman" w:eastAsia="Times New Roman" w:hAnsi="Times New Roman"/>
          <w:sz w:val="18"/>
          <w:szCs w:val="18"/>
          <w:color w:val="auto"/>
        </w:rPr>
      </w:pPr>
    </w:p>
    <w:p>
      <w:pPr>
        <w:ind w:left="-20" w:firstLine="1428"/>
        <w:spacing w:after="0" w:line="261" w:lineRule="auto"/>
        <w:tabs>
          <w:tab w:leader="none" w:pos="16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Aspen,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Aspen is not then in material breach of any representation, warranty,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60" w:top="266" w:right="479" w:bottom="1440" w:gutter="0" w:footer="0" w:header="0"/>
        </w:sectPr>
      </w:pPr>
    </w:p>
    <w:bookmarkStart w:id="104" w:name="page105"/>
    <w:bookmarkEnd w:id="104"/>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covenant or agreement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inaccuracy in the Company’s representations and warranties or breach by the Company of any representation, warranty, covenant or agreement is curable by the Company then this Agreement shall not terminate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as a result of such particular breach or inaccuracy until the earlier of (i) the expiration of a thirty-(30) day period commencing upon delivery of written notice from Aspen to the Company of such breach or inaccuracy and its intention to terminate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left="4" w:right="20" w:hanging="4"/>
        <w:spacing w:after="0" w:line="273" w:lineRule="auto"/>
        <w:tabs>
          <w:tab w:leader="none" w:pos="26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ceasing to exercise commercially reasonable efforts to cure such breach following delivery of written notice from Aspen to the Company of such breach or inaccuracy, its intention to terminate pursuant to this </w:t>
      </w:r>
      <w:r>
        <w:rPr>
          <w:rFonts w:ascii="Times New Roman" w:cs="Times New Roman" w:eastAsia="Times New Roman" w:hAnsi="Times New Roman"/>
          <w:sz w:val="17"/>
          <w:szCs w:val="17"/>
          <w:u w:val="single" w:color="auto"/>
          <w:color w:val="auto"/>
        </w:rPr>
        <w:t>Section 10.1(h)</w:t>
      </w:r>
      <w:r>
        <w:rPr>
          <w:rFonts w:ascii="Times New Roman" w:cs="Times New Roman" w:eastAsia="Times New Roman" w:hAnsi="Times New Roman"/>
          <w:sz w:val="17"/>
          <w:szCs w:val="17"/>
          <w:color w:val="auto"/>
        </w:rPr>
        <w:t xml:space="preserve">, and its enumeration of all of the specific commercially reasonable efforts that it believes ought to be taken to cure such breach (it being understood that this Agreement shall not terminate pursuant to this </w:t>
      </w:r>
      <w:r>
        <w:rPr>
          <w:rFonts w:ascii="Times New Roman" w:cs="Times New Roman" w:eastAsia="Times New Roman" w:hAnsi="Times New Roman"/>
          <w:sz w:val="17"/>
          <w:szCs w:val="17"/>
          <w:u w:val="single" w:color="auto"/>
          <w:color w:val="auto"/>
        </w:rPr>
        <w:t>Section 10.1(h)</w:t>
      </w:r>
      <w:r>
        <w:rPr>
          <w:rFonts w:ascii="Times New Roman" w:cs="Times New Roman" w:eastAsia="Times New Roman" w:hAnsi="Times New Roman"/>
          <w:sz w:val="17"/>
          <w:szCs w:val="17"/>
          <w:color w:val="auto"/>
        </w:rPr>
        <w:t xml:space="preserve"> as a result of such particular breach or inaccuracy if such breach by the Company is cured prior to such termination becoming effective);</w:t>
      </w:r>
    </w:p>
    <w:p>
      <w:pPr>
        <w:spacing w:after="0" w:line="172" w:lineRule="exact"/>
        <w:rPr>
          <w:rFonts w:ascii="Times New Roman" w:cs="Times New Roman" w:eastAsia="Times New Roman" w:hAnsi="Times New Roman"/>
          <w:sz w:val="17"/>
          <w:szCs w:val="17"/>
          <w:color w:val="auto"/>
        </w:rPr>
      </w:pPr>
    </w:p>
    <w:p>
      <w:pPr>
        <w:ind w:left="4" w:firstLine="1428"/>
        <w:spacing w:after="0" w:line="261" w:lineRule="auto"/>
        <w:tabs>
          <w:tab w:leader="none" w:pos="165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Aspen (at any time prior to the approval of the Specified Aspen Stockholder Matters by the Required Aspen Stockholder Vote) and following compliance with all of the requirements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upon the Aspen Board authorizing Aspen to enter into a Permitted Alternative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Aspen shall concurrently pay to the Company the Company Termination Fee in accordance with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Aspen (at any time prior to the Required Company Stockholder Vote being obtained) if a Company Triggering Event shall</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occurred.</w:t>
      </w:r>
    </w:p>
    <w:p>
      <w:pPr>
        <w:spacing w:after="0" w:line="20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shall give a notice of such termination to the other Party specifying the provisions hereof pursuant to which such termination is made and the basis therefor described in reasonable detail.</w:t>
      </w:r>
    </w:p>
    <w:p>
      <w:pPr>
        <w:spacing w:after="0" w:line="176"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this Agreement shall be of no further force or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Expenses; 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firstLine="1428"/>
        <w:spacing w:after="0" w:line="282" w:lineRule="auto"/>
        <w:tabs>
          <w:tab w:leader="none" w:pos="168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all fees and expenses incurred in connection with this Agreement and the Contemplated Transactions shall be paid by the Party incurring such expenses, whether or not the Merger is consummated.</w:t>
      </w:r>
    </w:p>
    <w:p>
      <w:pPr>
        <w:spacing w:after="0" w:line="161" w:lineRule="exact"/>
        <w:rPr>
          <w:rFonts w:ascii="Times New Roman" w:cs="Times New Roman" w:eastAsia="Times New Roman" w:hAnsi="Times New Roman"/>
          <w:sz w:val="18"/>
          <w:szCs w:val="18"/>
          <w:color w:val="auto"/>
        </w:rPr>
      </w:pPr>
    </w:p>
    <w:p>
      <w:pPr>
        <w:ind w:left="4" w:right="220" w:firstLine="1428"/>
        <w:spacing w:after="0" w:line="276" w:lineRule="auto"/>
        <w:tabs>
          <w:tab w:leader="none" w:pos="1691"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at any time after the date of this Agreement and prior to the Aspen Stockholder Meeting, an Acquisition Proposal with respect to Aspen shall have been publicly announced or disclosed or otherwise made known to the Aspen Board (and shall not have been withdrawn),</w:t>
      </w:r>
    </w:p>
    <w:p>
      <w:pPr>
        <w:ind w:left="4" w:right="120" w:hanging="4"/>
        <w:spacing w:after="0" w:line="252" w:lineRule="auto"/>
        <w:tabs>
          <w:tab w:leader="none" w:pos="26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Aspen or the Company pursuant to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or by the Company pursuant to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and (iii) within twelve (12) months after the date of such termination, Aspen enters into a definitive agreement with respect to any Acquisition Transaction or consummates any Acquisition Transaction (in each event with all references to 20% in the definition of Acquisition Transaction being treated as references to 50% for these purposes), then Aspen shall pay or cause to be paid to the Company, within ten (10) Business Days after such termination (or, if applicable, upon such entry into a definitive agreement or consummation of such Acquisition Transaction), a nonrefundable fee in an amount equal to $2,712,500 (the “</w:t>
      </w:r>
      <w:r>
        <w:rPr>
          <w:rFonts w:ascii="Times New Roman" w:cs="Times New Roman" w:eastAsia="Times New Roman" w:hAnsi="Times New Roman"/>
          <w:sz w:val="18"/>
          <w:szCs w:val="18"/>
          <w:b w:val="1"/>
          <w:bCs w:val="1"/>
          <w:color w:val="auto"/>
        </w:rPr>
        <w:t>Aspen Termination Fee</w:t>
      </w:r>
      <w:r>
        <w:rPr>
          <w:rFonts w:ascii="Times New Roman" w:cs="Times New Roman" w:eastAsia="Times New Roman" w:hAnsi="Times New Roman"/>
          <w:sz w:val="18"/>
          <w:szCs w:val="18"/>
          <w:color w:val="auto"/>
        </w:rPr>
        <w:t xml:space="preserve">”). For the avoidance of doubt, a liquidation or dissolution of Aspen shall in no event be deemed to constitute an Acquisition Transaction for purposes of this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05" w:name="page106"/>
    <w:bookmarkEnd w:id="105"/>
    <w:p>
      <w:pPr>
        <w:ind w:left="-20" w:right="60" w:firstLine="1428"/>
        <w:spacing w:after="0" w:line="261" w:lineRule="auto"/>
        <w:tabs>
          <w:tab w:leader="none" w:pos="165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this Agreement is terminated (i) by the Company or Aspen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(when at the time this Agreement is terminated, the Company had the right to terminate this Agreement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or (ii) by the Company pursuant to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then Aspen shall pay or cause to be paid to the Company, concurrent with such termination, the Aspen Termination Fee or (ii) by Aspen pursuant to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then Aspen shall pay or cause to be paid to the Company, concurrent with such termination, the Aspen Termination Fee.</w:t>
      </w:r>
    </w:p>
    <w:p>
      <w:pPr>
        <w:spacing w:after="0" w:line="179" w:lineRule="exact"/>
        <w:rPr>
          <w:rFonts w:ascii="Times New Roman" w:cs="Times New Roman" w:eastAsia="Times New Roman" w:hAnsi="Times New Roman"/>
          <w:sz w:val="18"/>
          <w:szCs w:val="18"/>
          <w:color w:val="auto"/>
        </w:rPr>
      </w:pPr>
    </w:p>
    <w:p>
      <w:pPr>
        <w:ind w:left="-20" w:right="60" w:firstLine="1428"/>
        <w:spacing w:after="0" w:line="277" w:lineRule="auto"/>
        <w:tabs>
          <w:tab w:leader="none" w:pos="1667"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terminated by the Company pursuant to </w:t>
      </w:r>
      <w:r>
        <w:rPr>
          <w:rFonts w:ascii="Times New Roman" w:cs="Times New Roman" w:eastAsia="Times New Roman" w:hAnsi="Times New Roman"/>
          <w:sz w:val="17"/>
          <w:szCs w:val="17"/>
          <w:u w:val="single" w:color="auto"/>
          <w:color w:val="auto"/>
        </w:rPr>
        <w:t>Section 10.1(e)</w:t>
      </w:r>
      <w:r>
        <w:rPr>
          <w:rFonts w:ascii="Times New Roman" w:cs="Times New Roman" w:eastAsia="Times New Roman" w:hAnsi="Times New Roman"/>
          <w:sz w:val="17"/>
          <w:szCs w:val="17"/>
          <w:color w:val="auto"/>
        </w:rPr>
        <w:t xml:space="preserve">, Aspen shall reimburse or cause to be reimbursed to the Company for all reasonable out-of-pocket fees and expenses incurred by the Company in connection with this Agreement and the Contemplated Transactions, up to a maximum of $650,000, by wire transfer of same-day funds within ten (10) Business Days following the date on which the Company submits to Aspen true and correct copies of reasonable documentation supporting such expenses. For the avoidance of doubt, the expense reimbursement pursuant to this </w:t>
      </w:r>
      <w:r>
        <w:rPr>
          <w:rFonts w:ascii="Times New Roman" w:cs="Times New Roman" w:eastAsia="Times New Roman" w:hAnsi="Times New Roman"/>
          <w:sz w:val="17"/>
          <w:szCs w:val="17"/>
          <w:u w:val="single" w:color="auto"/>
          <w:color w:val="auto"/>
        </w:rPr>
        <w:t>Section 10.3(d)</w:t>
      </w:r>
      <w:r>
        <w:rPr>
          <w:rFonts w:ascii="Times New Roman" w:cs="Times New Roman" w:eastAsia="Times New Roman" w:hAnsi="Times New Roman"/>
          <w:sz w:val="17"/>
          <w:szCs w:val="17"/>
          <w:color w:val="auto"/>
        </w:rPr>
        <w:t>, to the extent paid, shall be credited against any Aspen Termination Fee that becomes payable thereafter.</w:t>
      </w:r>
    </w:p>
    <w:p>
      <w:pPr>
        <w:spacing w:after="0" w:line="167" w:lineRule="exact"/>
        <w:rPr>
          <w:rFonts w:ascii="Times New Roman" w:cs="Times New Roman" w:eastAsia="Times New Roman" w:hAnsi="Times New Roman"/>
          <w:sz w:val="17"/>
          <w:szCs w:val="17"/>
          <w:color w:val="auto"/>
        </w:rPr>
      </w:pPr>
    </w:p>
    <w:p>
      <w:pPr>
        <w:ind w:left="-20" w:right="140" w:firstLine="1428"/>
        <w:spacing w:after="0" w:line="254" w:lineRule="auto"/>
        <w:tabs>
          <w:tab w:leader="none" w:pos="165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at any time after the date of this Agreement and prior to the receipt of the Required Company Stockholder Vote, an Acquisition Proposal with respect to the Company shall have been publicly announced or disclosed or otherwise made known to the Company Board (and shall not have been withdrawn), (ii) this Agreement is terminated by Aspen pursuant to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and (iii) within twelve (12) months after the date of such termination, the Company enters into a definitive agreement with respect to any Acquisition Transaction or consummates any Acquisition Transaction (in each event with all references to 20% in the definition of Acquisition Transaction being treated as references to 50% for these purposes), then the Company shall pay or cause to be paid to Aspen, within ten (10) Business Days after such termination (or, if applicable, upon such entry into a definitive agreement or consummation of such Acquisition Transaction), a nonrefundable fee in an amount equal to $4,900,000 (the “</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20" w:right="80" w:firstLine="1428"/>
        <w:spacing w:after="0" w:line="261" w:lineRule="auto"/>
        <w:tabs>
          <w:tab w:leader="none" w:pos="16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 by Aspen or the Company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(when at the time this Agreement is terminated, Aspen had the right to terminate this Agreement pursuant to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(ii) by Aspen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or (iii) by Aspen pursuant to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then the Company shall pay or cause to be paid to Aspen, by wire transfer of same-day funds within ten (10) Business Days after such termination, the Company Termination Fee.</w:t>
      </w:r>
    </w:p>
    <w:p>
      <w:pPr>
        <w:spacing w:after="0" w:line="179" w:lineRule="exact"/>
        <w:rPr>
          <w:rFonts w:ascii="Times New Roman" w:cs="Times New Roman" w:eastAsia="Times New Roman" w:hAnsi="Times New Roman"/>
          <w:sz w:val="18"/>
          <w:szCs w:val="18"/>
          <w:color w:val="auto"/>
        </w:rPr>
      </w:pPr>
    </w:p>
    <w:p>
      <w:pPr>
        <w:ind w:left="-20" w:firstLine="1428"/>
        <w:spacing w:after="0" w:line="256" w:lineRule="auto"/>
        <w:tabs>
          <w:tab w:leader="none" w:pos="166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fails to pay when due any amount payable by it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published in The Wall Street Journal) in effect on the date such overdue amount was originally required to be paid plus three (3) percent.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60" w:top="270" w:right="459" w:bottom="1440" w:gutter="0" w:footer="0" w:header="0"/>
        </w:sectPr>
      </w:pPr>
    </w:p>
    <w:bookmarkStart w:id="106" w:name="page107"/>
    <w:bookmarkEnd w:id="106"/>
    <w:p>
      <w:pPr>
        <w:ind w:right="40" w:firstLine="1428"/>
        <w:spacing w:after="0" w:line="252" w:lineRule="auto"/>
        <w:tabs>
          <w:tab w:leader="none" w:pos="168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agree that,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it being understood that in no event shall either Aspen or the Company be required to pay the individual fees or damages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on more than one occasion.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following the payment of the fees and expenses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10.3(h)</w:t>
      </w:r>
      <w:r>
        <w:rPr>
          <w:rFonts w:ascii="Times New Roman" w:cs="Times New Roman" w:eastAsia="Times New Roman" w:hAnsi="Times New Roman"/>
          <w:sz w:val="18"/>
          <w:szCs w:val="18"/>
          <w:color w:val="auto"/>
        </w:rPr>
        <w:t xml:space="preserve"> shall limit the rights of the Parties under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For the avoidance of doubt, nothing in this </w:t>
      </w:r>
      <w:r>
        <w:rPr>
          <w:rFonts w:ascii="Times New Roman" w:cs="Times New Roman" w:eastAsia="Times New Roman" w:hAnsi="Times New Roman"/>
          <w:sz w:val="18"/>
          <w:szCs w:val="18"/>
          <w:u w:val="single" w:color="auto"/>
          <w:color w:val="auto"/>
        </w:rPr>
        <w:t>Section 10.3(h)</w:t>
      </w:r>
      <w:r>
        <w:rPr>
          <w:rFonts w:ascii="Times New Roman" w:cs="Times New Roman" w:eastAsia="Times New Roman" w:hAnsi="Times New Roman"/>
          <w:sz w:val="18"/>
          <w:szCs w:val="18"/>
          <w:color w:val="auto"/>
        </w:rPr>
        <w:t xml:space="preserve"> shall limit the remedies of the Parties under the Confidentiality Agreement. Notwithstanding the foregoing or anything else to the contrary in this Agreement, nothing herein shall affect the rights of Aspen to seek full recovery and remedy, including specific performance, for any willful and material breach of the Company Stockholder Support Agreements.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The representations and warranties of the Company, Aspen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Effective Time.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with the approval of the respective boards of directors of the Company, Merger Sub and Aspen at any time (whether before or after the adoption and approval of this Agreement by the Company’s stockholders or before or after obtaining the Required Aspen Stockholder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Aspen.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28"/>
        <w:spacing w:after="0" w:line="258" w:lineRule="auto"/>
        <w:tabs>
          <w:tab w:leader="none" w:pos="167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20"/>
          </w:cols>
          <w:pgMar w:left="440" w:top="270" w:right="539" w:bottom="1440" w:gutter="0" w:footer="0" w:header="0"/>
        </w:sectPr>
      </w:pPr>
    </w:p>
    <w:bookmarkStart w:id="107" w:name="page108"/>
    <w:bookmarkEnd w:id="107"/>
    <w:p>
      <w:pPr>
        <w:ind w:firstLine="1428"/>
        <w:spacing w:after="0" w:line="266" w:lineRule="auto"/>
        <w:tabs>
          <w:tab w:leader="none" w:pos="168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8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94" w:lineRule="exact"/>
        <w:rPr>
          <w:sz w:val="20"/>
          <w:szCs w:val="20"/>
          <w:color w:val="auto"/>
        </w:rPr>
      </w:pPr>
    </w:p>
    <w:p>
      <w:pPr>
        <w:ind w:right="26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64"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Aspen or Merger Sub: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erik.ostrowski@avrobio.com, generalcounsel@avrobio.com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8" w:name="page109"/>
    <w:bookmarkEnd w:id="1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Mitch Bloom; Rob Masella; James Ding; Adam Johnson</w:t>
      </w:r>
    </w:p>
    <w:p>
      <w:pPr>
        <w:spacing w:after="0" w:line="9" w:lineRule="exact"/>
        <w:rPr>
          <w:sz w:val="20"/>
          <w:szCs w:val="20"/>
          <w:color w:val="auto"/>
        </w:rPr>
      </w:pPr>
    </w:p>
    <w:p>
      <w:pPr>
        <w:ind w:right="4460"/>
        <w:spacing w:after="0" w:line="260" w:lineRule="auto"/>
        <w:rPr>
          <w:sz w:val="20"/>
          <w:szCs w:val="20"/>
          <w:color w:val="auto"/>
        </w:rPr>
      </w:pPr>
      <w:r>
        <w:rPr>
          <w:rFonts w:ascii="Times New Roman" w:cs="Times New Roman" w:eastAsia="Times New Roman" w:hAnsi="Times New Roman"/>
          <w:sz w:val="18"/>
          <w:szCs w:val="18"/>
          <w:color w:val="auto"/>
        </w:rPr>
        <w:t>Email: mbloom@goodwinlaw.com; rmasella@goodwinlaw.com; jding@goodwinlaw.com; adamjohnson@goodwinlaw.com</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Alise Reicin,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areicin@tectonictx.com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Boylston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Miguel Vega; Marc Recht; Michael Rohr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mvega@cooley.com; mrecht@cooley.com; mrohr@cooley.com</w:t>
      </w:r>
    </w:p>
    <w:p>
      <w:pPr>
        <w:spacing w:after="0" w:line="9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9" w:name="page110"/>
    <w:bookmarkEnd w:id="10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8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11.11 No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40"/>
          </w:cols>
          <w:pgMar w:left="440" w:top="270"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AVROBIO,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LPINE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 and Reorganization</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6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Agreement to be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ECTONIC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66"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COMPANY STOCKHOLDER SUPPORT AGREEMENT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30, 2024, by and among Tectonic Therapeutic,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AVROBIO, Inc., a Delaware corporation (“</w:t>
      </w:r>
      <w:r>
        <w:rPr>
          <w:rFonts w:ascii="Times New Roman" w:cs="Times New Roman" w:eastAsia="Times New Roman" w:hAnsi="Times New Roman"/>
          <w:sz w:val="18"/>
          <w:szCs w:val="18"/>
          <w:u w:val="single" w:color="auto"/>
          <w:color w:val="auto"/>
        </w:rPr>
        <w:t>Aspen</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the Company. Capitalized terms used herein but not otherwise defined shall have the respective meanings ascribed to such terms in the Merger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Aspen, the Company and Alpine Merger Subsidiary, Inc., a Delaware corporation and a wholly owned subsidiary of Aspen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merge with and into the Company, with the Company surviving the merger as the surviving corporation and a wholly owned subsidiary of Aspen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the Merger Agreement.</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Stockholder is the beneficial owner (as defined in Rule 13d-3 under the Exchange Act) of such number of shares of Company Capital Stock and Company Convertible Notes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as an inducement to the willingness of Aspen to enter into the Merger Agreement, Aspen has required that Stockholder enter into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225" w:lineRule="exact"/>
        <w:rPr>
          <w:sz w:val="20"/>
          <w:szCs w:val="20"/>
          <w:color w:val="auto"/>
        </w:rPr>
      </w:pPr>
    </w:p>
    <w:p>
      <w:pPr>
        <w:ind w:right="60" w:firstLine="436"/>
        <w:spacing w:after="0" w:line="282"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53" w:lineRule="exact"/>
        <w:rPr>
          <w:rFonts w:ascii="Times New Roman" w:cs="Times New Roman" w:eastAsia="Times New Roman" w:hAnsi="Times New Roman"/>
          <w:sz w:val="18"/>
          <w:szCs w:val="18"/>
          <w:color w:val="auto"/>
        </w:rPr>
      </w:pPr>
    </w:p>
    <w:p>
      <w:pPr>
        <w:ind w:right="400" w:firstLine="987"/>
        <w:spacing w:after="0" w:line="261" w:lineRule="auto"/>
        <w:tabs>
          <w:tab w:leader="none" w:pos="123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7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67"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13" w:name="page114"/>
    <w:bookmarkEnd w:id="113"/>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76" w:lineRule="exact"/>
        <w:rPr>
          <w:sz w:val="20"/>
          <w:szCs w:val="20"/>
          <w:color w:val="auto"/>
        </w:rPr>
      </w:pPr>
    </w:p>
    <w:p>
      <w:pPr>
        <w:ind w:left="620" w:hanging="184"/>
        <w:spacing w:after="0"/>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Stockholder covenants to Aspen as follows:</w:t>
      </w:r>
    </w:p>
    <w:p>
      <w:pPr>
        <w:spacing w:after="0" w:line="117" w:lineRule="exact"/>
        <w:rPr>
          <w:rFonts w:ascii="Times New Roman" w:cs="Times New Roman" w:eastAsia="Times New Roman" w:hAnsi="Times New Roman"/>
          <w:sz w:val="18"/>
          <w:szCs w:val="18"/>
          <w:color w:val="auto"/>
        </w:rPr>
      </w:pPr>
    </w:p>
    <w:p>
      <w:pPr>
        <w:ind w:right="180" w:firstLine="987"/>
        <w:spacing w:after="0" w:line="256" w:lineRule="auto"/>
        <w:tabs>
          <w:tab w:leader="none" w:pos="123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w:t>
      </w:r>
    </w:p>
    <w:p>
      <w:pPr>
        <w:spacing w:after="0" w:line="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the Voting Agreement of the Company, dated as of March 31, 2021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86"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the Stockholder may, at any time, Transfer Shares (i) by will or other testamentary document or by intestacy, (ii) to any investment fund or other entity controlled or managed by the Stockholder or the investment adviser of a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(vi) pursuant to 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70" w:right="459" w:bottom="1440" w:gutter="0" w:footer="0" w:header="0"/>
        </w:sectPr>
      </w:pPr>
    </w:p>
    <w:bookmarkStart w:id="114" w:name="page115"/>
    <w:bookmarkEnd w:id="1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qualified domestic order, (vii) to any charitable organization, or (viii) by effecting a “net exercise” of a Company Option or a “net settlement” of a Company Restricted Stock Unit in which the Company holds back shares of Company Common Stock otherwise issuable (but not the sale of already-owned shares of Company Common Stock) either to pay the exercise price upon the exercise of a Company Option or settlement of a Company Restricted Stock Unit or to satisfy the Stockholder’s tax withholding obligation upon the exercise of a Company Option or settlement of a Company Restricted Stock Unit, in each case as permitted pursuant to the terms of any Company Employee Plan and (ix) with respect to any Stockholder that is an entity, to any Affiliate of such Stockholder or to one or more partners or members of such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cases of clauses (i)-(vi), (x) such Transferred Shares shall continue to be bound by this Agreement and (y) the applicable direct transferee (if any) of such Transferred Shares shall have executed and delivered to Aspen and the Company a support agreement substantially identical to this Agreement upon consummation of the Transfer or (vii) to the extent required by applicable Law.</w:t>
      </w:r>
    </w:p>
    <w:p>
      <w:pPr>
        <w:spacing w:after="0" w:line="188" w:lineRule="exact"/>
        <w:rPr>
          <w:sz w:val="20"/>
          <w:szCs w:val="20"/>
          <w:color w:val="auto"/>
        </w:rPr>
      </w:pPr>
    </w:p>
    <w:p>
      <w:pPr>
        <w:ind w:left="620" w:hanging="184"/>
        <w:spacing w:after="0"/>
        <w:tabs>
          <w:tab w:leader="none" w:pos="6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Stockholder covenants to the Company as follows:</w:t>
      </w:r>
    </w:p>
    <w:p>
      <w:pPr>
        <w:spacing w:after="0" w:line="117"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to adopt and approve the Merger Agreement, (B) to approve the Contemplated Transactions, (C) to approve an amendment to the Company’ certificate of incorporation to effect the Company Authorized Share Increase, (D) to the extent the Stockholder is entitled to vote or exercise a right to consent with respect to such matter, to effect the Company Preferred Stock Conversion immediately prior to the Company SAFEs Conversion, which Company SAFEs Conversion shall occur immediately prior to the Subscription Agreement Concurrent Investment, (E) to waive any pre-emptive right, right of participation, right of maintenance, anti-dilution right or any similar right as may otherwise be provided to such Stockholder under the Organizational Documents of the Company in connection with any of the Contemplated Transactions, and (F) against any Acquisition Proposal. Further, to the extent the Stockholder holds any Company SAFEs, the Stockholder hereby understands that such Company SAFEs shall convert into shares of Company Common Stock in accordance with Section 2.5(g) of the Merger Agreement at the same price per share at which the shares of Company Common Stock is sold pursuant to the Subscription Agreement.</w:t>
      </w:r>
    </w:p>
    <w:p>
      <w:pPr>
        <w:spacing w:after="0" w:line="8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8"/>
          <w:szCs w:val="18"/>
          <w:u w:val="single" w:color="auto"/>
          <w:color w:val="auto"/>
        </w:rPr>
        <w:t>Section 3.</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9" w:lineRule="exact"/>
        <w:rPr>
          <w:rFonts w:ascii="Times New Roman" w:cs="Times New Roman" w:eastAsia="Times New Roman" w:hAnsi="Times New Roman"/>
          <w:sz w:val="18"/>
          <w:szCs w:val="18"/>
          <w:color w:val="auto"/>
        </w:rPr>
      </w:pPr>
    </w:p>
    <w:p>
      <w:pPr>
        <w:ind w:right="140" w:firstLine="436"/>
        <w:spacing w:after="0" w:line="256" w:lineRule="auto"/>
        <w:tabs>
          <w:tab w:leader="none" w:pos="6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in Stockholder Capacity Only</w:t>
      </w:r>
      <w:r>
        <w:rPr>
          <w:rFonts w:ascii="Times New Roman" w:cs="Times New Roman" w:eastAsia="Times New Roman" w:hAnsi="Times New Roman"/>
          <w:sz w:val="18"/>
          <w:szCs w:val="18"/>
          <w:color w:val="auto"/>
        </w:rPr>
        <w:t>. Notwithstanding anything in this Agreement to the contrary, the Stockholder is entering into this Agreement solely in the Stockholder’s capacity as the beneficial owner of its Shares and not in the Stockholder’s capacity as a director or officer of the Company,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1000"/>
          </w:cols>
          <w:pgMar w:left="440" w:top="270" w:right="459" w:bottom="1440" w:gutter="0" w:footer="0" w:header="0"/>
        </w:sectPr>
      </w:pPr>
    </w:p>
    <w:bookmarkStart w:id="115" w:name="page116"/>
    <w:bookmarkEnd w:id="115"/>
    <w:p>
      <w:pPr>
        <w:ind w:left="-40" w:firstLine="436"/>
        <w:spacing w:after="0" w:line="253" w:lineRule="auto"/>
        <w:tabs>
          <w:tab w:leader="none" w:pos="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Irrevocable Proxy</w:t>
      </w:r>
      <w:r>
        <w:rPr>
          <w:rFonts w:ascii="Times New Roman" w:cs="Times New Roman" w:eastAsia="Times New Roman" w:hAnsi="Times New Roman"/>
          <w:sz w:val="18"/>
          <w:szCs w:val="18"/>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Company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91" w:lineRule="exact"/>
        <w:rPr>
          <w:rFonts w:ascii="Times New Roman" w:cs="Times New Roman" w:eastAsia="Times New Roman" w:hAnsi="Times New Roman"/>
          <w:sz w:val="18"/>
          <w:szCs w:val="18"/>
          <w:color w:val="auto"/>
        </w:rPr>
      </w:pPr>
    </w:p>
    <w:p>
      <w:pPr>
        <w:ind w:left="-40" w:right="280" w:firstLine="436"/>
        <w:spacing w:after="0" w:line="282" w:lineRule="auto"/>
        <w:tabs>
          <w:tab w:leader="none" w:pos="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and after the date hereof until the Expiration Date, the Stockholder will not, and will not permit any entity under such Stockholder’s control to, take any action that the Company is prohibited from taking pursuant to Section 5.4 of the Merger Agreement.</w:t>
      </w:r>
    </w:p>
    <w:p>
      <w:pPr>
        <w:spacing w:after="0" w:line="161"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5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0" w:right="20" w:firstLine="436"/>
        <w:spacing w:after="0" w:line="269" w:lineRule="auto"/>
        <w:tabs>
          <w:tab w:leader="none" w:pos="58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Exercise of Appraisal Rights; Waivers</w:t>
      </w:r>
      <w:r>
        <w:rPr>
          <w:rFonts w:ascii="Times New Roman" w:cs="Times New Roman" w:eastAsia="Times New Roman" w:hAnsi="Times New Roman"/>
          <w:sz w:val="17"/>
          <w:szCs w:val="17"/>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the Company Board has (or may be alleged to have) to the Company or to the other Company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1">
            <w:col w:w="10940"/>
          </w:cols>
          <w:pgMar w:left="480" w:top="270" w:right="479" w:bottom="1440" w:gutter="0" w:footer="0" w:header="0"/>
        </w:sectPr>
      </w:pPr>
    </w:p>
    <w:bookmarkStart w:id="116" w:name="page117"/>
    <w:bookmarkEnd w:id="116"/>
    <w:p>
      <w:pPr>
        <w:ind w:left="580" w:hanging="184"/>
        <w:spacing w:after="0"/>
        <w:tabs>
          <w:tab w:leader="none" w:pos="5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Stockholder</w:t>
      </w:r>
      <w:r>
        <w:rPr>
          <w:rFonts w:ascii="Times New Roman" w:cs="Times New Roman" w:eastAsia="Times New Roman" w:hAnsi="Times New Roman"/>
          <w:sz w:val="18"/>
          <w:szCs w:val="18"/>
          <w:color w:val="auto"/>
        </w:rPr>
        <w:t>. The Stockholder hereby represents and warrants to the Company as follows:</w:t>
      </w:r>
    </w:p>
    <w:p>
      <w:pPr>
        <w:spacing w:after="0" w:line="117" w:lineRule="exact"/>
        <w:rPr>
          <w:rFonts w:ascii="Times New Roman" w:cs="Times New Roman" w:eastAsia="Times New Roman" w:hAnsi="Times New Roman"/>
          <w:sz w:val="18"/>
          <w:szCs w:val="18"/>
          <w:color w:val="auto"/>
        </w:rPr>
      </w:pPr>
    </w:p>
    <w:p>
      <w:pPr>
        <w:ind w:left="-40" w:right="40" w:firstLine="987"/>
        <w:spacing w:after="0" w:line="256" w:lineRule="auto"/>
        <w:tabs>
          <w:tab w:leader="none" w:pos="119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Stockholder is the beneficial owner of the shares of Company Capital Stock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(each of which shall be deemed to be “held” by the Stockholder for purposes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unless otherwise expressly stated with respect to any shares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free and clear of any and all Encumbrances (except for any Encumbrance that may be imposed pursuant to this Agreement, the Voting Agreement, the Investors’ Rights Agreement of the Company, dated as of March 31, 2021 (the “</w:t>
      </w:r>
      <w:r>
        <w:rPr>
          <w:rFonts w:ascii="Times New Roman" w:cs="Times New Roman" w:eastAsia="Times New Roman" w:hAnsi="Times New Roman"/>
          <w:sz w:val="18"/>
          <w:szCs w:val="18"/>
          <w:u w:val="single" w:color="auto"/>
          <w:color w:val="auto"/>
        </w:rPr>
        <w:t>Investors’ Rights Agreement</w:t>
      </w:r>
      <w:r>
        <w:rPr>
          <w:rFonts w:ascii="Times New Roman" w:cs="Times New Roman" w:eastAsia="Times New Roman" w:hAnsi="Times New Roman"/>
          <w:sz w:val="18"/>
          <w:szCs w:val="18"/>
          <w:color w:val="auto"/>
        </w:rPr>
        <w:t xml:space="preserve">”), or any lock-up agreement entered into by and between the Stockholder, the Company and Aspen);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0" w:right="320" w:firstLine="987"/>
        <w:spacing w:after="0" w:line="282" w:lineRule="auto"/>
        <w:tabs>
          <w:tab w:leader="none" w:pos="120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Stockholder that is an entity, the Stockholder is duly organized, validly existing and in good standing under the laws of the jurisdiction of its formation and is qualified to conduct its business in those jurisdictions necessary to perform this Agreement.</w:t>
      </w:r>
    </w:p>
    <w:p>
      <w:pPr>
        <w:spacing w:after="0" w:line="53"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w:t>
      </w:r>
    </w:p>
    <w:p>
      <w:pPr>
        <w:spacing w:after="0" w:line="80"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940"/>
          </w:cols>
          <w:pgMar w:left="480" w:top="270" w:right="479" w:bottom="1440" w:gutter="0" w:footer="0" w:header="0"/>
        </w:sectPr>
      </w:pPr>
    </w:p>
    <w:bookmarkStart w:id="117" w:name="page118"/>
    <w:bookmarkEnd w:id="117"/>
    <w:p>
      <w:pPr>
        <w:ind w:right="100" w:firstLine="987"/>
        <w:spacing w:after="0" w:line="261" w:lineRule="auto"/>
        <w:tabs>
          <w:tab w:leader="none" w:pos="123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71"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w:t>
      </w:r>
    </w:p>
    <w:p>
      <w:pPr>
        <w:spacing w:after="0" w:line="75" w:lineRule="exact"/>
        <w:rPr>
          <w:rFonts w:ascii="Times New Roman" w:cs="Times New Roman" w:eastAsia="Times New Roman" w:hAnsi="Times New Roman"/>
          <w:sz w:val="18"/>
          <w:szCs w:val="18"/>
          <w:color w:val="auto"/>
        </w:rPr>
      </w:pPr>
    </w:p>
    <w:p>
      <w:pPr>
        <w:ind w:right="160" w:firstLine="987"/>
        <w:spacing w:after="0" w:line="254" w:lineRule="auto"/>
        <w:tabs>
          <w:tab w:leader="none" w:pos="124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w:t>
      </w:r>
    </w:p>
    <w:p>
      <w:pPr>
        <w:spacing w:after="0" w:line="83"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4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w:t>
      </w:r>
      <w:r>
        <w:rPr>
          <w:rFonts w:ascii="Times New Roman" w:cs="Times New Roman" w:eastAsia="Times New Roman" w:hAnsi="Times New Roman"/>
          <w:sz w:val="18"/>
          <w:szCs w:val="18"/>
          <w:color w:val="auto"/>
        </w:rPr>
        <w:t>. Each Stockholder, by this Agreement, and with respect to such Stockholder’s Shares, severally and not jointly, hereby agrees to terminate, subject to the occurrence of, and effective immediately prior to, the Effective Time, each of (a) the agreements set forth on Appendix B hereto and (b) any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Effective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1000"/>
          </w:cols>
          <w:pgMar w:left="440" w:top="270" w:right="459" w:bottom="1440" w:gutter="0" w:footer="0" w:header="0"/>
        </w:sectPr>
      </w:pPr>
    </w:p>
    <w:bookmarkStart w:id="118" w:name="page119"/>
    <w:bookmarkEnd w:id="118"/>
    <w:p>
      <w:pPr>
        <w:ind w:left="-20" w:firstLine="436"/>
        <w:spacing w:after="0" w:line="258" w:lineRule="auto"/>
        <w:tabs>
          <w:tab w:leader="none" w:pos="68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This Agreement shall terminate and shall cease to be of any further force or effect as of the earliest of (a) such date and time as the Merger Agreement shall have been terminated pursuant to the terms thereof, (b) the time this Agreement is terminated upon the written agreement of the Stockholder, the Company and Aspen and (c) the Effective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hereto from any liability for fraud or for any material and willful breach of this Agreement prior to the Effective Time.</w:t>
      </w:r>
    </w:p>
    <w:p>
      <w:pPr>
        <w:spacing w:after="0" w:line="183"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69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100" w:firstLine="987"/>
        <w:spacing w:after="0" w:line="282" w:lineRule="auto"/>
        <w:tabs>
          <w:tab w:leader="none" w:pos="121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of this Agreement shall be effective against any party unless it shall be in writing and signed by each of the parties hereto.</w:t>
      </w:r>
    </w:p>
    <w:p>
      <w:pPr>
        <w:spacing w:after="0" w:line="53"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75"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13(k)</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0960"/>
          </w:cols>
          <w:pgMar w:left="460" w:top="270" w:right="479" w:bottom="1440" w:gutter="0" w:footer="0" w:header="0"/>
        </w:sectPr>
      </w:pPr>
    </w:p>
    <w:bookmarkStart w:id="119" w:name="page120"/>
    <w:bookmarkEnd w:id="119"/>
    <w:p>
      <w:pPr>
        <w:ind w:right="80" w:firstLine="987"/>
        <w:spacing w:after="0" w:line="256"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is void.</w:t>
      </w:r>
    </w:p>
    <w:p>
      <w:pPr>
        <w:spacing w:after="0" w:line="79"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This Agreement is not intended to, and shall not, confer upon any other person any rights or remedies hereunder other than the parties hereto to the extent expressly set forth herein.</w:t>
      </w:r>
    </w:p>
    <w:p>
      <w:pPr>
        <w:spacing w:after="0" w:line="53"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80"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0"/>
          </w:cols>
          <w:pgMar w:left="440" w:top="270" w:right="459" w:bottom="1440" w:gutter="0" w:footer="0" w:header="0"/>
        </w:sectPr>
      </w:pPr>
    </w:p>
    <w:bookmarkStart w:id="120" w:name="page121"/>
    <w:bookmarkEnd w:id="120"/>
    <w:p>
      <w:pPr>
        <w:ind w:firstLine="987"/>
        <w:spacing w:after="0" w:line="256" w:lineRule="auto"/>
        <w:tabs>
          <w:tab w:leader="none" w:pos="124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w:t>
      </w:r>
    </w:p>
    <w:p>
      <w:pPr>
        <w:spacing w:after="0" w:line="79" w:lineRule="exact"/>
        <w:rPr>
          <w:rFonts w:ascii="Times New Roman" w:cs="Times New Roman" w:eastAsia="Times New Roman" w:hAnsi="Times New Roman"/>
          <w:sz w:val="18"/>
          <w:szCs w:val="18"/>
          <w:color w:val="auto"/>
        </w:rPr>
      </w:pPr>
    </w:p>
    <w:p>
      <w:pPr>
        <w:ind w:right="60" w:firstLine="987"/>
        <w:spacing w:after="0" w:line="253" w:lineRule="auto"/>
        <w:tabs>
          <w:tab w:leader="none" w:pos="120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cs="Times New Roman" w:eastAsia="Times New Roman" w:hAnsi="Times New Roman"/>
          <w:sz w:val="18"/>
          <w:szCs w:val="18"/>
          <w:u w:val="single" w:color="auto"/>
          <w:color w:val="auto"/>
        </w:rPr>
        <w:t>Section 13(i)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83"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46"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Ownership Interest. Nothing contained in this Agreement shall be deemed to vest in the Company any direct or indirect ownership or incidence of ownership of or with respect to the Shares. All rights, ownership and economic benefits of and relating to the Shares shall remain vested in and below to the Stockholder, and the Company shall have no authority to direct the Stockholder in the voting or disposition of any Shares, expect as specifically provided herein.</w:t>
      </w:r>
    </w:p>
    <w:p>
      <w:pPr>
        <w:spacing w:after="0" w:line="7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Non-Survival of Representations and Warranties. None of the representations and warranties in this Agreement shall survive the Effective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980"/>
          </w:cols>
          <w:pgMar w:left="440" w:top="270" w:right="479" w:bottom="1440" w:gutter="0" w:footer="0" w:header="0"/>
        </w:sectPr>
      </w:pPr>
    </w:p>
    <w:bookmarkStart w:id="121" w:name="page122"/>
    <w:bookmarkEnd w:id="12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280035</wp:posOffset>
            </wp:positionV>
            <wp:extent cx="26828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280035</wp:posOffset>
            </wp:positionV>
            <wp:extent cx="26828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WITNESS WHEREOF, the undersigned have caused this Agreement to be duly executed as of the date first above written.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Stockholder: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8173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18173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506095</wp:posOffset>
            </wp:positionV>
            <wp:extent cx="18173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1817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0019"/>
          </w:cols>
          <w:pgMar w:left="440" w:top="270"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bookmarkStart w:id="123" w:name="page124"/>
    <w:bookmarkEnd w:id="123"/>
    <w:p>
      <w:pPr>
        <w:jc w:val="center"/>
        <w:ind w:right="40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52" w:lineRule="exact"/>
        <w:rPr>
          <w:sz w:val="20"/>
          <w:szCs w:val="20"/>
          <w:color w:val="auto"/>
        </w:rPr>
      </w:pPr>
    </w:p>
    <w:p>
      <w:pPr>
        <w:ind w:left="540" w:hanging="532"/>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dated as of March 31, 2021, by and among Tectonic Therapeutic, Inc., the Stockholder, and the other parties thereto.</w:t>
      </w:r>
    </w:p>
    <w:p>
      <w:pPr>
        <w:spacing w:after="0" w:line="252"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of First Refusal and Co-Sale Agreement, dated as of March 31, 2021, by and among Tectonic Therapeutic, Inc., the Stockholder, and the other parties thereto.</w:t>
      </w:r>
    </w:p>
    <w:p>
      <w:pPr>
        <w:spacing w:after="0" w:line="188"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Rights Agreement, dated as of March 31, 2021, by and among Tectonic Therapeutic, Inc., the Stockholder, and the other parties thereto.</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560"/>
          </w:cols>
          <w:pgMar w:left="860" w:top="270" w:right="47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ASPEN STOCKHOLDER SUPPORT AGREEMENT</w:t>
      </w:r>
    </w:p>
    <w:p>
      <w:pPr>
        <w:spacing w:after="0" w:line="229"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30, 2024, by and among Tectonic Therapeutic,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AVROBIO, Inc., a Delaware corporation (“</w:t>
      </w:r>
      <w:r>
        <w:rPr>
          <w:rFonts w:ascii="Times New Roman" w:cs="Times New Roman" w:eastAsia="Times New Roman" w:hAnsi="Times New Roman"/>
          <w:sz w:val="18"/>
          <w:szCs w:val="18"/>
          <w:u w:val="single" w:color="auto"/>
          <w:color w:val="auto"/>
        </w:rPr>
        <w:t>Aspen</w:t>
      </w:r>
      <w:r>
        <w:rPr>
          <w:rFonts w:ascii="Times New Roman" w:cs="Times New Roman" w:eastAsia="Times New Roman" w:hAnsi="Times New Roman"/>
          <w:sz w:val="18"/>
          <w:szCs w:val="18"/>
          <w:color w:val="auto"/>
        </w:rPr>
        <w:t>”), and the undersigned stockholder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of Aspen. Capitalized terms used herein but not otherwise defined shall have the respective meanings ascribed to such terms in the Merger Agreement (as defined below).</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hereof, Aspen, the Company and Alpine Merger Subsidiary, Inc., a Delaware corporation and a wholly owned subsidiary of Aspen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merge with and into the Company, with the Company surviving the merger as the surviving corporation and a wholly owned subsidiary of Aspen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the Merger Agreement.</w:t>
      </w:r>
    </w:p>
    <w:p>
      <w:pPr>
        <w:spacing w:after="0" w:line="183"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the Stockholder is the beneficial owner (as defined in Rule 13d-3 under the Exchange Act) of such number of shares of Aspen Common Stock as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WHEREAS, as an inducement to the willingness of the Company to enter into the Merger Agreement, the Company has required that Stockholder enter into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intending to be legally bound, the parties hereby agree as follows:</w:t>
      </w:r>
    </w:p>
    <w:p>
      <w:pPr>
        <w:spacing w:after="0" w:line="225" w:lineRule="exact"/>
        <w:rPr>
          <w:sz w:val="20"/>
          <w:szCs w:val="20"/>
          <w:color w:val="auto"/>
        </w:rPr>
      </w:pPr>
    </w:p>
    <w:p>
      <w:pPr>
        <w:ind w:left="4" w:right="60" w:firstLine="436"/>
        <w:spacing w:after="0" w:line="282" w:lineRule="auto"/>
        <w:tabs>
          <w:tab w:leader="none" w:pos="62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161" w:lineRule="exact"/>
        <w:rPr>
          <w:rFonts w:ascii="Times New Roman" w:cs="Times New Roman" w:eastAsia="Times New Roman" w:hAnsi="Times New Roman"/>
          <w:sz w:val="18"/>
          <w:szCs w:val="18"/>
          <w:color w:val="auto"/>
        </w:rPr>
      </w:pPr>
    </w:p>
    <w:p>
      <w:pPr>
        <w:ind w:left="4" w:right="400" w:firstLine="987"/>
        <w:spacing w:after="0" w:line="261" w:lineRule="auto"/>
        <w:tabs>
          <w:tab w:leader="none" w:pos="124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Sale</w:t>
      </w:r>
      <w:r>
        <w:rPr>
          <w:rFonts w:ascii="Times New Roman" w:cs="Times New Roman" w:eastAsia="Times New Roman" w:hAnsi="Times New Roman"/>
          <w:sz w:val="18"/>
          <w:szCs w:val="18"/>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179"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Aspen Stockholder Matters</w:t>
      </w:r>
      <w:r>
        <w:rPr>
          <w:rFonts w:ascii="Times New Roman" w:cs="Times New Roman" w:eastAsia="Times New Roman" w:hAnsi="Times New Roman"/>
          <w:sz w:val="18"/>
          <w:szCs w:val="18"/>
          <w:color w:val="auto"/>
        </w:rPr>
        <w:t>” means (A) the approval of the issuance of shares of Aspen Common Stock to the stockholders of the Company pursuant to the terms of this Agreement, (B) the approval of an amendment to the Aspen Charter to effect the Nasdaq Reverse Split, (C) the approval of the Equity Plan Proposals, and (D) the approval of an amendment to the Aspen Charter to provide for the exculpation of officers.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(i) all shares of Aspen Common Stock owned, beneficially or of record, by the Stockholder as of the date hereof, and</w:t>
      </w:r>
    </w:p>
    <w:p>
      <w:pPr>
        <w:spacing w:after="0" w:line="27" w:lineRule="exact"/>
        <w:rPr>
          <w:rFonts w:ascii="Times New Roman" w:cs="Times New Roman" w:eastAsia="Times New Roman" w:hAnsi="Times New Roman"/>
          <w:sz w:val="18"/>
          <w:szCs w:val="18"/>
          <w:color w:val="auto"/>
        </w:rPr>
      </w:pPr>
    </w:p>
    <w:p>
      <w:pPr>
        <w:ind w:left="4" w:right="620" w:hanging="4"/>
        <w:spacing w:after="0" w:line="260" w:lineRule="auto"/>
        <w:tabs>
          <w:tab w:leader="none" w:pos="26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shares of Aspen Common Stock acquired by the Stockholder, beneficially or of record, during the period commencing with the execution and delivery of this Agreement and expiring on the Closing Date.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25" w:name="page126"/>
    <w:bookmarkEnd w:id="125"/>
    <w:p>
      <w:pPr>
        <w:ind w:left="-60" w:firstLine="987"/>
        <w:spacing w:after="0" w:line="255" w:lineRule="auto"/>
        <w:tabs>
          <w:tab w:leader="none" w:pos="118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88" w:lineRule="exact"/>
        <w:rPr>
          <w:rFonts w:ascii="Times New Roman" w:cs="Times New Roman" w:eastAsia="Times New Roman" w:hAnsi="Times New Roman"/>
          <w:sz w:val="18"/>
          <w:szCs w:val="18"/>
          <w:color w:val="auto"/>
        </w:rPr>
      </w:pPr>
    </w:p>
    <w:p>
      <w:pPr>
        <w:ind w:left="560" w:hanging="184"/>
        <w:spacing w:after="0"/>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Voting Restrictions</w:t>
      </w:r>
      <w:r>
        <w:rPr>
          <w:rFonts w:ascii="Times New Roman" w:cs="Times New Roman" w:eastAsia="Times New Roman" w:hAnsi="Times New Roman"/>
          <w:sz w:val="18"/>
          <w:szCs w:val="18"/>
          <w:color w:val="auto"/>
        </w:rPr>
        <w:t>. The Stockholder covenants to the Company as follows:</w:t>
      </w:r>
    </w:p>
    <w:p>
      <w:pPr>
        <w:spacing w:after="0" w:line="225" w:lineRule="exact"/>
        <w:rPr>
          <w:rFonts w:ascii="Times New Roman" w:cs="Times New Roman" w:eastAsia="Times New Roman" w:hAnsi="Times New Roman"/>
          <w:sz w:val="18"/>
          <w:szCs w:val="18"/>
          <w:color w:val="auto"/>
        </w:rPr>
      </w:pPr>
    </w:p>
    <w:p>
      <w:pPr>
        <w:ind w:left="-60" w:right="140" w:firstLine="987"/>
        <w:spacing w:after="0" w:line="256" w:lineRule="auto"/>
        <w:tabs>
          <w:tab w:leader="none" w:pos="117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permitted by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during the period commencing with the execution and delivery of this Agreement and expiring on the Expiration Date (as defined below), the Stockholder shall not Transfer any of the Stockholder’s Shares, or publicly announce its intention to Transfer any of its Shares, in each case, including any Transfer by merger (including by conversion into securities or other consideration), by tendering into any tender or exchange offer, by operation of law or otherwise), or either voluntarily or involuntarily, offer to Transfer or consent to any Transfer or enter into any contract, option or other agreement or understanding with respect to the Transfer of any or all of such Stockholder’s Shares.</w:t>
      </w:r>
    </w:p>
    <w:p>
      <w:pPr>
        <w:spacing w:after="0" w:line="187" w:lineRule="exact"/>
        <w:rPr>
          <w:rFonts w:ascii="Times New Roman" w:cs="Times New Roman" w:eastAsia="Times New Roman" w:hAnsi="Times New Roman"/>
          <w:sz w:val="18"/>
          <w:szCs w:val="18"/>
          <w:color w:val="auto"/>
        </w:rPr>
      </w:pPr>
    </w:p>
    <w:p>
      <w:pPr>
        <w:ind w:left="-60" w:right="20" w:firstLine="987"/>
        <w:spacing w:after="0" w:line="253" w:lineRule="auto"/>
        <w:tabs>
          <w:tab w:leader="none" w:pos="118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nor shall the Stockholder take any action or agree or commit to take any action that would make any representation or warranty of such Stockholder contained in this Agreement untrue or incorrect or have the effect of preventing or materially delaying the Stockholder from or in performing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Aspen Stockholder Matters and against any Acquisition Proposals.</w:t>
      </w:r>
    </w:p>
    <w:p>
      <w:pPr>
        <w:spacing w:after="0" w:line="194" w:lineRule="exact"/>
        <w:rPr>
          <w:rFonts w:ascii="Times New Roman" w:cs="Times New Roman" w:eastAsia="Times New Roman" w:hAnsi="Times New Roman"/>
          <w:sz w:val="18"/>
          <w:szCs w:val="18"/>
          <w:color w:val="auto"/>
        </w:rPr>
      </w:pPr>
    </w:p>
    <w:p>
      <w:pPr>
        <w:ind w:left="-60" w:right="100" w:firstLine="987"/>
        <w:spacing w:after="0" w:line="258" w:lineRule="auto"/>
        <w:tabs>
          <w:tab w:leader="none" w:pos="117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the Stockholder may, at any time, Transfer Shares (i) by will or other testamentary document or by intestacy, (ii) to any investment fund or other entity controlled or managed by the Stockholder, (iii) to any member of the Stockholder’s immediate family, (iv) to any trust for the direct or indirect benefit of the Stockholder or the immediate family of the Stockholder or otherwise for estate planning purposes, (v) pursuant to a qualified domestic order, (vi) to any charitable organization, (vii) by effecting a “net exercise” of an Aspen Option or a “net settlement” of an Aspen Restricted Stock Unit in which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70" w:right="499" w:bottom="1440" w:gutter="0" w:footer="0" w:header="0"/>
        </w:sectPr>
      </w:pPr>
    </w:p>
    <w:bookmarkStart w:id="126" w:name="page127"/>
    <w:bookmarkEnd w:id="126"/>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Aspen holds back shares of Aspen Common Stock otherwise issuable (but not the sale of already-owned shares of Aspen Common Stock) either to pay the exercise price upon the exercise of an Aspen Option or settlement of an Aspen Restricted Stock Unit or to satisfy the Stockholder’s tax withholding obligation upon the exercise of an Aspen Option or settlement of an Aspen Restricted Stock Unit, in each case as permitted pursuant to the terms of any Aspen Employee Plan and (viii) with respect to any Stockholder that is an entity, to any Affiliate of such Stockholder or to one or more partners or members of such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such Transferred Shares shall continue to be bound by this Agreement and (y) the applicable transferee shall have executed and delivered to Aspen and the Company a support agreement substantially identical to this Agreement upon consummation of the Transfer.</w:t>
      </w:r>
    </w:p>
    <w:p>
      <w:pPr>
        <w:spacing w:after="0" w:line="189" w:lineRule="exact"/>
        <w:rPr>
          <w:sz w:val="20"/>
          <w:szCs w:val="20"/>
          <w:color w:val="auto"/>
        </w:rPr>
      </w:pPr>
    </w:p>
    <w:p>
      <w:pPr>
        <w:ind w:left="620" w:hanging="184"/>
        <w:spacing w:after="0"/>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Shares</w:t>
      </w:r>
      <w:r>
        <w:rPr>
          <w:rFonts w:ascii="Times New Roman" w:cs="Times New Roman" w:eastAsia="Times New Roman" w:hAnsi="Times New Roman"/>
          <w:sz w:val="18"/>
          <w:szCs w:val="18"/>
          <w:color w:val="auto"/>
        </w:rPr>
        <w:t>. The Stockholder covenants to the Company as follows:</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Expiration Date, at any meeting of the stockholders of Aspen, however called, and at every adjournment or postponement thereof, and on every action or approval by written consent of the stockholders of Aspen with respect to the Aspen Stockholder Matters, the Stockholder shall be present (in person or by proxy) and vote, or exercise its right to consent with respect to, all Shares held by the Stockholder (A) in favor of the Aspen Stockholder Matters, (B) against any Acquisition Proposal, and (C) in favor of an adjournment of the meeting of the stockholders of Aspen, if necessary, to solicit additional proxies if there are not sufficient votes in favor of the Aspen Stockholder Matters.</w:t>
      </w:r>
    </w:p>
    <w:p>
      <w:pPr>
        <w:spacing w:after="0" w:line="183"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7"/>
          <w:szCs w:val="17"/>
          <w:u w:val="single" w:color="auto"/>
          <w:color w:val="auto"/>
        </w:rPr>
        <w:t>Section 3.</w:t>
      </w:r>
    </w:p>
    <w:p>
      <w:pPr>
        <w:spacing w:after="0" w:line="139" w:lineRule="exact"/>
        <w:rPr>
          <w:rFonts w:ascii="Times New Roman" w:cs="Times New Roman" w:eastAsia="Times New Roman" w:hAnsi="Times New Roman"/>
          <w:sz w:val="17"/>
          <w:szCs w:val="17"/>
          <w:color w:val="auto"/>
        </w:rPr>
      </w:pPr>
    </w:p>
    <w:p>
      <w:pPr>
        <w:ind w:right="100" w:firstLine="987"/>
        <w:spacing w:after="0" w:line="261" w:lineRule="auto"/>
        <w:tabs>
          <w:tab w:leader="none" w:pos="123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distribution, or any change in the capital stock of Aspen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in Stockholder Capacity Only</w:t>
      </w:r>
      <w:r>
        <w:rPr>
          <w:rFonts w:ascii="Times New Roman" w:cs="Times New Roman" w:eastAsia="Times New Roman" w:hAnsi="Times New Roman"/>
          <w:sz w:val="18"/>
          <w:szCs w:val="18"/>
          <w:color w:val="auto"/>
        </w:rPr>
        <w:t>. Notwithstanding anything in this Agreement to the contrary, the Stockholder is entering into this Agreement solely in the Stockholder’s capacity as a record holder and beneficial owner, as applicable, of its Shares and not in the Stockholder’s capacity as a director or officer of Aspen, and this Agreement shall not limit or otherwise affect the actions or inactions of any Affiliate, representative or designee of the Stockholder or any of its Affiliates in his or her capacity, if applicable, as an officer or director of any other Person. Nothing herein shall limit or affect the Stockholder’s ability to act as a director of the Company in the taking of any actions (or failure to act) in his or her capacity as a director of the Company if such action (or failure to act) would be inconsistent with the exercise of his or her fiduciary duties as a director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7" w:name="page128"/>
    <w:bookmarkEnd w:id="127"/>
    <w:p>
      <w:pPr>
        <w:ind w:left="-40" w:right="20" w:firstLine="436"/>
        <w:spacing w:after="0" w:line="253"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Irrevocable Proxy</w:t>
      </w:r>
      <w:r>
        <w:rPr>
          <w:rFonts w:ascii="Times New Roman" w:cs="Times New Roman" w:eastAsia="Times New Roman" w:hAnsi="Times New Roman"/>
          <w:sz w:val="18"/>
          <w:szCs w:val="18"/>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at any applicable meeting of the stockholders of Aspen or pursuant to any applicable written consent of the stockholders of Aspen, the Stockholder shall be deemed to have irrevocably granted to, and appointed, Aspen, and any individual designated in writing by Aspen, and each of them individually, as his, her or its proxy and attorney-in-fact (with full power of substitution), for and in its name, place and stead, to vote his, her or its Shares in any action by written consent of Aspen stockholders or at any meeting of the Aspen stockholders called with respect to any of the matters specified in, and in accordance and consistent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Aspen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94" w:lineRule="exact"/>
        <w:rPr>
          <w:rFonts w:ascii="Times New Roman" w:cs="Times New Roman" w:eastAsia="Times New Roman" w:hAnsi="Times New Roman"/>
          <w:sz w:val="18"/>
          <w:szCs w:val="18"/>
          <w:color w:val="auto"/>
        </w:rPr>
      </w:pPr>
    </w:p>
    <w:p>
      <w:pPr>
        <w:ind w:left="-40" w:right="260" w:firstLine="436"/>
        <w:spacing w:after="0" w:line="282"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and after the date hereof until the Expiration Date, the Stockholder will not, and will not permit any entity under such Stockholder’s control to, take any action that Aspen is prohibited from taking pursuant to Section 5.4 of the Merger Agreement.</w:t>
      </w:r>
    </w:p>
    <w:p>
      <w:pPr>
        <w:spacing w:after="0" w:line="161"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xml:space="preserve">. The Stockholder shall permit and hereby authorizes Aspen and the Company to publish and disclose in all documents and schedules filed with the SEC, and any press release or other disclosure document that Aspen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Aspen and the Company is an intended third-party beneficiary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0" w:firstLine="436"/>
        <w:spacing w:after="0" w:line="254"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Exercise of Appraisal Rights; Waivers</w:t>
      </w:r>
      <w:r>
        <w:rPr>
          <w:rFonts w:ascii="Times New Roman" w:cs="Times New Roman" w:eastAsia="Times New Roman" w:hAnsi="Times New Roman"/>
          <w:sz w:val="18"/>
          <w:szCs w:val="18"/>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Aspen Board, breaches any fiduciary duty of the Aspen Board or any member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Stockholder may defend against, contest or settle any such action, claim, suit or cause of action brought against the Stockholder that relates solely to the Stockholder’s capacity as a director, officer or securityholder of Aspen.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128" w:name="page129"/>
    <w:bookmarkEnd w:id="128"/>
    <w:p>
      <w:pPr>
        <w:ind w:left="580" w:hanging="184"/>
        <w:spacing w:after="0"/>
        <w:tabs>
          <w:tab w:leader="none" w:pos="5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Stockholder</w:t>
      </w:r>
      <w:r>
        <w:rPr>
          <w:rFonts w:ascii="Times New Roman" w:cs="Times New Roman" w:eastAsia="Times New Roman" w:hAnsi="Times New Roman"/>
          <w:sz w:val="18"/>
          <w:szCs w:val="18"/>
          <w:color w:val="auto"/>
        </w:rPr>
        <w:t>. The Stockholder hereby represents and warrants to the Company as follows:</w:t>
      </w:r>
    </w:p>
    <w:p>
      <w:pPr>
        <w:spacing w:after="0" w:line="225"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19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Stockholder is the beneficial or record owner of the shares of Aspen Common Stock indicated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(each of which shall be deemed to be “held” by the Stockholder for purposes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unless otherwise expressly stated with respect to any shares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free and clear of any and all Encumbrances (except for any Encumbrance that may be imposed pursuant to this Agreement or any lock-up agreement entered into by and between the Stockholder, the Company and Aspen); and (ii) the Stockholder does not beneficially own any securities of Aspen other than the shares of Aspen Common Stock and rights to purchase shares Aspen Common Stock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0" w:right="320" w:firstLine="987"/>
        <w:spacing w:after="0" w:line="282" w:lineRule="auto"/>
        <w:tabs>
          <w:tab w:leader="none" w:pos="120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Stockholder that is an entity, the Stockholder is duly organized, validly existing and in good standing under the laws of the jurisdiction of its formation and is qualified to conduct its business in those jurisdictions necessary to perform this Agreement.</w:t>
      </w:r>
    </w:p>
    <w:p>
      <w:pPr>
        <w:spacing w:after="0" w:line="161"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Stockholder has full power, legal capacity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contemplated by this Agreement.</w:t>
      </w:r>
    </w:p>
    <w:p>
      <w:pPr>
        <w:spacing w:after="0" w:line="188"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91" w:lineRule="exact"/>
        <w:rPr>
          <w:rFonts w:ascii="Times New Roman" w:cs="Times New Roman" w:eastAsia="Times New Roman" w:hAnsi="Times New Roman"/>
          <w:sz w:val="18"/>
          <w:szCs w:val="18"/>
          <w:color w:val="auto"/>
        </w:rPr>
      </w:pPr>
    </w:p>
    <w:p>
      <w:pPr>
        <w:ind w:left="-40" w:right="80" w:firstLine="987"/>
        <w:spacing w:after="0" w:line="261" w:lineRule="auto"/>
        <w:tabs>
          <w:tab w:leader="none" w:pos="119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left="-40" w:right="100" w:firstLine="987"/>
        <w:spacing w:after="0" w:line="258" w:lineRule="auto"/>
        <w:tabs>
          <w:tab w:leader="none" w:pos="117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by the Stockholder will not contravene, conflict with or result in (i) a violation of any of the provisions of the Stockholder’s organizational documents, (ii) any Law or any Order by which the Stockholder, or any of the assets owned or used by the Stockholder, is subject; (iii) a violation or breach of, or result in a default under, any provision of any contract to which the Stockholder is a party; or (iv) result in the imposition or creation of any Encumbrance upon or with respect to any asset owned or used by the Stockholder.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80" w:top="270" w:right="479" w:bottom="1440" w:gutter="0" w:footer="0" w:header="0"/>
        </w:sectPr>
      </w:pPr>
    </w:p>
    <w:bookmarkStart w:id="129" w:name="page130"/>
    <w:bookmarkEnd w:id="129"/>
    <w:p>
      <w:pPr>
        <w:ind w:left="4" w:right="180" w:firstLine="987"/>
        <w:spacing w:after="0" w:line="254" w:lineRule="auto"/>
        <w:tabs>
          <w:tab w:leader="none" w:pos="125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Aspen, the Company or any of their respective agents or representatives with respect to the tax consequences of the Merger and the Contemplated Transactions. The Stockholder understands that such Stockholder (and not Aspen, the Company or the Surviving Corporation) shall be responsible for such Stockholder’s tax liability that may arise as a result of the Merger or the Contemplated Transactions. The Stockholder understands and acknowledges that the Company, Aspen and Merger Sub are entering into the Merger Agreement in reliance upon the Stockholder’s execution, delivery and performance of this Agreement.</w:t>
      </w:r>
    </w:p>
    <w:p>
      <w:pPr>
        <w:spacing w:after="0" w:line="191"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25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79" w:lineRule="exact"/>
        <w:rPr>
          <w:rFonts w:ascii="Times New Roman" w:cs="Times New Roman" w:eastAsia="Times New Roman" w:hAnsi="Times New Roman"/>
          <w:sz w:val="18"/>
          <w:szCs w:val="18"/>
          <w:color w:val="auto"/>
        </w:rPr>
      </w:pPr>
    </w:p>
    <w:p>
      <w:pPr>
        <w:ind w:left="4" w:firstLine="436"/>
        <w:spacing w:after="0" w:line="276" w:lineRule="auto"/>
        <w:tabs>
          <w:tab w:leader="none" w:pos="714"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w:t>
      </w:r>
    </w:p>
    <w:p>
      <w:pPr>
        <w:ind w:left="4" w:right="400" w:hanging="4"/>
        <w:spacing w:after="0" w:line="260" w:lineRule="auto"/>
        <w:tabs>
          <w:tab w:leader="none" w:pos="2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 and (ii) the termination of this Agreement shall not relieve any party hereto from any liability for fraud or for any material and willful breach of this Agreement prior to the Effective Time.</w:t>
      </w:r>
    </w:p>
    <w:p>
      <w:pPr>
        <w:spacing w:after="0" w:line="181" w:lineRule="exact"/>
        <w:rPr>
          <w:rFonts w:ascii="Times New Roman" w:cs="Times New Roman" w:eastAsia="Times New Roman" w:hAnsi="Times New Roman"/>
          <w:sz w:val="18"/>
          <w:szCs w:val="18"/>
          <w:color w:val="auto"/>
        </w:rPr>
      </w:pPr>
    </w:p>
    <w:p>
      <w:pPr>
        <w:ind w:left="4" w:right="180" w:firstLine="436"/>
        <w:spacing w:after="0" w:line="266" w:lineRule="auto"/>
        <w:tabs>
          <w:tab w:leader="none" w:pos="70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Stockholder shall, from time to time, execute and deliver, or cause to be executed and delivered, such additional or further consents, documents and other instruments as the Company or Aspen may reasonably request for the purpose of effectively carrying out the transactions contemplated by this Agreement and the Contemplated Transactions.</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of this Agreement shall be effective against any party unless it shall be in writing and signed by each of the parties hereto.</w:t>
      </w:r>
    </w:p>
    <w:p>
      <w:pPr>
        <w:spacing w:after="0" w:line="16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30" w:name="page131"/>
    <w:bookmarkEnd w:id="130"/>
    <w:p>
      <w:pPr>
        <w:ind w:right="20" w:firstLine="987"/>
        <w:spacing w:after="0" w:line="254"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 Jurisdiction.</w:t>
      </w:r>
      <w:r>
        <w:rPr>
          <w:rFonts w:ascii="Times New Roman" w:cs="Times New Roman" w:eastAsia="Times New Roman" w:hAnsi="Times New Roman"/>
          <w:sz w:val="18"/>
          <w:szCs w:val="18"/>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12(k)</w:t>
      </w:r>
      <w:r>
        <w:rPr>
          <w:rFonts w:ascii="Times New Roman" w:cs="Times New Roman" w:eastAsia="Times New Roman" w:hAnsi="Times New Roman"/>
          <w:sz w:val="18"/>
          <w:szCs w:val="18"/>
          <w:color w:val="auto"/>
        </w:rPr>
        <w:t xml:space="preserve"> of this Agreement and (vi) irrevocably and unconditionally waives the right to trial by jury.</w:t>
      </w:r>
    </w:p>
    <w:p>
      <w:pPr>
        <w:spacing w:after="0" w:line="188"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Any purported assignment of rights or delegation of performance obligations in violation of this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is void.</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Rights</w:t>
      </w:r>
      <w:r>
        <w:rPr>
          <w:rFonts w:ascii="Times New Roman" w:cs="Times New Roman" w:eastAsia="Times New Roman" w:hAnsi="Times New Roman"/>
          <w:sz w:val="18"/>
          <w:szCs w:val="18"/>
          <w:color w:val="auto"/>
        </w:rPr>
        <w:t>. This Agreement is not intended to, and shall not, confer upon any other person any rights or remedies hereunder other than the parties hereto to the extent expressly set forth herein.</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31" w:name="page132"/>
    <w:bookmarkEnd w:id="131"/>
    <w:p>
      <w:pPr>
        <w:ind w:left="-20" w:firstLine="987"/>
        <w:spacing w:after="0" w:line="253"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91"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(with a written or electronic confirmation of delivery) prior to 6:00 p.m. (New York City time), otherwise on the next succeeding Business Day, (A) if to the Company or Aspen, to the address, electronic mail address provided in the Merger Agreement, including to the persons designated therein to receive copies; and/or (B) if to the Stockholder, to the Stockholder’s address or electronic mail address shown below Stockholder’s signature to this Agreement.</w:t>
      </w:r>
    </w:p>
    <w:p>
      <w:pPr>
        <w:spacing w:after="0" w:line="187"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1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Aspen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Aspen,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Aspen, except as may be required by applicable Law in which circumstance such announcing party shall make reasonable efforts to consult with the Company and Aspen to the extent practicable. The Company is an intended third-party beneficiary of this </w:t>
      </w:r>
      <w:r>
        <w:rPr>
          <w:rFonts w:ascii="Times New Roman" w:cs="Times New Roman" w:eastAsia="Times New Roman" w:hAnsi="Times New Roman"/>
          <w:sz w:val="18"/>
          <w:szCs w:val="18"/>
          <w:u w:val="single" w:color="auto"/>
          <w:color w:val="auto"/>
        </w:rPr>
        <w:t>Section 12(i)</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60" w:top="270" w:right="479" w:bottom="1440" w:gutter="0" w:footer="0" w:header="0"/>
        </w:sectPr>
      </w:pPr>
    </w:p>
    <w:bookmarkStart w:id="132" w:name="page133"/>
    <w:bookmarkEnd w:id="132"/>
    <w:p>
      <w:pPr>
        <w:ind w:left="-20" w:firstLine="987"/>
        <w:spacing w:after="0" w:line="254" w:lineRule="auto"/>
        <w:tabs>
          <w:tab w:leader="none" w:pos="11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Agreement to be duly executed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ASPEN: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his/her capacity as the Stockholder: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23996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996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8173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1817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506095</wp:posOffset>
            </wp:positionV>
            <wp:extent cx="18173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8173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4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70"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color w:val="auto"/>
        </w:rPr>
        <w:t>[_____],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AVROBIO,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Technology Square,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signatory of this lock-up agreement (this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understands that AVROBIO, Inc., a Delaware corporation (“</w:t>
      </w:r>
      <w:r>
        <w:rPr>
          <w:rFonts w:ascii="Times New Roman" w:cs="Times New Roman" w:eastAsia="Times New Roman" w:hAnsi="Times New Roman"/>
          <w:sz w:val="18"/>
          <w:szCs w:val="18"/>
          <w:u w:val="single" w:color="auto"/>
          <w:color w:val="auto"/>
        </w:rPr>
        <w:t>Aspen</w:t>
      </w:r>
      <w:r>
        <w:rPr>
          <w:rFonts w:ascii="Times New Roman" w:cs="Times New Roman" w:eastAsia="Times New Roman" w:hAnsi="Times New Roman"/>
          <w:sz w:val="18"/>
          <w:szCs w:val="18"/>
          <w:color w:val="auto"/>
        </w:rPr>
        <w:t>”), is entering into an Agreement and Plan of Merger, dated as of January 30, 2024 (as the same may be amended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Alpine Merger Subsidiary, Inc., a Delaware corporation and a wholly owned subsidiary of Aspen, and Tectonic Therapeutic,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otherwise defined herein shall have the respective meanings ascribed to such terms in the Merger Agreement.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condition and inducement to each of Aspen and the Company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Aspen, the undersigned will not, during the period commencing upon the Closing and ending on the date that is 180 days after the Closing Date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80" w:firstLine="436"/>
        <w:spacing w:after="0" w:line="254"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$0.0001 par value per share, of Aspen (“</w:t>
      </w:r>
      <w:r>
        <w:rPr>
          <w:rFonts w:ascii="Times New Roman" w:cs="Times New Roman" w:eastAsia="Times New Roman" w:hAnsi="Times New Roman"/>
          <w:sz w:val="18"/>
          <w:szCs w:val="18"/>
          <w:u w:val="single" w:color="auto"/>
          <w:color w:val="auto"/>
        </w:rPr>
        <w:t>Aspen Common Stock</w:t>
      </w:r>
      <w:r>
        <w:rPr>
          <w:rFonts w:ascii="Times New Roman" w:cs="Times New Roman" w:eastAsia="Times New Roman" w:hAnsi="Times New Roman"/>
          <w:sz w:val="18"/>
          <w:szCs w:val="18"/>
          <w:color w:val="auto"/>
        </w:rPr>
        <w:t>”) or any securities convertible into or exercisable or exchangeable for shares of Aspen Common Stock (including without limitation, (a) shares of Aspen Common Stock or such other securities of Aspen that may be deemed to be owned of record or beneficially (including holding as a custodian) by the undersigned in accordance with the rules and regulations of the SEC, (b) securities of Aspen which may be issued upon exercise of an option to purchase shares of Aspen Common Stock or warrant to purchase shares of Aspen Common Stock or settlement of a restricted stock unit or restricted stock award and (c) Aspen Common Stock or such other securities to be issued to the undersigned in connection with the Merger that are currently or hereafter owned of record or beneficially (including holding as a custodian) by the undersigned, except as set forth below (collectively, the “</w:t>
      </w:r>
      <w:r>
        <w:rPr>
          <w:rFonts w:ascii="Times New Roman" w:cs="Times New Roman" w:eastAsia="Times New Roman" w:hAnsi="Times New Roman"/>
          <w:sz w:val="18"/>
          <w:szCs w:val="18"/>
          <w:u w:val="single" w:color="auto"/>
          <w:color w:val="auto"/>
        </w:rPr>
        <w:t>Undersigned’s Shares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Aspen Common Stock or other securities, in cash or otherwise;</w:t>
      </w:r>
    </w:p>
    <w:p>
      <w:pPr>
        <w:spacing w:after="0" w:line="67"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Aspen Common Stock or any security convertible into or exercisable or exchangeable for shares of Aspen Common Stock (other than such rights set forth in the Merger Agreement or the Subscription Agreement); or</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and obligations contemplated by this Lock-Up Agreement shall not apply to:</w:t>
      </w:r>
    </w:p>
    <w:p>
      <w:pPr>
        <w:spacing w:after="0" w:line="117" w:lineRule="exact"/>
        <w:rPr>
          <w:sz w:val="20"/>
          <w:szCs w:val="20"/>
          <w:color w:val="auto"/>
        </w:rPr>
      </w:pPr>
    </w:p>
    <w:p>
      <w:pPr>
        <w:ind w:left="680" w:hanging="244"/>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Undersigned’s Shares:</w:t>
      </w:r>
    </w:p>
    <w:p>
      <w:pPr>
        <w:spacing w:after="0" w:line="11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any person related to the undersigned (or related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or to a trust formed for the direct or indirect benefit of the undersigned or any of the undersigned’s Family Members, (B) to the undersigned’s estate, following the death of the undersigned, by will, intestacy or other operation of Law, (C) as a bona fide gift to a charitable organization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ectPr>
          <w:pgSz w:w="11900" w:h="16838" w:orient="portrait"/>
          <w:cols w:equalWidth="0" w:num="1">
            <w:col w:w="11020"/>
          </w:cols>
          <w:pgMar w:left="440" w:top="117" w:right="439" w:bottom="1440" w:gutter="0" w:footer="0" w:header="0"/>
        </w:sectPr>
      </w:pPr>
    </w:p>
    <w:bookmarkStart w:id="136" w:name="page137"/>
    <w:bookmarkEnd w:id="136"/>
    <w:p>
      <w:pPr>
        <w:ind w:firstLine="987"/>
        <w:spacing w:after="0" w:line="254"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undersigned is a </w:t>
      </w:r>
      <w:r>
        <w:rPr>
          <w:rFonts w:ascii="Times New Roman" w:cs="Times New Roman" w:eastAsia="Times New Roman" w:hAnsi="Times New Roman"/>
          <w:sz w:val="18"/>
          <w:szCs w:val="18"/>
          <w:u w:val="single" w:color="auto"/>
          <w:color w:val="auto"/>
        </w:rPr>
        <w:t>corporation, partnership, limited liability company or other business entity</w:t>
      </w:r>
      <w:r>
        <w:rPr>
          <w:rFonts w:ascii="Times New Roman" w:cs="Times New Roman" w:eastAsia="Times New Roman" w:hAnsi="Times New Roman"/>
          <w:sz w:val="18"/>
          <w:szCs w:val="18"/>
          <w:color w:val="auto"/>
        </w:rPr>
        <w:t>, (A) to another corporation, partnership, limited liability company or other business entity that is a direct or indirect affiliate (as defined under Rule 12b-2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of the undersigned, including investment funds or other business entities that control or manage, are under common control or management with, or are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to a charitable organization or a charitable contribution or otherwise to a trust or other entity for the direct or indirect benefit of a Family Member of a beneficial owner (as defined in Rule 13d-3 of the Exchange Act) of the Undersigned’s Shares or (D) transfers or dispositions not involving a change in beneficial ownership; or</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to any grantors or beneficiaries of the trust;</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Aspen a lock-up agreement in substantially the form of this Lock-Up Agreement with respect to the shares of Aspen Common Stock or such other securities that have been so transferred or distributed;</w:t>
      </w:r>
    </w:p>
    <w:p>
      <w:pPr>
        <w:spacing w:after="0" w:line="50" w:lineRule="exact"/>
        <w:rPr>
          <w:sz w:val="20"/>
          <w:szCs w:val="20"/>
          <w:color w:val="auto"/>
        </w:rPr>
      </w:pPr>
    </w:p>
    <w:p>
      <w:pPr>
        <w:ind w:right="40" w:firstLine="436"/>
        <w:spacing w:after="0" w:line="258"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an option to purchase shares of Aspen Common Stock (including a net or cashless exercise of an option to purchase shares of Aspen Common Stock), and any related transfer of shares of Aspen Common Stock to Aspen for the purpose of paying the exercise price of such options or for paying taxes (including estimated taxes) due as a result of the exercise of such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underlying shares of Aspen Common Stock issued in connection with such exercise shall continue to be subject to the restrictions on transfer set forth in this Lock-Up Agreement;</w:t>
      </w:r>
    </w:p>
    <w:p>
      <w:pPr>
        <w:spacing w:after="0" w:line="75"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Aspen in connection with the net settlement of any restricted stock unit or other equity award that represents the right to receive in the future shares of Aspen Common Stock, settled in shares of Aspen Common Stock, to pay any tax withholding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underlying shares of Aspen Common Stock shall continue to be subject to the restrictions on transfer set forth in this Lock-Up Agreement;</w:t>
      </w:r>
    </w:p>
    <w:p>
      <w:pPr>
        <w:spacing w:after="0" w:line="71"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pursuant to Rule 10b5-1 under the Exchange Act for the transfer of shares of Aspen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plan does not provide for any transfers of shares of Aspen Common Stock during the Restricted Period;</w:t>
      </w:r>
    </w:p>
    <w:p>
      <w:pPr>
        <w:spacing w:after="0" w:line="53" w:lineRule="exact"/>
        <w:rPr>
          <w:rFonts w:ascii="Times New Roman" w:cs="Times New Roman" w:eastAsia="Times New Roman" w:hAnsi="Times New Roman"/>
          <w:sz w:val="18"/>
          <w:szCs w:val="18"/>
          <w:color w:val="auto"/>
        </w:rPr>
      </w:pPr>
    </w:p>
    <w:p>
      <w:pPr>
        <w:ind w:right="520" w:firstLine="436"/>
        <w:spacing w:after="0" w:line="282"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sales by the undersigned of shares of Aspen Common Stock purchased by the undersigned on the open market or in a public offering by Aspen, in each case following the Closing Date;</w:t>
      </w:r>
    </w:p>
    <w:p>
      <w:pPr>
        <w:spacing w:after="0" w:line="53" w:lineRule="exact"/>
        <w:rPr>
          <w:rFonts w:ascii="Times New Roman" w:cs="Times New Roman" w:eastAsia="Times New Roman" w:hAnsi="Times New Roman"/>
          <w:sz w:val="18"/>
          <w:szCs w:val="18"/>
          <w:color w:val="auto"/>
        </w:rPr>
      </w:pPr>
    </w:p>
    <w:p>
      <w:pPr>
        <w:ind w:right="200" w:firstLine="436"/>
        <w:spacing w:after="0" w:line="256" w:lineRule="auto"/>
        <w:tabs>
          <w:tab w:leader="none" w:pos="66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pursuant to a bona-fide third party tender offer, merger, consolidation or other similar transaction made to all holders of Aspen’s capital stock involving a change of control of Aspen (including entering into any lock-up, voting or similar agreement pursuant to which the undersigned may agree to transfer, sell, tender or otherwise dispose of shares of Aspen Common Stock (or any security convertible into or exercisable for Aspen Common Stock), or vote any shares of Aspen Common Stock in favor of any such transaction or taking any other action in connection with any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the undersigned of shares of Aspen Common Stock to Aspen in connection with the termination of employment or other</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undersigned and pursuant to agreements in effect as of the Effective Time whereby Aspen has the option to repurchase such shares or securities;</w:t>
      </w:r>
    </w:p>
    <w:p>
      <w:pPr>
        <w:spacing w:after="0" w:line="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an order of a court or regulatory agency;</w:t>
      </w:r>
    </w:p>
    <w:p>
      <w:pPr>
        <w:sectPr>
          <w:pgSz w:w="11900" w:h="16838" w:orient="portrait"/>
          <w:cols w:equalWidth="0" w:num="1">
            <w:col w:w="11000"/>
          </w:cols>
          <w:pgMar w:left="440" w:top="270" w:right="459" w:bottom="1440" w:gutter="0" w:footer="0" w:header="0"/>
        </w:sectPr>
      </w:pPr>
    </w:p>
    <w:bookmarkStart w:id="137" w:name="page138"/>
    <w:bookmarkEnd w:id="137"/>
    <w:p>
      <w:pPr>
        <w:ind w:right="220" w:firstLine="436"/>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or sales by the undersigned of shares of Aspen Common Stock issued pursuant to the Merger Agreement in respect of shares of the Company purchased from the Company in the Concurrent Investment immediately prior to the Specified Time; or</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transfers with the prior written consent of Aspen.</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with respect to each of (b), (c), and (d) above, no filing by any party (including any donor, donee, transferor, transferee, distributor or distributee, as the case may be) under Section 16 of the Exchange Act or other public announcement shall be made voluntarily reporting a reduction in beneficial ownership of shares of Aspen Common Stock or in beneficial ownership of any securities convertible into or exercisable or exchangeable for Aspen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Aspen Common Stock in connection with such transfer or distribution, shall be required under applicable federal and state securities laws during the Restricted Period, such filing, report or announcement shall clearly indicate in the footnotes therein, in reasonable detail, a description of the circumstances of the transfer and that the shares remain subject to this Lock-Up Agreement.</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 purposes of this Lock-Up Agreement, “change of control” shall mean the transfer (whether by tender offer, merger, consolidation or other similar transaction), in one transaction or a series of related transactions, to a person or group of affiliated persons, of Aspen’s voting securities if, after such transfer, Aspen’s stockholders as of immediately prior to such transfer do not hold a majority of the outstanding voting securities of Aspen (or the surviving entity).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Aspen. In furtherance of the foregoing, the undersigned agrees that Aspen and any duly appointed transfer agent for the registration or transfer of the securities described herein are hereby authorized to decline to make any transfer of securities if such transfer would constitute a violation or breach of this Lock-Up Agreement. Aspen may cause the legend set forth below, or a legend substantially equivalent thereto, to be placed upon any certificate(s) or other documents, ledgers or instruments evidencing the undersigned’s ownership of Aspen Common Stock:</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AND MAY ONLY BE TRANSFERRED IN COMPLIANCE WITH A LOCK-UP AGREEMENT, A COPY OF WHICH IS ON FILE AT THE PRINCIPAL OFFICE OF THE COMPANY.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this Lock-Up Agreement represents a contractual agreement between the parties hereto, and to the extent any term of this Lock-Up Agreement (as amended, supplemented, restated or otherwise modified from time to time) directly conflicts with the terms of Aspen’s bylaws, as amended, the terms of this Lock-Up Agreement shall control.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Lock-Up Agreement shall terminate automatically, and the undersigned shall automatically be released from all restrictions and obligations under this Lock-Up Agreement upon the earlier of the (i) the expiration of the Restricted Period and (ii) if the Merger Agreement is terminated for any reason, upon the date of such termination. The undersigned understands that Aspen and the Company are proceeding with the transactions contemplated by the Merger Agreement in reliance upon this Lock-Up Agreement.</w:t>
      </w:r>
    </w:p>
    <w:p>
      <w:pPr>
        <w:sectPr>
          <w:pgSz w:w="11900" w:h="16838" w:orient="portrait"/>
          <w:cols w:equalWidth="0" w:num="1">
            <w:col w:w="10960"/>
          </w:cols>
          <w:pgMar w:left="440" w:top="270" w:right="499" w:bottom="1440" w:gutter="0" w:footer="0" w:header="0"/>
        </w:sectPr>
      </w:pPr>
    </w:p>
    <w:bookmarkStart w:id="138" w:name="page139"/>
    <w:bookmarkEnd w:id="138"/>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herein, any and all remedies herein expressly conferred upon Aspen and the Company will be deemed cumulative with and not exclusive of any other remedy conferred hereby, or by Law or equity, and the exercise by Aspen and/or the Company of any one remedy will not preclude the exercise of any other remedy. The undersigned agrees that irreparable damage for which monetary damages, even if available, would not be an adequate remedy, would occur to Aspen and the Company in the event that any provision of this Lock-Up Agreement was not performed in accordance with its specific terms (including failing to take such actions as are required of it hereunder to consummate this Agreement) or were otherwise breached. It is accordingly agreed that Aspen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Aspen and the Company are entitled at Law or in equity, and the undersigned waives any bond, surety or other security that might be required of Aspen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9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In the event that any holder of Aspen’s securities that are subject to a substantially similar agreement entered into by such holder, other than the undersigned, is permitted by Aspen to sell or otherwise transfer or dispose of shares of Aspen Common Stock for value other than as permitted by this or a substantially similar agreement entered into by such holder (whether in one or multiple releases or waivers), the same percentage of shares of Aspen Common Stock held by the undersigned shall be immediately and fully released on the same terms from any remaining restrictions set forth herein (the “</w:t>
      </w:r>
      <w:r>
        <w:rPr>
          <w:rFonts w:ascii="Times New Roman" w:cs="Times New Roman" w:eastAsia="Times New Roman" w:hAnsi="Times New Roman"/>
          <w:sz w:val="18"/>
          <w:szCs w:val="18"/>
          <w:u w:val="single" w:color="auto"/>
          <w:color w:val="auto"/>
        </w:rPr>
        <w:t>Pro-Rata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Pro-Rata Release shall not be applied unless and until permission has been granted by Aspen to an equity holder or equity holders to sell or otherwise transfer or dispose of all or a portion of such equity holder’s shares of Aspen Common Stock that, when combined with all such other such permissions and early releases granted to such equity holder, represents an amount which exceeds 1% of the number of shares of Aspen Common Stock originally subject to a substantially similar agreement. In the event of any Pro-Rata Release, Aspen shall promptly (and in any event within three (3) business days of such release) inform the undersigned of the terms of such Pro-Rata Release.</w:t>
      </w:r>
    </w:p>
    <w:p>
      <w:pPr>
        <w:spacing w:after="0" w:line="188"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Upon the release of any of the Undersigned’s Shares from this Lock-Up Agreement, Aspen shall reasonably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76"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w:t>
      </w:r>
    </w:p>
    <w:p>
      <w:pPr>
        <w:spacing w:after="0" w:line="3" w:lineRule="exact"/>
        <w:rPr>
          <w:sz w:val="20"/>
          <w:szCs w:val="20"/>
          <w:color w:val="auto"/>
        </w:rPr>
      </w:pPr>
    </w:p>
    <w:p>
      <w:pPr>
        <w:ind w:left="4" w:hanging="4"/>
        <w:spacing w:after="0" w:line="253" w:lineRule="auto"/>
        <w:tabs>
          <w:tab w:leader="none" w:pos="2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electronic transmission in PDF format shall be sufficient to bind the parties to the terms and conditions of this Lock-Up Agreement.</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24"/>
          </w:cols>
          <w:pgMar w:left="436" w:top="270" w:right="439" w:bottom="1440" w:gutter="0" w:footer="0" w:header="0"/>
        </w:sectPr>
      </w:pPr>
    </w:p>
    <w:bookmarkStart w:id="139" w:name="page140"/>
    <w:bookmarkEnd w:id="139"/>
    <w:p>
      <w:pPr>
        <w:ind w:left="3540"/>
        <w:spacing w:after="0"/>
        <w:tabs>
          <w:tab w:leader="none" w:pos="5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r>
        <w:rPr>
          <w:sz w:val="20"/>
          <w:szCs w:val="20"/>
          <w:color w:val="auto"/>
        </w:rPr>
        <w:tab/>
      </w:r>
      <w:r>
        <w:rPr>
          <w:rFonts w:ascii="Times New Roman" w:cs="Times New Roman" w:eastAsia="Times New Roman" w:hAnsi="Times New Roman"/>
          <w:sz w:val="17"/>
          <w:szCs w:val="17"/>
          <w:color w:val="auto"/>
        </w:rPr>
        <w:t>Very truly yours,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154305</wp:posOffset>
            </wp:positionV>
            <wp:extent cx="27946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161925</wp:posOffset>
            </wp:positionV>
            <wp:extent cx="2794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(for entities):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562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Lock-Up Agreement]</w:t>
      </w:r>
    </w:p>
    <w:p>
      <w:pPr>
        <w:sectPr>
          <w:pgSz w:w="11900" w:h="16838" w:orient="portrait"/>
          <w:cols w:equalWidth="0" w:num="1">
            <w:col w:w="9019"/>
          </w:cols>
          <w:pgMar w:left="1440" w:top="270"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AVROBIO,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Ostrowski</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Interim CEO,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Tectonic Therapeutic,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ectPr>
          <w:pgSz w:w="11900" w:h="16838" w:orient="portrait"/>
          <w:cols w:equalWidth="0" w:num="1">
            <w:col w:w="10019"/>
          </w:cols>
          <w:pgMar w:left="440" w:top="27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CONTINGENT VALUE RIGHTS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CONTINGENT VALUE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 2024, is entered into by and among AVROBIO,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 a [_____] corporation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Alpine Merger Subsidiary, Inc., a Delaware corporation and wholly-owned subsidiary of the Company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Tectonic Therapeutic, Inc., a Delaware corporation (“</w:t>
      </w:r>
      <w:r>
        <w:rPr>
          <w:rFonts w:ascii="Times New Roman" w:cs="Times New Roman" w:eastAsia="Times New Roman" w:hAnsi="Times New Roman"/>
          <w:sz w:val="18"/>
          <w:szCs w:val="18"/>
          <w:b w:val="1"/>
          <w:bCs w:val="1"/>
          <w:color w:val="auto"/>
        </w:rPr>
        <w:t>Tyrol</w:t>
      </w:r>
      <w:r>
        <w:rPr>
          <w:rFonts w:ascii="Times New Roman" w:cs="Times New Roman" w:eastAsia="Times New Roman" w:hAnsi="Times New Roman"/>
          <w:sz w:val="18"/>
          <w:szCs w:val="18"/>
          <w:color w:val="auto"/>
        </w:rPr>
        <w:t>”), have entered into an Agreement and Plan of Merger and Reorganization, dated as of January 30, 2024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Merger Sub will merge with and into Tyrol, with Tyrol surviving the Merger as a wholly-owned subsidiary of the Company;</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Merger Agreement, and in accordance with the terms and conditions thereof, the Company has agreed to provide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(as defined herein) contingent value rights as hereinafter described; and</w:t>
      </w:r>
    </w:p>
    <w:p>
      <w:pPr>
        <w:spacing w:after="0" w:line="15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done all things reasonably necessary to make the contingent value rights, when issued pursuant to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hereunder, the valid obligations of the Company and to make this Agreement a valid and binding agreement of the Company, in accordance with its terms.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consummation of the transactions referred to above,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for the proportionate benefit of all Holders,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ascribed thereto in the Merger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terms have the meanings ascribed to them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Acting Holders</w:t>
      </w:r>
      <w:r>
        <w:rPr>
          <w:rFonts w:ascii="Times New Roman" w:cs="Times New Roman" w:eastAsia="Times New Roman" w:hAnsi="Times New Roman"/>
          <w:sz w:val="18"/>
          <w:szCs w:val="18"/>
          <w:color w:val="auto"/>
        </w:rPr>
        <w:t>” means, at the time of determination, the Holders of more than 30% of the outstanding CVRs, as reflected on the CVR Register.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xml:space="preserve">” means the successive periods of three (3) consecutive calendar months ending on March 31, June 30, September 30 or December 31, for so long as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 the first Calendar Quarter shall commence on the date of this Agreement and shall end on the first such occurrence of a March 31, June 30, September 30 or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the disposition of the Company Pre-Closing Assets, carrying out those obligations and tasks in good faith following receipt of a bona fide indication of interest or proposal from a third party (verbal (provided that any such verbal offer must be subsequently delivered in writing, which the Company shall request) or written) (“</w:t>
      </w:r>
      <w:r>
        <w:rPr>
          <w:rFonts w:ascii="Times New Roman" w:cs="Times New Roman" w:eastAsia="Times New Roman" w:hAnsi="Times New Roman"/>
          <w:sz w:val="18"/>
          <w:szCs w:val="18"/>
          <w:b w:val="1"/>
          <w:bCs w:val="1"/>
          <w:color w:val="auto"/>
        </w:rPr>
        <w:t>Inbound Interest</w:t>
      </w:r>
      <w:r>
        <w:rPr>
          <w:rFonts w:ascii="Times New Roman" w:cs="Times New Roman" w:eastAsia="Times New Roman" w:hAnsi="Times New Roman"/>
          <w:sz w:val="18"/>
          <w:szCs w:val="18"/>
          <w:color w:val="auto"/>
        </w:rPr>
        <w:t>”) delivered or otherwise made known to an executive officer or business development officer of the Company, taking into account all commercial and other relevant factors that the Company, exercising good faith, would normally take into account with respect to a disposition of assets; provided that Commercially Reasonable Efforts shall not require the Company to initiate any bona fide sale process or other proactive efforts to identify potential counterparties with respect to any Company Pre-Closing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$0.0001 par value, of the Company.</w:t>
      </w:r>
    </w:p>
    <w:p>
      <w:pPr>
        <w:sectPr>
          <w:pgSz w:w="11900" w:h="16838" w:orient="portrait"/>
          <w:cols w:equalWidth="0" w:num="1">
            <w:col w:w="11020"/>
          </w:cols>
          <w:pgMar w:left="440" w:top="117" w:right="439" w:bottom="1440" w:gutter="0" w:footer="0" w:header="0"/>
        </w:sectPr>
      </w:pPr>
    </w:p>
    <w:bookmarkStart w:id="142" w:name="page143"/>
    <w:bookmarkEnd w:id="142"/>
    <w:p>
      <w:pPr>
        <w:ind w:left="4"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Pre-Closing Assets</w:t>
      </w:r>
      <w:r>
        <w:rPr>
          <w:rFonts w:ascii="Times New Roman" w:cs="Times New Roman" w:eastAsia="Times New Roman" w:hAnsi="Times New Roman"/>
          <w:sz w:val="18"/>
          <w:szCs w:val="18"/>
          <w:color w:val="auto"/>
        </w:rPr>
        <w:t>” means those assets of the Company, to the extent existing as of immediately prior to the Closing, relating to (a) the Company’s plato manufacturing platform, (b) the Company’s AVR-RD-01 (Fabry), AVR-RD-02 (Gaucher), and/or AVR-RD-03 (Pompe) research and development programs, and (c) the Company’s Intellectual Property set forth in Section 4.12(a) of the Aspen Disclosure Schedule.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contractual right of Holders to receive CVR Payments pursuant to the Merger Agreement and this Agreement.</w:t>
      </w:r>
    </w:p>
    <w:p>
      <w:pPr>
        <w:spacing w:after="0" w:line="225" w:lineRule="exact"/>
        <w:rPr>
          <w:sz w:val="20"/>
          <w:szCs w:val="20"/>
          <w:color w:val="auto"/>
        </w:rPr>
      </w:pPr>
    </w:p>
    <w:p>
      <w:pPr>
        <w:ind w:left="4"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w:t>
      </w:r>
      <w:r>
        <w:rPr>
          <w:rFonts w:ascii="Times New Roman" w:cs="Times New Roman" w:eastAsia="Times New Roman" w:hAnsi="Times New Roman"/>
          <w:sz w:val="18"/>
          <w:szCs w:val="18"/>
          <w:color w:val="auto"/>
        </w:rPr>
        <w:t>” means a cash payment equal to eighty percent (80%) of the Net Proceeds received by the Company in a given Calendar Quarter during the CVR Term, with the remaining twenty percent (20%) being retained by the Company.</w:t>
      </w:r>
    </w:p>
    <w:p>
      <w:pPr>
        <w:spacing w:after="0" w:line="155" w:lineRule="exact"/>
        <w:rPr>
          <w:sz w:val="20"/>
          <w:szCs w:val="20"/>
          <w:color w:val="auto"/>
        </w:rPr>
      </w:pPr>
    </w:p>
    <w:p>
      <w:pPr>
        <w:ind w:left="4"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Amount</w:t>
      </w:r>
      <w:r>
        <w:rPr>
          <w:rFonts w:ascii="Times New Roman" w:cs="Times New Roman" w:eastAsia="Times New Roman" w:hAnsi="Times New Roman"/>
          <w:sz w:val="18"/>
          <w:szCs w:val="18"/>
          <w:color w:val="auto"/>
        </w:rPr>
        <w:t>” means with respect to each CVR Payment and each Holder, an amount equal to such CVR Payment divided by the total number of CVRs and then multiplied by the total number of CVRs held by such Holder as reflected on the CVR Register.</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Period</w:t>
      </w:r>
      <w:r>
        <w:rPr>
          <w:rFonts w:ascii="Times New Roman" w:cs="Times New Roman" w:eastAsia="Times New Roman" w:hAnsi="Times New Roman"/>
          <w:sz w:val="18"/>
          <w:szCs w:val="18"/>
          <w:color w:val="auto"/>
        </w:rPr>
        <w:t>” means a period equal to a Calendar Quarter ending at any time after the effective date of a Disposition Agreement.</w:t>
      </w:r>
    </w:p>
    <w:p>
      <w:pPr>
        <w:spacing w:after="0" w:line="225"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Statement</w:t>
      </w:r>
      <w:r>
        <w:rPr>
          <w:rFonts w:ascii="Times New Roman" w:cs="Times New Roman" w:eastAsia="Times New Roman" w:hAnsi="Times New Roman"/>
          <w:sz w:val="18"/>
          <w:szCs w:val="18"/>
          <w:color w:val="auto"/>
        </w:rPr>
        <w:t>” means, for a given CVR Payment Period during the CVR Term, a written statement of the Company, signed on behalf of the Company, setting forth in reasonable detail the calculation of the applicable CVR Payment for such CVR Payment Period.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Term</w:t>
      </w:r>
      <w:r>
        <w:rPr>
          <w:rFonts w:ascii="Times New Roman" w:cs="Times New Roman" w:eastAsia="Times New Roman" w:hAnsi="Times New Roman"/>
          <w:sz w:val="18"/>
          <w:szCs w:val="18"/>
          <w:color w:val="auto"/>
        </w:rPr>
        <w:t>” means the period beginning on the Closing and ending upon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this Agreement.</w:t>
      </w:r>
    </w:p>
    <w:p>
      <w:pPr>
        <w:spacing w:after="0" w:line="133" w:lineRule="exact"/>
        <w:rPr>
          <w:sz w:val="20"/>
          <w:szCs w:val="20"/>
          <w:color w:val="auto"/>
        </w:rPr>
      </w:pPr>
    </w:p>
    <w:p>
      <w:pPr>
        <w:ind w:left="4" w:right="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Dispose</w:t>
      </w:r>
      <w:r>
        <w:rPr>
          <w:rFonts w:ascii="Times New Roman" w:cs="Times New Roman" w:eastAsia="Times New Roman" w:hAnsi="Times New Roman"/>
          <w:sz w:val="17"/>
          <w:szCs w:val="17"/>
          <w:color w:val="auto"/>
        </w:rPr>
        <w:t>” means the direct or indirect sale, license, assignment, transfer, conveyance, grant of any option or other disposition of any Company Pre-Closing Asset by the Company or its Affiliates (including any such sale or disposition of equity securities in any Subsidiary established by the Company or its Affiliates to hold any right, title or interest in or to any Company Pre-Closing Asset), in each case, during the Disposition Period.</w:t>
      </w:r>
    </w:p>
    <w:p>
      <w:pPr>
        <w:spacing w:after="0" w:line="153"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Agreement</w:t>
      </w:r>
      <w:r>
        <w:rPr>
          <w:rFonts w:ascii="Times New Roman" w:cs="Times New Roman" w:eastAsia="Times New Roman" w:hAnsi="Times New Roman"/>
          <w:sz w:val="18"/>
          <w:szCs w:val="18"/>
          <w:color w:val="auto"/>
        </w:rPr>
        <w:t>” means a definitive written agreement providing for a transaction or series of transactions between the Company or its Affiliates and any Person who is not an Affiliate of the Company regarding a Disposition of the Company Pre-Closing Assets.</w:t>
      </w:r>
    </w:p>
    <w:p>
      <w:pPr>
        <w:spacing w:after="0" w:line="155"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 Period</w:t>
      </w:r>
      <w:r>
        <w:rPr>
          <w:rFonts w:ascii="Times New Roman" w:cs="Times New Roman" w:eastAsia="Times New Roman" w:hAnsi="Times New Roman"/>
          <w:sz w:val="18"/>
          <w:szCs w:val="18"/>
          <w:color w:val="auto"/>
        </w:rPr>
        <w:t>” means the period beginning on the execution date of the Merger Agreement and ending on the date that is eighteen (18) months after the Closing Date.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 w:right="6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Gross Proceeds</w:t>
      </w:r>
      <w:r>
        <w:rPr>
          <w:rFonts w:ascii="Times New Roman" w:cs="Times New Roman" w:eastAsia="Times New Roman" w:hAnsi="Times New Roman"/>
          <w:sz w:val="17"/>
          <w:szCs w:val="17"/>
          <w:color w:val="auto"/>
        </w:rPr>
        <w:t>” means, without duplication, the sum of all cash consideration and the value of any marketable consideration actually received by the Company or any of its Affiliates during the CVR Term with respect to a Disposition, solely as such consideration relates to a Company Pre-Closing Asset. The value of any marketable securities (whether debt or equity) or other non-cash property constituting Gross Proceeds shall be determined as follows: (i) if a value was ascribed to any such securities or property in connection with such Disposition, such value so ascribed or (ii) if no value was ascribed, then (A) the value of securities for which there is an established public market shall be equal to the volume weighted average of their closing market prices for the thirty (30) trading days ending the day prior to the date of payment to, or receipt by the Company or its relevant Affiliate, and</w:t>
      </w:r>
    </w:p>
    <w:p>
      <w:pPr>
        <w:spacing w:after="0" w:line="4" w:lineRule="exact"/>
        <w:rPr>
          <w:sz w:val="20"/>
          <w:szCs w:val="20"/>
          <w:color w:val="auto"/>
        </w:rPr>
      </w:pPr>
    </w:p>
    <w:p>
      <w:pPr>
        <w:ind w:left="4" w:hanging="4"/>
        <w:spacing w:after="0" w:line="260" w:lineRule="auto"/>
        <w:tabs>
          <w:tab w:leader="none" w:pos="28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securities that have no established public market and the value of consideration that consists of other non-cash property, shall be the fair market value thereof as of the date of payment to, or receipt by, the Company or its relevant Affiliate.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at the relevant time, a Person in whose name CVRs are registered in the CVR Register.</w:t>
      </w:r>
    </w:p>
    <w:p>
      <w:pPr>
        <w:sectPr>
          <w:pgSz w:w="11900" w:h="16838" w:orient="portrait"/>
          <w:cols w:equalWidth="0" w:num="1">
            <w:col w:w="10964"/>
          </w:cols>
          <w:pgMar w:left="436" w:top="266" w:right="499" w:bottom="1440" w:gutter="0" w:footer="0" w:header="0"/>
        </w:sectPr>
      </w:pPr>
    </w:p>
    <w:bookmarkStart w:id="143" w:name="page144"/>
    <w:bookmarkEnd w:id="14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for any CVR Payment Period, Gross Proceeds minus Permitted Deductions, all as calculated, to the extent in accordance with GAAP, in a manner consistent with the Company’s accounting practices in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chief executive officer and the chief financial officer of the Company, in their respective official capacities.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the Company or the Rights Agent.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Deductions</w:t>
      </w:r>
      <w:r>
        <w:rPr>
          <w:rFonts w:ascii="Times New Roman" w:cs="Times New Roman" w:eastAsia="Times New Roman" w:hAnsi="Times New Roman"/>
          <w:sz w:val="18"/>
          <w:szCs w:val="18"/>
          <w:color w:val="auto"/>
        </w:rPr>
        <w:t>” means the sum of (without duplication):</w:t>
      </w:r>
    </w:p>
    <w:p>
      <w:pPr>
        <w:spacing w:after="0" w:line="121" w:lineRule="exact"/>
        <w:rPr>
          <w:sz w:val="20"/>
          <w:szCs w:val="20"/>
          <w:color w:val="auto"/>
        </w:rPr>
      </w:pPr>
    </w:p>
    <w:p>
      <w:pPr>
        <w:ind w:left="4" w:right="60" w:firstLine="436"/>
        <w:spacing w:after="0" w:line="254" w:lineRule="auto"/>
        <w:tabs>
          <w:tab w:leader="none" w:pos="6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Tax (including any applicable value added, transfer, stamp or sales taxes) imposed on Gross Proceeds and payable by Tyrol, the Company or any of their respective Affiliates (regardless of whether the due date for such Taxes arises during or after the Disposition Period) and, without duplication, any income or other similar Taxes payable by Tyrol, the Company or any of their respective Affiliates that would not have been incurred by Tyrol, the Company or any of their respective Affiliates but for the Gross Proceeds; provided that, for purposes of calculating income Taxes incurred by Tyrol, the Company or any of their respective Affiliates in respect of the Gross Proceeds, any such income Taxes shall be computed</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only items of gross income of Tyrol, the Company and their subsidiaries are the applicable items of Gross Proceeds (for the avoidance of doubt, assuming that such items of Gross Proceeds are taxable in the hands of Tyrol, the Company or their subsidiaries, as applicable, no later than the taxable year that includes the corresponding CVR Payment Amount), (ii) assuming that the only items of expenses, losses, credits or other deductions of Tyrol, the Company and their subsidiaries are those items of expense, loss, credit and deduction (including net operating loss carryforwards or other Tax attributes) of the Company or its Affiliates existing as of immediately prior to the Closing for U.S. federal income tax purposes and applicable state and local income tax purposes that are actually usable by Tyrol, the Company or their subsidiaries, as applicable, in the tax year of receipt of the applicable items of Gross Proceeds, to the extent such net operating loss carryforwards and other items are permitted by Law to be, and are, taken as a deduction in such taxable year (for the sake of clarity, (1) taking into account any limits on the usability of such attributes, including under Section 382 of the Code as determined by the Company’s tax advisers, including, but not limited to, as a result of the transactions contemplated by the Merger Agreement and (2) excluding any net operating losses or other Tax attributes generated by Tyrol, the Company or any of their respective Affiliates after the Closing, including by reason of any acquisition after the Closing), and (iii) all such items of Gross Proceeds are taxed in the hands of Tyrol, the Company or their subsidiaries, as applicable, at the highest applicable marginal income or other similar U.S. federal, state, local and non-U.S. tax rate;</w:t>
      </w:r>
    </w:p>
    <w:p>
      <w:pPr>
        <w:spacing w:after="0" w:line="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costs and expenses incurred by the Company or any of its Affiliates in respect to its</w:t>
      </w:r>
    </w:p>
    <w:p>
      <w:pPr>
        <w:spacing w:after="0" w:line="27"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this Agreement following the Closing,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pacing w:after="0" w:line="77"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expenses incurred or accrued by the Company or any of its Affiliates in connection with the negotiation, entry into and closing of any Disposition of any Company Pre-Closing Asset, including any brokerage fee, finder’s fee, opinion fee, success fee, transaction fee, service fee or other fee, commission or expense owed to any broker, finder, investment bank, auditor, accountant, counsel, advisor or other third party in relation thereto;</w:t>
      </w:r>
    </w:p>
    <w:p>
      <w:pPr>
        <w:sectPr>
          <w:pgSz w:w="11900" w:h="16838" w:orient="portrait"/>
          <w:cols w:equalWidth="0" w:num="1">
            <w:col w:w="11024"/>
          </w:cols>
          <w:pgMar w:left="436" w:top="266" w:right="439" w:bottom="1440" w:gutter="0" w:footer="0" w:header="0"/>
        </w:sectPr>
      </w:pPr>
    </w:p>
    <w:bookmarkStart w:id="144" w:name="page145"/>
    <w:bookmarkEnd w:id="144"/>
    <w:p>
      <w:pPr>
        <w:ind w:left="4" w:firstLine="436"/>
        <w:spacing w:after="0" w:line="268" w:lineRule="auto"/>
        <w:tabs>
          <w:tab w:leader="none" w:pos="699"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Losses actually incurred, and actually paid or actually payable, or reasonably expected to be incurred and subsequently actually paid by the Company or any of its Subsidiaries arising out of any third-party claims, demands, actions, or other proceedings related to or in connection with any Disposition or any Company Pre-Closing Assets and, without duplication, (ii) an amount that would reasonably be payable under any obligations of the Company or any of its Subsidiaries in respect of contingent or indemnification obligations provided for in any Disposition Agreement; provided that any amounts deducted pursuant to this clause (d) shall be held back by the Company in a separate account for the benefit of the Holders and to the extent such amounts have not been paid in respect of such third-party proceedings or such contingent or indemnification obligations (as applicable) upon the final resolution of such third-party proceedings or the lapse in survival of such contingent or indemnification obligations (provided that in the case of contingent or indemnification obligations that continue indefinitely pursuant to their terms, such lapse of survival shall be deemed to have occurred three</w:t>
      </w:r>
    </w:p>
    <w:p>
      <w:pPr>
        <w:jc w:val="both"/>
        <w:ind w:left="4" w:right="180" w:hanging="4"/>
        <w:spacing w:after="0" w:line="255" w:lineRule="auto"/>
        <w:tabs>
          <w:tab w:leader="none" w:pos="25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commencement of such obligations) (as applicable), in each case prior to the end of the CVR Term, then such amounts shall be paid over to the Rights Agent within fifteen (15) Business Days of such final resolution or such lapse (as applicable) for further distribution to the Holders; and</w:t>
      </w:r>
    </w:p>
    <w:p>
      <w:pPr>
        <w:spacing w:after="0" w:line="77"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in consideration for a Disposition pursuant to a Disposition Agreement included in the final determination of Aspen Net Cash in accordance with the Merger Agreement.</w:t>
      </w:r>
    </w:p>
    <w:p>
      <w:pPr>
        <w:spacing w:after="0" w:line="158"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Holders of CVRs; Appointment of Rights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60" w:firstLine="436"/>
        <w:spacing w:after="0" w:line="261" w:lineRule="auto"/>
        <w:tabs>
          <w:tab w:leader="none" w:pos="68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represent the rights of Holders to receive CVR Payments pursuant to this Agreement. The initial Holders will be the holders of issued and outstanding shares of Common Stock as of immediately prior to the Effective Time (the “</w:t>
      </w:r>
      <w:r>
        <w:rPr>
          <w:rFonts w:ascii="Times New Roman" w:cs="Times New Roman" w:eastAsia="Times New Roman" w:hAnsi="Times New Roman"/>
          <w:sz w:val="18"/>
          <w:szCs w:val="18"/>
          <w:b w:val="1"/>
          <w:bCs w:val="1"/>
          <w:color w:val="auto"/>
        </w:rPr>
        <w:t>Specified Time</w:t>
      </w:r>
      <w:r>
        <w:rPr>
          <w:rFonts w:ascii="Times New Roman" w:cs="Times New Roman" w:eastAsia="Times New Roman" w:hAnsi="Times New Roman"/>
          <w:sz w:val="18"/>
          <w:szCs w:val="18"/>
          <w:color w:val="auto"/>
        </w:rPr>
        <w:t>”) (including, for the avoidance of doubt, those shares of Common Stock issued upon settlement of Aspen Restricted Stock Units pursuant to Section 6.7 of the Merger Agreement) (the “</w:t>
      </w:r>
      <w:r>
        <w:rPr>
          <w:rFonts w:ascii="Times New Roman" w:cs="Times New Roman" w:eastAsia="Times New Roman" w:hAnsi="Times New Roman"/>
          <w:sz w:val="18"/>
          <w:szCs w:val="18"/>
          <w:b w:val="1"/>
          <w:bCs w:val="1"/>
          <w:color w:val="auto"/>
        </w:rPr>
        <w:t>Eligible Holders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One CVR will be issued with respect to each Eligible Share.</w:t>
      </w:r>
    </w:p>
    <w:p>
      <w:pPr>
        <w:spacing w:after="0" w:line="71"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Rights Agent to act as Rights Agent for the Company in accordance with the express terms and conditions set forth in this Agreement (and no implied terms and conditions), and the Rights Agent hereby accepts such appointment.</w:t>
      </w:r>
    </w:p>
    <w:p>
      <w:pPr>
        <w:spacing w:after="0" w:line="158"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Non-transferable</w:t>
      </w:r>
      <w:r>
        <w:rPr>
          <w:rFonts w:ascii="Times New Roman" w:cs="Times New Roman" w:eastAsia="Times New Roman" w:hAnsi="Times New Roman"/>
          <w:sz w:val="18"/>
          <w:szCs w:val="18"/>
          <w:color w:val="auto"/>
        </w:rPr>
        <w:t>. The CVRs may not be sold, assigned, transferred, pledged, encumbered or in any other manner transferred or disposed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 whole or in part, other than through a Permitted Transfer. The CVRs will not be listed on any quotation system or traded on any securities exchange. Any purported transfer of a CVR other than in a Permitted Transfer shall be null and void ab initio.</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CVRs will be issued in book-entry form only and will not be evidenced by a certificate or other instrument.</w:t>
      </w:r>
    </w:p>
    <w:p>
      <w:pPr>
        <w:sectPr>
          <w:pgSz w:w="11900" w:h="16838" w:orient="portrait"/>
          <w:cols w:equalWidth="0" w:num="1">
            <w:col w:w="11004"/>
          </w:cols>
          <w:pgMar w:left="436" w:top="270" w:right="459" w:bottom="1440" w:gutter="0" w:footer="0" w:header="0"/>
        </w:sectPr>
      </w:pPr>
    </w:p>
    <w:bookmarkStart w:id="145" w:name="page146"/>
    <w:bookmarkEnd w:id="145"/>
    <w:p>
      <w:pPr>
        <w:ind w:left="-436" w:right="40" w:firstLine="436"/>
        <w:spacing w:after="0" w:line="256" w:lineRule="auto"/>
        <w:tabs>
          <w:tab w:leader="none" w:pos="2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Agent shall create and maintain a register (the “</w:t>
      </w: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Eligible Shares held by DTC on behalf of the street holders of the Eligible Shares held by such Eligible Holders as of the Specified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below, the Rights Agent will accomplish the payment to any former street name holders of Eligible Shares by sending one lump-sum payment or issuance to DTC. The Rights Agent will have no responsibilities whatsoever with regard to the distribution of payments or Eligible Shares by DTC to such street name holders.</w:t>
      </w:r>
    </w:p>
    <w:p>
      <w:pPr>
        <w:spacing w:after="0" w:line="78" w:lineRule="exact"/>
        <w:rPr>
          <w:rFonts w:ascii="Times New Roman" w:cs="Times New Roman" w:eastAsia="Times New Roman" w:hAnsi="Times New Roman"/>
          <w:sz w:val="18"/>
          <w:szCs w:val="18"/>
          <w:color w:val="auto"/>
        </w:rPr>
      </w:pPr>
    </w:p>
    <w:p>
      <w:pPr>
        <w:ind w:left="-436" w:firstLine="436"/>
        <w:spacing w:after="0" w:line="252" w:lineRule="auto"/>
        <w:tabs>
          <w:tab w:leader="none" w:pos="24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and any other requested documentation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and invalid. All costs and expenses related to any transfer or assignment of the CVRs (including the cost of any transfer tax) will be the responsibility of the transferor.</w:t>
      </w:r>
    </w:p>
    <w:p>
      <w:pPr>
        <w:spacing w:after="0" w:line="87" w:lineRule="exact"/>
        <w:rPr>
          <w:rFonts w:ascii="Times New Roman" w:cs="Times New Roman" w:eastAsia="Times New Roman" w:hAnsi="Times New Roman"/>
          <w:sz w:val="18"/>
          <w:szCs w:val="18"/>
          <w:color w:val="auto"/>
        </w:rPr>
      </w:pPr>
    </w:p>
    <w:p>
      <w:pPr>
        <w:ind w:left="-436" w:firstLine="436"/>
        <w:spacing w:after="0" w:line="277" w:lineRule="auto"/>
        <w:tabs>
          <w:tab w:leader="none" w:pos="259"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w:t>
      </w:r>
    </w:p>
    <w:p>
      <w:pPr>
        <w:spacing w:after="0" w:line="59" w:lineRule="exact"/>
        <w:rPr>
          <w:rFonts w:ascii="Times New Roman" w:cs="Times New Roman" w:eastAsia="Times New Roman" w:hAnsi="Times New Roman"/>
          <w:sz w:val="17"/>
          <w:szCs w:val="17"/>
          <w:color w:val="auto"/>
        </w:rPr>
      </w:pPr>
    </w:p>
    <w:p>
      <w:pPr>
        <w:jc w:val="both"/>
        <w:ind w:left="-436" w:right="120" w:firstLine="436"/>
        <w:spacing w:after="0" w:line="261" w:lineRule="auto"/>
        <w:tabs>
          <w:tab w:leader="none" w:pos="24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written instructions to the Rights Agent for the distribution of CVRs to Eligible Holders as of the Specified Time. Subject to the terms and conditions of this Agreement and the Company’s prompt confirmation of the Effective Time, the Rights Agent shall effect the distribution of the CVRs, less any applicable tax withholding, to each Eligible Holder as of the Specified Time by the mailing of a statement of holding reflecting such CVRs.</w:t>
      </w:r>
    </w:p>
    <w:p>
      <w:pPr>
        <w:sectPr>
          <w:pgSz w:w="11900" w:h="16838" w:orient="portrait"/>
          <w:cols w:equalWidth="0" w:num="1">
            <w:col w:w="10564"/>
          </w:cols>
          <w:pgMar w:left="876" w:top="266"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b w:val="1"/>
          <w:bCs w:val="1"/>
          <w:u w:val="single" w:color="auto"/>
          <w:color w:val="auto"/>
        </w:rPr>
        <w:t>Payment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36"/>
        <w:spacing w:after="0" w:line="252"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forty-five (45) days following the end of each Calendar Quarter during the CVR Term, commencing with the first CVR Payment Period in which the Company or its Affiliates receives Gross Proceeds, the Company shall deliver to the Rights Agent a CVR Payment Statement for the such CVR Payment Period. Subject to the last sentence of this Section 2.4(a), concurrent with the delivery of each CVR Payment Statement, on the terms and conditions of this Agreement, the Company shall pay the Rights Agent in U.S. dollars an amount equal to the CVR Payment for the applicable CVR Payment Period.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in any event, within ten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send each Holder at its registered address a copy of such statement. For the avoidance of doubt the Company shall have no further liability in respect of the relevant CVR Payment upon delivery of such CVR Payment in accordance with this</w:t>
      </w:r>
    </w:p>
    <w:p>
      <w:pPr>
        <w:spacing w:after="0" w:line="3" w:lineRule="exact"/>
        <w:rPr>
          <w:rFonts w:ascii="Times New Roman" w:cs="Times New Roman" w:eastAsia="Times New Roman" w:hAnsi="Times New Roman"/>
          <w:sz w:val="18"/>
          <w:szCs w:val="18"/>
          <w:color w:val="auto"/>
        </w:rPr>
      </w:pPr>
    </w:p>
    <w:p>
      <w:pPr>
        <w:jc w:val="both"/>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the satisfaction of each of the Company’s obligations set forth in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Notwithstanding anything to the contrary herein, no CVR Payment shall become due and payable to any Holder until such time as the then-outstanding and undistributed Net Proceeds exceeds $350,000 in the aggregate.</w:t>
      </w:r>
    </w:p>
    <w:p>
      <w:pPr>
        <w:spacing w:after="0" w:line="77"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solicit from each Holder, and each Holder covenants and agrees to provide to the Rights Agent, an IRS Form W-9 or appropriate IRS Form W-8, as applicable, at such time or times, including immediately prior to the first CVR Payment, as is necessary to permit any payment under this Agreement to be made without U.S. federal backup withholding. That notwithstanding, the Company, Tyrol and any of their respective Affiliates (each a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be entitled to deduct and withhold and hereby authorizes the Rights Agent to deduct and withhold, any Tax or similar governmental charge or levy, that is required to be deducted or withheld under applicable Law from any amounts payable pursuant to this Agreement. To the extent the amounts are so withheld by a Withholding Agent and paid over to the appropriate Governmental Authority, such withheld amounts shall be treated for all purposes of this Agreement as having been paid to the Person in respect of whom such deduction and withholding was made. The Company will use commercially reasonable efforts to provide withholding and reporting instructions in writing (email being sufficient) to the Rights Agent from time to time as relevant, and upon request of the Rights Agent. The Rights Agent shall have no responsibilities with respect to Tax withholding, reporting or payment except as set forth herein or as specifically instructed by the Company.</w:t>
      </w:r>
    </w:p>
    <w:p>
      <w:pPr>
        <w:spacing w:after="0" w:line="86"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 CVR Payment that remains undistributed to the Holders six (6)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w:t>
      </w:r>
    </w:p>
    <w:p>
      <w:pPr>
        <w:spacing w:after="0" w:line="71" w:lineRule="exact"/>
        <w:rPr>
          <w:rFonts w:ascii="Times New Roman" w:cs="Times New Roman" w:eastAsia="Times New Roman" w:hAnsi="Times New Roman"/>
          <w:sz w:val="18"/>
          <w:szCs w:val="18"/>
          <w:color w:val="auto"/>
        </w:rPr>
      </w:pPr>
    </w:p>
    <w:p>
      <w:pPr>
        <w:ind w:right="100" w:firstLine="436"/>
        <w:spacing w:after="0" w:line="253"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CVR Payment (or portion thereof) remains unclaimed by a Holder two (2)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w:t>
      </w:r>
    </w:p>
    <w:p>
      <w:pPr>
        <w:sectPr>
          <w:pgSz w:w="11900" w:h="16838" w:orient="portrait"/>
          <w:cols w:equalWidth="0" w:num="1">
            <w:col w:w="11000"/>
          </w:cols>
          <w:pgMar w:left="440" w:top="266"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Times New Roman" w:cs="Times New Roman" w:eastAsia="Times New Roman" w:hAnsi="Times New Roman"/>
          <w:sz w:val="18"/>
          <w:szCs w:val="18"/>
          <w:b w:val="1"/>
          <w:bCs w:val="1"/>
          <w:u w:val="single" w:color="auto"/>
          <w:color w:val="auto"/>
        </w:rPr>
        <w:t>No Voting, Dividends or Interest; No Equity or Ownership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00" w:firstLine="436"/>
        <w:spacing w:after="0" w:line="282"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issued, the CVRs will not have any voting or dividend rights, and interest will not accrue on any amounts payable in respect of CVRs to any Holder.</w:t>
      </w:r>
    </w:p>
    <w:p>
      <w:pPr>
        <w:spacing w:after="0" w:line="53"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issued, the CVRs will not represent any equity or ownership interest in the Company or in any constituent company to the Merger. It is hereby acknowledged and agreed that a CVR shall not constitute a security of the Company.</w:t>
      </w:r>
    </w:p>
    <w:p>
      <w:pPr>
        <w:spacing w:after="0" w:line="53"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71"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is an essential and material term of this Agreement.</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Intended Tax Treatment</w:t>
      </w:r>
      <w:r>
        <w:rPr>
          <w:rFonts w:ascii="Times New Roman" w:cs="Times New Roman" w:eastAsia="Times New Roman" w:hAnsi="Times New Roman"/>
          <w:sz w:val="18"/>
          <w:szCs w:val="18"/>
          <w:color w:val="auto"/>
        </w:rPr>
        <w:t>. Except to the extent otherwise required by applicable Law, for U.S. federal income tax (and applicable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income tax purposes), the parties agree to treat the issuance of the CVRs as not constituting a current distribution and all CVR Payments for all Tax purposes as distributions of money governed by Section 301 of the Code, which will constitute a dividend to the extent payable out of the Company and its Affiliates’ “earnings and profits” (pursuant to Section 316 of the Code) in the taxable year when the CVR Payment is made (the “</w:t>
      </w:r>
      <w:r>
        <w:rPr>
          <w:rFonts w:ascii="Times New Roman" w:cs="Times New Roman" w:eastAsia="Times New Roman" w:hAnsi="Times New Roman"/>
          <w:sz w:val="18"/>
          <w:szCs w:val="18"/>
          <w:b w:val="1"/>
          <w:bCs w:val="1"/>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Treatment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Certain Duties and Responsibilities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36"/>
        <w:spacing w:after="0" w:line="254" w:lineRule="auto"/>
        <w:tabs>
          <w:tab w:leader="none" w:pos="6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11020"/>
          </w:cols>
          <w:pgMar w:left="440" w:top="266" w:right="439" w:bottom="1440" w:gutter="0" w:footer="0" w:header="0"/>
        </w:sectPr>
      </w:pPr>
    </w:p>
    <w:bookmarkStart w:id="148" w:name="page149"/>
    <w:bookmarkEnd w:id="148"/>
    <w:p>
      <w:pPr>
        <w:ind w:right="140" w:firstLine="436"/>
        <w:spacing w:after="0" w:line="256" w:lineRule="auto"/>
        <w:tabs>
          <w:tab w:leader="none" w:pos="69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Legal Proceedings at Law or otherwise or to make any demand upon the Company or Tyrol.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Certain Rights of Rights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580" w:firstLine="436"/>
        <w:spacing w:after="0" w:line="282"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53"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may rely and will be protected and held harmless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the Acting Holders.</w:t>
      </w:r>
    </w:p>
    <w:p>
      <w:pPr>
        <w:spacing w:after="0" w:line="67" w:lineRule="exact"/>
        <w:rPr>
          <w:rFonts w:ascii="Times New Roman" w:cs="Times New Roman" w:eastAsia="Times New Roman" w:hAnsi="Times New Roman"/>
          <w:sz w:val="18"/>
          <w:szCs w:val="18"/>
          <w:color w:val="auto"/>
        </w:rPr>
      </w:pPr>
    </w:p>
    <w:p>
      <w:pPr>
        <w:ind w:right="160" w:firstLine="436"/>
        <w:spacing w:after="0" w:line="258"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deems it desirable that a matter be proved or established prior to taking, suffering or omitting any action hereunder, the Rights Agent may rely upon an Officer’s Certificate, which certificate shall be full authorization and protection to the Rights Agent, and the Rights Agent shall, in the absence of bad faith, gross negligence, fraud or willful misconduct (each as determined by a final non-appealable judgment of a court of competent jurisdiction) on its part, not incur any liability and shall be held harmless by the Company for or in respect of any action taken, suffered or omitted to be taken by it under the provisions of this Agreement in reliance upon such Officer’s Certificate.</w:t>
      </w:r>
    </w:p>
    <w:p>
      <w:pPr>
        <w:spacing w:after="0" w:line="75"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advice or opinion of such counsel will, in the absence of bad faith, gross negligence, fraud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rights of the Rights Agent hereunder will not be construed as a duty.</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required to give any note or surety in respect of the execution of its powers or otherwise under this Agreement.</w:t>
      </w:r>
    </w:p>
    <w:p>
      <w:pPr>
        <w:spacing w:after="0" w:line="117" w:lineRule="exact"/>
        <w:rPr>
          <w:rFonts w:ascii="Times New Roman" w:cs="Times New Roman" w:eastAsia="Times New Roman" w:hAnsi="Times New Roman"/>
          <w:sz w:val="18"/>
          <w:szCs w:val="18"/>
          <w:color w:val="auto"/>
        </w:rPr>
      </w:pPr>
    </w:p>
    <w:p>
      <w:pPr>
        <w:ind w:firstLine="436"/>
        <w:spacing w:after="0" w:line="272" w:lineRule="auto"/>
        <w:tabs>
          <w:tab w:leader="none" w:pos="69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7"/>
          <w:szCs w:val="17"/>
          <w:b w:val="1"/>
          <w:bCs w:val="1"/>
          <w:color w:val="auto"/>
        </w:rPr>
        <w:t>Loss</w:t>
      </w:r>
      <w:r>
        <w:rPr>
          <w:rFonts w:ascii="Times New Roman" w:cs="Times New Roman" w:eastAsia="Times New Roman" w:hAnsi="Times New Roman"/>
          <w:sz w:val="17"/>
          <w:szCs w:val="17"/>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provided that this </w:t>
      </w:r>
      <w:r>
        <w:rPr>
          <w:rFonts w:ascii="Times New Roman" w:cs="Times New Roman" w:eastAsia="Times New Roman" w:hAnsi="Times New Roman"/>
          <w:sz w:val="17"/>
          <w:szCs w:val="17"/>
          <w:u w:val="single" w:color="auto"/>
          <w:color w:val="auto"/>
        </w:rPr>
        <w:t>Section 3.2(g)</w:t>
      </w:r>
      <w:r>
        <w:rPr>
          <w:rFonts w:ascii="Times New Roman" w:cs="Times New Roman" w:eastAsia="Times New Roman" w:hAnsi="Times New Roman"/>
          <w:sz w:val="17"/>
          <w:szCs w:val="17"/>
          <w:color w:val="auto"/>
        </w:rPr>
        <w:t xml:space="preserve"> shall not apply with respect to income, receipt, franchise or similar Taxes levied against the Rights Agent by a Governmental Authority.</w:t>
      </w:r>
    </w:p>
    <w:p>
      <w:pPr>
        <w:sectPr>
          <w:pgSz w:w="11900" w:h="16838" w:orient="portrait"/>
          <w:cols w:equalWidth="0" w:num="1">
            <w:col w:w="11020"/>
          </w:cols>
          <w:pgMar w:left="440" w:top="270" w:right="439" w:bottom="1440" w:gutter="0" w:footer="0" w:header="0"/>
        </w:sectPr>
      </w:pPr>
    </w:p>
    <w:bookmarkStart w:id="149" w:name="page150"/>
    <w:bookmarkEnd w:id="149"/>
    <w:p>
      <w:pPr>
        <w:ind w:left="-436" w:firstLine="436"/>
        <w:spacing w:after="0" w:line="271" w:lineRule="auto"/>
        <w:tabs>
          <w:tab w:leader="none" w:pos="25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agrees (i) to pay the fees of the Rights Agent in connection with the Rights Agent’s performance of its obligations hereunder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2.4(b)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3.2(g)</w:t>
      </w:r>
      <w:r>
        <w:rPr>
          <w:rFonts w:ascii="Times New Roman" w:cs="Times New Roman" w:eastAsia="Times New Roman" w:hAnsi="Times New Roman"/>
          <w:sz w:val="17"/>
          <w:szCs w:val="17"/>
          <w:color w:val="auto"/>
        </w:rPr>
        <w:t>, if the Company is found by a court of competent jurisdiction to be liable to the Rights Agent or the Holders, as applicable in such suit.</w:t>
      </w:r>
    </w:p>
    <w:p>
      <w:pPr>
        <w:spacing w:after="0" w:line="65" w:lineRule="exact"/>
        <w:rPr>
          <w:rFonts w:ascii="Times New Roman" w:cs="Times New Roman" w:eastAsia="Times New Roman" w:hAnsi="Times New Roman"/>
          <w:sz w:val="17"/>
          <w:szCs w:val="17"/>
          <w:color w:val="auto"/>
        </w:rPr>
      </w:pPr>
    </w:p>
    <w:p>
      <w:pPr>
        <w:ind w:left="-436" w:right="220" w:firstLine="436"/>
        <w:spacing w:after="0" w:line="266" w:lineRule="auto"/>
        <w:tabs>
          <w:tab w:leader="none" w:pos="2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7" w:lineRule="exact"/>
        <w:rPr>
          <w:rFonts w:ascii="Times New Roman" w:cs="Times New Roman" w:eastAsia="Times New Roman" w:hAnsi="Times New Roman"/>
          <w:sz w:val="18"/>
          <w:szCs w:val="18"/>
          <w:color w:val="auto"/>
        </w:rPr>
      </w:pPr>
    </w:p>
    <w:p>
      <w:pPr>
        <w:ind w:left="-436" w:right="400" w:firstLine="436"/>
        <w:spacing w:after="0" w:line="282" w:lineRule="auto"/>
        <w:tabs>
          <w:tab w:leader="none" w:pos="2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have no responsibility to the Company, any holders of CVRs, any holders of shares of Common Stock or any other Person for interest or earnings on any moneys held by the Rights Agent pursuant to this Agreement.</w:t>
      </w:r>
    </w:p>
    <w:p>
      <w:pPr>
        <w:spacing w:after="0" w:line="53" w:lineRule="exact"/>
        <w:rPr>
          <w:rFonts w:ascii="Times New Roman" w:cs="Times New Roman" w:eastAsia="Times New Roman" w:hAnsi="Times New Roman"/>
          <w:sz w:val="18"/>
          <w:szCs w:val="18"/>
          <w:color w:val="auto"/>
        </w:rPr>
      </w:pPr>
    </w:p>
    <w:p>
      <w:pPr>
        <w:ind w:left="-436" w:right="20" w:firstLine="436"/>
        <w:spacing w:after="0" w:line="289" w:lineRule="auto"/>
        <w:tabs>
          <w:tab w:leader="none" w:pos="25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not be subject to, nor be required to comply with, or determine if any Person has complied with, the Merger Agreement or any other agreement between or among any the Company, Tyrol or Holders, even though reference thereto may be made in this Agreement, or to comply with any notice, instruction, direction, request or other communication, paper or document other than as expressly set forth in this Agreement.</w:t>
      </w:r>
    </w:p>
    <w:p>
      <w:pPr>
        <w:spacing w:after="0" w:line="49" w:lineRule="exact"/>
        <w:rPr>
          <w:rFonts w:ascii="Times New Roman" w:cs="Times New Roman" w:eastAsia="Times New Roman" w:hAnsi="Times New Roman"/>
          <w:sz w:val="17"/>
          <w:szCs w:val="17"/>
          <w:color w:val="auto"/>
        </w:rPr>
      </w:pPr>
    </w:p>
    <w:p>
      <w:pPr>
        <w:ind w:left="-436" w:right="60" w:firstLine="436"/>
        <w:spacing w:after="0" w:line="261" w:lineRule="auto"/>
        <w:tabs>
          <w:tab w:leader="none" w:pos="21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 the Rights Agent and any shareholder, affiliate, director, officer or employee of the Rights Agent may buy, sell or deal in any securities of the Company or Tyrol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71"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30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79" w:lineRule="exact"/>
        <w:rPr>
          <w:rFonts w:ascii="Times New Roman" w:cs="Times New Roman" w:eastAsia="Times New Roman" w:hAnsi="Times New Roman"/>
          <w:sz w:val="18"/>
          <w:szCs w:val="18"/>
          <w:color w:val="auto"/>
        </w:rPr>
      </w:pPr>
    </w:p>
    <w:p>
      <w:pPr>
        <w:ind w:left="-436" w:right="80" w:firstLine="436"/>
        <w:spacing w:after="0" w:line="258"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Tyrol resulting from any such act, default, neglect or misconduct, absent gross negligence, fraud, bad faith or willful misconduct (each as determined by a final non-appealable judgment of a court of competent jurisdiction) in the selection and continued employment thereof.</w:t>
      </w:r>
    </w:p>
    <w:p>
      <w:pPr>
        <w:spacing w:after="0" w:line="75" w:lineRule="exact"/>
        <w:rPr>
          <w:rFonts w:ascii="Times New Roman" w:cs="Times New Roman" w:eastAsia="Times New Roman" w:hAnsi="Times New Roman"/>
          <w:sz w:val="18"/>
          <w:szCs w:val="18"/>
          <w:color w:val="auto"/>
        </w:rPr>
      </w:pPr>
    </w:p>
    <w:p>
      <w:pPr>
        <w:ind w:left="-436" w:right="540" w:firstLine="436"/>
        <w:spacing w:after="0" w:line="266"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sectPr>
          <w:pgSz w:w="11900" w:h="16838" w:orient="portrait"/>
          <w:cols w:equalWidth="0" w:num="1">
            <w:col w:w="10584"/>
          </w:cols>
          <w:pgMar w:left="876" w:top="270" w:right="439" w:bottom="1440" w:gutter="0" w:footer="0" w:header="0"/>
        </w:sectPr>
      </w:pPr>
    </w:p>
    <w:bookmarkStart w:id="150" w:name="page151"/>
    <w:bookmarkEnd w:id="150"/>
    <w:p>
      <w:pPr>
        <w:ind w:right="80" w:firstLine="436"/>
        <w:spacing w:after="0" w:line="261"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Legal Proceedings at Law or otherwise or to make any demand upon the Company.</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71" w:lineRule="exact"/>
        <w:rPr>
          <w:rFonts w:ascii="Times New Roman" w:cs="Times New Roman" w:eastAsia="Times New Roman" w:hAnsi="Times New Roman"/>
          <w:sz w:val="18"/>
          <w:szCs w:val="18"/>
          <w:color w:val="auto"/>
        </w:rPr>
      </w:pPr>
    </w:p>
    <w:p>
      <w:pPr>
        <w:ind w:right="600" w:firstLine="436"/>
        <w:spacing w:after="0" w:line="282" w:lineRule="auto"/>
        <w:tabs>
          <w:tab w:leader="none" w:pos="6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or responsible for any failure of the Company to comply with any of its obligations relating to any registration statement filed with the SEC or this Agreement, including without limitation obligations under applicable regulation or Law.</w:t>
      </w:r>
    </w:p>
    <w:p>
      <w:pPr>
        <w:spacing w:after="0" w:line="53" w:lineRule="exact"/>
        <w:rPr>
          <w:rFonts w:ascii="Times New Roman" w:cs="Times New Roman" w:eastAsia="Times New Roman" w:hAnsi="Times New Roman"/>
          <w:sz w:val="18"/>
          <w:szCs w:val="18"/>
          <w:color w:val="auto"/>
        </w:rPr>
      </w:pPr>
    </w:p>
    <w:p>
      <w:pPr>
        <w:ind w:right="600" w:firstLine="436"/>
        <w:spacing w:after="0" w:line="282"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and the rights of the Rights Agent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survive the expiration of the CVRs and the termination of this Agreement and the resignation, replacement or removal of the Rights Agent.</w:t>
      </w:r>
    </w:p>
    <w:p>
      <w:pPr>
        <w:spacing w:after="0" w:line="53" w:lineRule="exact"/>
        <w:rPr>
          <w:rFonts w:ascii="Times New Roman" w:cs="Times New Roman" w:eastAsia="Times New Roman" w:hAnsi="Times New Roman"/>
          <w:sz w:val="18"/>
          <w:szCs w:val="18"/>
          <w:color w:val="auto"/>
        </w:rPr>
      </w:pPr>
    </w:p>
    <w:p>
      <w:pPr>
        <w:ind w:right="260" w:firstLine="436"/>
        <w:spacing w:after="0" w:line="266"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(email being sufficient).</w:t>
      </w:r>
    </w:p>
    <w:p>
      <w:pPr>
        <w:spacing w:after="0" w:line="67" w:lineRule="exact"/>
        <w:rPr>
          <w:rFonts w:ascii="Times New Roman" w:cs="Times New Roman" w:eastAsia="Times New Roman" w:hAnsi="Times New Roman"/>
          <w:sz w:val="18"/>
          <w:szCs w:val="18"/>
          <w:color w:val="auto"/>
        </w:rPr>
      </w:pPr>
    </w:p>
    <w:p>
      <w:pPr>
        <w:ind w:right="240" w:firstLine="436"/>
        <w:spacing w:after="0" w:line="261" w:lineRule="auto"/>
        <w:tabs>
          <w:tab w:leader="none" w:pos="69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have no liability and shall be held harmless by the Company in respect of the validity of this Agreement and the execution and delivery hereof (except the due execution and delivery hereof by the Rights Agent and the enforceability of this Agreement against the Rights Agent assuming the due execution and delivery hereof by the Company), nor shall it be responsible for any breach by the Company of any covenant or condition contained in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36"/>
        <w:spacing w:after="0" w:line="266"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67"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67" w:lineRule="exact"/>
        <w:rPr>
          <w:rFonts w:ascii="Times New Roman" w:cs="Times New Roman" w:eastAsia="Times New Roman" w:hAnsi="Times New Roman"/>
          <w:sz w:val="18"/>
          <w:szCs w:val="18"/>
          <w:color w:val="auto"/>
        </w:rPr>
      </w:pPr>
    </w:p>
    <w:p>
      <w:pPr>
        <w:ind w:right="280" w:firstLine="436"/>
        <w:spacing w:after="0" w:line="256"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Rights Agent for all purposes hereunder.</w:t>
      </w:r>
    </w:p>
    <w:p>
      <w:pPr>
        <w:spacing w:after="0" w:line="79"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ectPr>
          <w:pgSz w:w="11900" w:h="16838" w:orient="portrait"/>
          <w:cols w:equalWidth="0" w:num="1">
            <w:col w:w="10980"/>
          </w:cols>
          <w:pgMar w:left="440" w:top="270" w:right="479" w:bottom="1440" w:gutter="0" w:footer="0" w:header="0"/>
        </w:sectPr>
      </w:pPr>
    </w:p>
    <w:bookmarkStart w:id="151" w:name="page152"/>
    <w:bookmarkEnd w:id="151"/>
    <w:p>
      <w:pPr>
        <w:ind w:right="20" w:firstLine="436"/>
        <w:spacing w:after="0" w:line="266"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unless consented to in writing by the Acting Holders, the Company will not appoint as a successor Rights Agent any Person that is not a stock transfer agent of national reputation or the corporate trust department of a commercial bank.</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7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at or prior to such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except such rights which survive its resignation or removal under the terms hereunder.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color w:val="auto"/>
        </w:rPr>
        <w:t>. The Company will furnish or cause to be furnished to the Rights Agent, in such form as the Company receives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transfer agent (or other agent performing similar services for the Company), the names and addresses of the Holders within fifteen (15) Business Days following the Closing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Efforts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960" w:right="200" w:hanging="532"/>
        <w:spacing w:after="0" w:line="261" w:lineRule="auto"/>
        <w:tabs>
          <w:tab w:leader="none" w:pos="9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Disposition Period, the Company shall, and shall cause its Subsidiaries to, use Commercially Reasonable Efforts to effect Dispositions with respect to the Company Pre-Closing Assets to a third party that has delivered Inbound Interest delivered or otherwise made known to an executive officer or business development officer of the Company with respect to a Company Pre-Closing Asset after the Closing to the Company, its Subsidiaries or their Representatives in evaluating or potentially engaging in a Disposition.</w:t>
      </w:r>
    </w:p>
    <w:p>
      <w:pPr>
        <w:spacing w:after="0" w:line="85" w:lineRule="exact"/>
        <w:rPr>
          <w:rFonts w:ascii="Times New Roman" w:cs="Times New Roman" w:eastAsia="Times New Roman" w:hAnsi="Times New Roman"/>
          <w:sz w:val="18"/>
          <w:szCs w:val="18"/>
          <w:color w:val="auto"/>
        </w:rPr>
      </w:pPr>
    </w:p>
    <w:p>
      <w:pPr>
        <w:ind w:left="960" w:hanging="532"/>
        <w:spacing w:after="0" w:line="272" w:lineRule="auto"/>
        <w:tabs>
          <w:tab w:leader="none" w:pos="9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and the other contractual obligations of the Company expressly set forth in this Agreement, (i) the Holders acknowledge that the Company has a fiduciary obligation to operate its business in the best interests of its stockholders, and any potential obligation to pay CVR Payments will not create any express or implied obligation to operate its business in any particular manner in order to maximize such CVR Payments, (ii) except as expressly set forth in this Agreement, the Holders are not relying on any representation of the Company or any other Person with regard to any Disposition or other action involving the Company Pre-Closing Assets following the Closing, and neither the Company nor any other Person has provided, or can provide, any assurance to the Holders that any CVR Payments will in fact be earned and paid, and (iii) none of the Company or any of its Subsidiaries, officers or directors shall have any obligation or liability whatsoever to any Person relating to or in connection with any action, or failure to act, with respect to any Disposition.</w:t>
      </w:r>
    </w:p>
    <w:p>
      <w:pPr>
        <w:sectPr>
          <w:pgSz w:w="11900" w:h="16838" w:orient="portrait"/>
          <w:cols w:equalWidth="0" w:num="1">
            <w:col w:w="11000"/>
          </w:cols>
          <w:pgMar w:left="440" w:top="270"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Times New Roman" w:cs="Times New Roman" w:eastAsia="Times New Roman" w:hAnsi="Times New Roman"/>
          <w:sz w:val="18"/>
          <w:szCs w:val="18"/>
          <w:b w:val="1"/>
          <w:bCs w:val="1"/>
          <w:u w:val="single" w:color="auto"/>
          <w:color w:val="auto"/>
        </w:rPr>
        <w:t>Additional Covenants</w:t>
      </w:r>
      <w:r>
        <w:rPr>
          <w:rFonts w:ascii="Times New Roman" w:cs="Times New Roman" w:eastAsia="Times New Roman" w:hAnsi="Times New Roman"/>
          <w:sz w:val="18"/>
          <w:szCs w:val="18"/>
          <w:color w:val="auto"/>
        </w:rPr>
        <w:t>. During the Disposition Period:</w:t>
      </w:r>
    </w:p>
    <w:p>
      <w:pPr>
        <w:spacing w:after="0" w:line="135" w:lineRule="exact"/>
        <w:rPr>
          <w:sz w:val="20"/>
          <w:szCs w:val="20"/>
          <w:color w:val="auto"/>
        </w:rPr>
      </w:pPr>
    </w:p>
    <w:p>
      <w:pPr>
        <w:ind w:left="960" w:right="240" w:hanging="532"/>
        <w:spacing w:after="0" w:line="261"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provisions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neither the Company nor any of its Affiliates shall take any action in bad faith with respect to, or with the primary purpose of avoiding, the payment of the CVR Payment Amount, including by making any dividend, distribution or other transfer of Net Proceeds in a manner materially adverse to the Company’s obligations in respect of Net Proceeds pursuant to this Agreement</w:t>
      </w:r>
    </w:p>
    <w:p>
      <w:pPr>
        <w:spacing w:after="0" w:line="85" w:lineRule="exact"/>
        <w:rPr>
          <w:rFonts w:ascii="Times New Roman" w:cs="Times New Roman" w:eastAsia="Times New Roman" w:hAnsi="Times New Roman"/>
          <w:sz w:val="18"/>
          <w:szCs w:val="18"/>
          <w:color w:val="auto"/>
        </w:rPr>
      </w:pPr>
    </w:p>
    <w:p>
      <w:pPr>
        <w:ind w:left="960" w:right="80" w:hanging="532"/>
        <w:spacing w:after="0" w:line="255"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use commercially reasonable efforts to continue to preserve and maintain the Company Pre-Closing Assets, including all Intellectual Property relating thereto but, and shall use commercially reasonable efforts to comply with such maintenance obligations as required by any license or related term set forth in any Disposition Agreement. Notwithstanding the foregoing, with respect to such efforts to preserve and maintain Intellectual Property relating to the Company Pre-Closing Assets, (A) the Company shall not be required to incur aggregate out-of-pocket costs and expenses in excess of $200,000 (the “</w:t>
      </w:r>
      <w:r>
        <w:rPr>
          <w:rFonts w:ascii="Times New Roman" w:cs="Times New Roman" w:eastAsia="Times New Roman" w:hAnsi="Times New Roman"/>
          <w:sz w:val="18"/>
          <w:szCs w:val="18"/>
          <w:b w:val="1"/>
          <w:bCs w:val="1"/>
          <w:color w:val="auto"/>
        </w:rPr>
        <w:t>IP Expense Fund</w:t>
      </w:r>
      <w:r>
        <w:rPr>
          <w:rFonts w:ascii="Times New Roman" w:cs="Times New Roman" w:eastAsia="Times New Roman" w:hAnsi="Times New Roman"/>
          <w:sz w:val="18"/>
          <w:szCs w:val="18"/>
          <w:color w:val="auto"/>
        </w:rPr>
        <w:t>”) and (B) the Company shall prioritize the application of the IP Expense Fund in accordance with the provisions of Schedule 1 hereto.</w:t>
      </w:r>
    </w:p>
    <w:p>
      <w:pPr>
        <w:spacing w:after="0" w:line="94"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grant any lien, security interest, pledge or similar interest in any Company Pre-Closing Assets or any Net Proceeds other than (A) pursuant to the terms of a Disposition Agreement or (B) any such interest generally granted with respect to all assets of the Company and not specific to any of the Company Pre-Closing Assets, and which do not prohibit the ability of the Company to complete a Disposition and, in connection therewith, to deliver title to the Company Pre-Closing Assets to the purchaser thereof, free and clear of such interest.</w:t>
      </w:r>
    </w:p>
    <w:p>
      <w:pPr>
        <w:spacing w:after="0" w:line="88"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inform the director(s) on the Company board of directors who then hold CVRs if and after Inbound Interest is delivered or otherwise made known to an executive officer or business development officer of the Company, and shall keep such director(s) reasonably and promptly informed regarding material developments in the negotiation of Disposition Agreements.</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Books and Records</w:t>
      </w:r>
      <w:r>
        <w:rPr>
          <w:rFonts w:ascii="Times New Roman" w:cs="Times New Roman" w:eastAsia="Times New Roman" w:hAnsi="Times New Roman"/>
          <w:sz w:val="18"/>
          <w:szCs w:val="18"/>
          <w:color w:val="auto"/>
        </w:rPr>
        <w:t>. Until the end of the CVR Term, the Company shall, and shall cause its Affiliates to, keep true, complete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in sufficient detail to enable the Rights Agent to confirm the applicable CVR Payment Amount payable hereunder in accordance with the terms specified in this Agreement.</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Audits</w:t>
      </w:r>
      <w:r>
        <w:rPr>
          <w:rFonts w:ascii="Times New Roman" w:cs="Times New Roman" w:eastAsia="Times New Roman" w:hAnsi="Times New Roman"/>
          <w:sz w:val="18"/>
          <w:szCs w:val="18"/>
          <w:color w:val="auto"/>
        </w:rPr>
        <w:t>. Until the expiration of this Agreement and for a period of one (1) year thereafter, the Company shall keep complete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Adjustments (including remittances of underpayments or overpayments disclosed by such audit) shall be made by the Company to reflect the results of such audit, which adjustments shall be paid promptly</w:t>
      </w:r>
    </w:p>
    <w:p>
      <w:pPr>
        <w:sectPr>
          <w:pgSz w:w="11900" w:h="16838" w:orient="portrait"/>
          <w:cols w:equalWidth="0" w:num="1">
            <w:col w:w="11000"/>
          </w:cols>
          <w:pgMar w:left="440" w:top="266" w:right="459" w:bottom="1440" w:gutter="0" w:footer="0" w:header="0"/>
        </w:sectPr>
      </w:pPr>
    </w:p>
    <w:bookmarkStart w:id="153" w:name="page154"/>
    <w:bookmarkEnd w:id="153"/>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twenty percent (20%)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No Conflict</w:t>
      </w:r>
      <w:r>
        <w:rPr>
          <w:rFonts w:ascii="Times New Roman" w:cs="Times New Roman" w:eastAsia="Times New Roman" w:hAnsi="Times New Roman"/>
          <w:sz w:val="18"/>
          <w:szCs w:val="18"/>
          <w:color w:val="auto"/>
        </w:rPr>
        <w:t>. The Company will not enter into any agreement with any Person that is, or otherwise take any actions or inactions, in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in any material respect or materially and adversely affect the performance of its obligations under this Agreement.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Amendments Without Consent of Holders or Rights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436"/>
        <w:spacing w:after="0" w:line="282" w:lineRule="auto"/>
        <w:tabs>
          <w:tab w:leader="none" w:pos="6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53"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5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to evidence the succession of another person to the Company and the assumption of any such successor of the covenants of the Company outlined herein in a transaction contemplated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30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96"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may be necessary or appropriate to ensure that the Company is not required to produce a prospectus or an admission document in order to comply with applicable Law;</w:t>
      </w:r>
    </w:p>
    <w:p>
      <w:pPr>
        <w:spacing w:after="0" w:line="53" w:lineRule="exact"/>
        <w:rPr>
          <w:rFonts w:ascii="Times New Roman" w:cs="Times New Roman" w:eastAsia="Times New Roman" w:hAnsi="Times New Roman"/>
          <w:sz w:val="18"/>
          <w:szCs w:val="18"/>
          <w:color w:val="auto"/>
        </w:rPr>
      </w:pPr>
    </w:p>
    <w:p>
      <w:pPr>
        <w:jc w:val="both"/>
        <w:ind w:right="40" w:firstLine="987"/>
        <w:spacing w:after="0" w:line="312" w:lineRule="auto"/>
        <w:tabs>
          <w:tab w:leader="none" w:pos="1346"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cancel the CVRs (i) in the event that any Holder has abandoned its rights in accordance with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(ii) in order to give effect to the provisions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(iii) following a transfer of such CVRs to the Company or its Affiliates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ectPr>
          <w:pgSz w:w="11900" w:h="16838" w:orient="portrait"/>
          <w:cols w:equalWidth="0" w:num="1">
            <w:col w:w="11000"/>
          </w:cols>
          <w:pgMar w:left="440" w:top="270" w:right="459" w:bottom="1440" w:gutter="0" w:footer="0" w:header="0"/>
        </w:sectPr>
      </w:pPr>
    </w:p>
    <w:bookmarkStart w:id="154" w:name="page155"/>
    <w:bookmarkEnd w:id="154"/>
    <w:p>
      <w:pPr>
        <w:ind w:left="1400" w:hanging="413"/>
        <w:spacing w:after="0"/>
        <w:tabs>
          <w:tab w:leader="none" w:pos="14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may be necessary or appropriate to ensure that the Company complies with applicable Law; or</w:t>
      </w:r>
    </w:p>
    <w:p>
      <w:pPr>
        <w:spacing w:after="0" w:line="117"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such additions, eliminations or changes do not adversely affect the interests of the Holders.</w:t>
      </w:r>
    </w:p>
    <w:p>
      <w:pPr>
        <w:spacing w:after="0" w:line="53"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Company of any amendment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Amendments with Consent of Holders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 addition to any amendments to this Agreement that may be made by the Company without the consent of any Holder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with the consent of the Acting Holders (whether evidenced in a writing or taken at a meeting of the Holders), the Company and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enter into one or more amendments to this Agreement for the purpose of adding, eliminating or amending any provisions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such addition, elimination or amendment is adverse to the interests of the Holders.</w:t>
      </w:r>
    </w:p>
    <w:p>
      <w:pPr>
        <w:spacing w:after="0" w:line="99" w:lineRule="exact"/>
        <w:rPr>
          <w:sz w:val="20"/>
          <w:szCs w:val="20"/>
          <w:color w:val="auto"/>
        </w:rPr>
      </w:pPr>
    </w:p>
    <w:p>
      <w:pPr>
        <w:ind w:right="500" w:firstLine="436"/>
        <w:spacing w:after="0" w:line="266"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the Company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Effect of Amendments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any amendment under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CONSOLIDATION, MERGER, SALE OR CONVEYANCE</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The Company May Not Consolidate, Etc</w:t>
      </w:r>
      <w:r>
        <w:rPr>
          <w:rFonts w:ascii="Times New Roman" w:cs="Times New Roman" w:eastAsia="Times New Roman" w:hAnsi="Times New Roman"/>
          <w:sz w:val="18"/>
          <w:szCs w:val="18"/>
          <w:color w:val="auto"/>
        </w:rPr>
        <w:t>. During the CVR Term, the Company shall not consolidate with or merge into any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convey, transfer or lease its properties and assets substantially as an entirety to any Person, unless:</w:t>
      </w:r>
    </w:p>
    <w:p>
      <w:pPr>
        <w:spacing w:after="0" w:line="51" w:lineRule="exact"/>
        <w:rPr>
          <w:sz w:val="20"/>
          <w:szCs w:val="20"/>
          <w:color w:val="auto"/>
        </w:rPr>
      </w:pPr>
    </w:p>
    <w:p>
      <w:pPr>
        <w:ind w:firstLine="436"/>
        <w:spacing w:after="0" w:line="261"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the Company is merged or the Person that acquires by conveyance or transfer, or that leases, the properties and assets of the Company substantially as an entirety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shall expressly assume payment of amounts on all CVRs (when and as due hereunder) and the performance of every duty and covenant of this Agreement on the part of the Company to be performed or observed; and</w:t>
      </w:r>
    </w:p>
    <w:p>
      <w:pPr>
        <w:spacing w:after="0" w:line="71"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delivered to the Rights Agent an Officer’s Certificate, stating that such consolidation, merger, conveyance, transfer or lease complies with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and that all conditions precedent herein provided for relating to such transaction have been complied with.</w:t>
      </w:r>
    </w:p>
    <w:p>
      <w:pPr>
        <w:spacing w:after="0" w:line="15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Successor Substituted</w:t>
      </w:r>
      <w:r>
        <w:rPr>
          <w:rFonts w:ascii="Times New Roman" w:cs="Times New Roman" w:eastAsia="Times New Roman" w:hAnsi="Times New Roman"/>
          <w:sz w:val="18"/>
          <w:szCs w:val="18"/>
          <w:color w:val="auto"/>
        </w:rPr>
        <w:t>. Upon any consolidation of or merger by the Company with or into any other Person, or any conveyance, transfer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lease of the properties and assets substantially as an entirety to any Person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sectPr>
          <w:pgSz w:w="11900" w:h="16838" w:orient="portrait"/>
          <w:cols w:equalWidth="0" w:num="1">
            <w:col w:w="11000"/>
          </w:cols>
          <w:pgMar w:left="440" w:top="270" w:right="45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Notices to Rights Agent and to the Company</w:t>
      </w:r>
      <w:r>
        <w:rPr>
          <w:rFonts w:ascii="Times New Roman" w:cs="Times New Roman" w:eastAsia="Times New Roman" w:hAnsi="Times New Roman"/>
          <w:sz w:val="18"/>
          <w:szCs w:val="18"/>
          <w:color w:val="auto"/>
        </w:rPr>
        <w:t>. All notices, requests and other communications (each, 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any party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and shall be deemed to have been duly delivered and received hereunder (a) when sent, fees prepaid, via a reputable international overnight courier service in the case of delivery in person, by FedEx or other internationally recognized overnight courier service or (b) when sent, if sent by email (with a written or electronic confirmation of delivery) prior to 6:00 p.m. (New York City time), otherwise on the next succeeding Business Day, in each case to the intended recipient as set forth below: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Rights Agent,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[_____]</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[_____]</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500 Boylston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Miguel Vega; Marc Recht; Michael Rohr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mvega@cooley.com; mrecht@cooley.com; mrohr@cooley.com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such party may hereafter specify for the purpose by notice to the other parties hereto.</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Notice to Holders</w:t>
      </w:r>
      <w:r>
        <w:rPr>
          <w:rFonts w:ascii="Times New Roman" w:cs="Times New Roman" w:eastAsia="Times New Roman" w:hAnsi="Times New Roman"/>
          <w:sz w:val="18"/>
          <w:szCs w:val="18"/>
          <w:color w:val="auto"/>
        </w:rPr>
        <w:t>. All Notices required to be given to the Holders will be given (unless otherwise herein expressly provided)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7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As between the Company and the Rights Agent, this Agreement constitutes the entire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ectPr>
          <w:pgSz w:w="11900" w:h="16838" w:orient="portrait"/>
          <w:cols w:equalWidth="0" w:num="1">
            <w:col w:w="10980"/>
          </w:cols>
          <w:pgMar w:left="440" w:top="266" w:right="479" w:bottom="1440" w:gutter="0" w:footer="0" w:header="0"/>
        </w:sectPr>
      </w:pPr>
    </w:p>
    <w:bookmarkStart w:id="156" w:name="page157"/>
    <w:bookmarkEnd w:id="156"/>
    <w:p>
      <w:pPr>
        <w:ind w:right="60"/>
        <w:spacing w:after="0" w:line="27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7"/>
          <w:szCs w:val="17"/>
          <w:b w:val="1"/>
          <w:bCs w:val="1"/>
          <w:u w:val="single" w:color="auto"/>
          <w:color w:val="auto"/>
        </w:rPr>
        <w:t>Merger or Consolidation or Change of Name of Rights Agent</w:t>
      </w:r>
      <w:r>
        <w:rPr>
          <w:rFonts w:ascii="Times New Roman" w:cs="Times New Roman" w:eastAsia="Times New Roman" w:hAnsi="Times New Roman"/>
          <w:sz w:val="17"/>
          <w:szCs w:val="17"/>
          <w:color w:val="auto"/>
        </w:rPr>
        <w:t>. Any Person into which the Rights Agent or any successor Rights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will be binding upon, and will be enforceable by and inure solely to the benefit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and the Rights Agent and their respective successors and assigns. Except for assignments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Rights Agent may not assign this Agreement without the Company’s prior written consent. Subject to </w:t>
      </w:r>
      <w:r>
        <w:rPr>
          <w:rFonts w:ascii="Times New Roman" w:cs="Times New Roman" w:eastAsia="Times New Roman" w:hAnsi="Times New Roman"/>
          <w:sz w:val="18"/>
          <w:szCs w:val="18"/>
          <w:u w:val="single" w:color="auto"/>
          <w:color w:val="auto"/>
        </w:rPr>
        <w:t>Section 5.1(a)(ii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Benefits of Agreement; Action by Acting Holders</w:t>
      </w:r>
      <w:r>
        <w:rPr>
          <w:rFonts w:ascii="Times New Roman" w:cs="Times New Roman" w:eastAsia="Times New Roman" w:hAnsi="Times New Roman"/>
          <w:sz w:val="18"/>
          <w:szCs w:val="18"/>
          <w:color w:val="auto"/>
        </w:rPr>
        <w:t>. Nothing in this Agreement, express or implied, will give to any Person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The Holders shall be intended third-party beneficiaries of the provisions of this Agreement; provided that, except for the rights of the Rights Agent set forth herein, the Acting Holders will have the sole right, on behalf of all Holders, by virtue of or under any provision of this Agreement, to institute any action or Legal Proceeding at Law or in equity with respect to this Agreement or otherwise to enforce the Holders’ rights hereunder, and no individual Holder or other group of Holders will be entitled to exercise such rights.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CVRs will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the conflicts of law rules of such state.</w:t>
      </w:r>
    </w:p>
    <w:p>
      <w:pPr>
        <w:spacing w:after="0" w:line="1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In any action or proceeding between any of the parties hereto arising out of or relating to this Agreement 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this Agreement.</w:t>
      </w:r>
    </w:p>
    <w:p>
      <w:pPr>
        <w:sectPr>
          <w:pgSz w:w="11900" w:h="16838" w:orient="portrait"/>
          <w:cols w:equalWidth="0" w:num="1">
            <w:col w:w="11000"/>
          </w:cols>
          <w:pgMar w:left="440" w:top="266" w:right="459" w:bottom="1440" w:gutter="0" w:footer="0" w:header="0"/>
        </w:sectPr>
      </w:pPr>
    </w:p>
    <w:bookmarkStart w:id="157" w:name="page158"/>
    <w:bookmarkEnd w:id="157"/>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b w:val="1"/>
          <w:bCs w:val="1"/>
          <w:u w:val="single" w:color="auto"/>
          <w:color w:val="auto"/>
        </w:rPr>
        <w:t>SECTION 7.9</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Severability Clause</w:t>
      </w:r>
      <w:r>
        <w:rPr>
          <w:rFonts w:ascii="Times New Roman" w:cs="Times New Roman" w:eastAsia="Times New Roman" w:hAnsi="Times New Roman"/>
          <w:sz w:val="18"/>
          <w:szCs w:val="18"/>
          <w:color w:val="auto"/>
        </w:rPr>
        <w:t>. In the event that any provision of this Agreement, or the application of any such provision to any Person or set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excluded provision shall affect the rights, immunities, liabilities, duties or obligations of the Rights Agent, the Rights Agent shall be entitled to resign immediately upon written Notice to the Company.</w:t>
      </w:r>
    </w:p>
    <w:p>
      <w:pPr>
        <w:spacing w:after="0" w:line="1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will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effect as if the signatures thereto and hereto were upon the same instrument. This Agreement or any counterpart may be executed and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will automatically terminate and be of no further force or effect and,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the extent earned prior to the termination of this Agreement, and the provisions applicable thereto will survive the expiration or termination of this Agreement until such CVR Payments have been made, if applicable. Upon termination or expiry of this Agreement pursuant to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all CVRs issued hereunder shall be automatically cancelled and forfeited by the Holders without any consideration or payment therefor.</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7.13 </w:t>
      </w:r>
      <w:r>
        <w:rPr>
          <w:rFonts w:ascii="Times New Roman" w:cs="Times New Roman" w:eastAsia="Times New Roman" w:hAnsi="Times New Roman"/>
          <w:sz w:val="18"/>
          <w:szCs w:val="18"/>
          <w:b w:val="1"/>
          <w:bCs w:val="1"/>
          <w:u w:val="single" w:color="auto"/>
          <w:color w:val="auto"/>
        </w:rPr>
        <w:t>Funds</w:t>
      </w:r>
      <w:r>
        <w:rPr>
          <w:rFonts w:ascii="Times New Roman" w:cs="Times New Roman" w:eastAsia="Times New Roman" w:hAnsi="Times New Roman"/>
          <w:sz w:val="18"/>
          <w:szCs w:val="18"/>
          <w:color w:val="auto"/>
        </w:rPr>
        <w:t>. All funds received by Rights Agent under this Agreement that are to be distributed or applied by Rights Agent in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services hereunder (the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shall be held by the Rights Agent,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fraud or willful misconduct (as determined by a final non appealable judgment of a court of competent jurisdiction) on its part, have no responsibility or liability for any diminution of the Funds that may result from any deposit made by it in accordance with this paragraph, including any losses resulting from a default by any bank, financial institution or other third party. The Rights Agent may from time to time receive interest, dividends or other earnings in connection with such deposits.</w:t>
      </w:r>
    </w:p>
    <w:p>
      <w:pPr>
        <w:sectPr>
          <w:pgSz w:w="11900" w:h="16838" w:orient="portrait"/>
          <w:cols w:equalWidth="0" w:num="1">
            <w:col w:w="11000"/>
          </w:cols>
          <w:pgMar w:left="440" w:top="266" w:right="459" w:bottom="1440" w:gutter="0" w:footer="0" w:header="0"/>
        </w:sectPr>
      </w:pPr>
    </w:p>
    <w:bookmarkStart w:id="158" w:name="page159"/>
    <w:bookmarkEnd w:id="158"/>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7.14 </w:t>
      </w:r>
      <w:r>
        <w:rPr>
          <w:rFonts w:ascii="Times New Roman" w:cs="Times New Roman" w:eastAsia="Times New Roman" w:hAnsi="Times New Roman"/>
          <w:sz w:val="18"/>
          <w:szCs w:val="18"/>
          <w:b w:val="1"/>
          <w:bCs w:val="1"/>
          <w:u w:val="single" w:color="auto"/>
          <w:color w:val="auto"/>
        </w:rPr>
        <w:t>Further Assurance by Company</w:t>
      </w:r>
      <w:r>
        <w:rPr>
          <w:rFonts w:ascii="Times New Roman" w:cs="Times New Roman" w:eastAsia="Times New Roman" w:hAnsi="Times New Roman"/>
          <w:sz w:val="18"/>
          <w:szCs w:val="18"/>
          <w:color w:val="auto"/>
        </w:rPr>
        <w:t>. The Company agrees that it will perform, execute, acknowledge and deliver or cause to be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7.15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36"/>
        <w:spacing w:after="0" w:line="266"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will not be deemed to be terms of limitation, but rather will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53" w:lineRule="exact"/>
        <w:rPr>
          <w:rFonts w:ascii="Times New Roman" w:cs="Times New Roman" w:eastAsia="Times New Roman" w:hAnsi="Times New Roman"/>
          <w:sz w:val="18"/>
          <w:szCs w:val="18"/>
          <w:color w:val="auto"/>
        </w:rPr>
      </w:pPr>
    </w:p>
    <w:p>
      <w:pPr>
        <w:jc w:val="both"/>
        <w:ind w:right="480" w:firstLine="436"/>
        <w:spacing w:after="0" w:line="261"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7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53" w:lineRule="exact"/>
        <w:rPr>
          <w:rFonts w:ascii="Times New Roman" w:cs="Times New Roman" w:eastAsia="Times New Roman" w:hAnsi="Times New Roman"/>
          <w:sz w:val="18"/>
          <w:szCs w:val="18"/>
          <w:color w:val="auto"/>
        </w:rPr>
      </w:pPr>
    </w:p>
    <w:p>
      <w:pPr>
        <w:ind w:right="140" w:firstLine="436"/>
        <w:spacing w:after="0" w:line="261" w:lineRule="auto"/>
        <w:tabs>
          <w:tab w:leader="none" w:pos="66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 are to United States Dollars.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each of the parties has caused this Agreement to be executed as of the day and year first above written.</w:t>
      </w: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66" w:right="144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Rights Agent Fee Schedule</w:t>
      </w:r>
    </w:p>
    <w:p>
      <w:pPr>
        <w:sectPr>
          <w:pgSz w:w="11900" w:h="16838" w:orient="portrait"/>
          <w:cols w:equalWidth="0" w:num="1">
            <w:col w:w="9019"/>
          </w:cols>
          <w:pgMar w:left="1440" w:top="266"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IP Expense Fund Prioritization</w:t>
      </w:r>
    </w:p>
    <w:p>
      <w:pPr>
        <w:sectPr>
          <w:pgSz w:w="11900" w:h="16838" w:orient="portrait"/>
          <w:cols w:equalWidth="0" w:num="1">
            <w:col w:w="9019"/>
          </w:cols>
          <w:pgMar w:left="1440" w:top="266" w:right="1440"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and Tectonic Therapeutic Announce Merger</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Combined company to be Nasdaq-listed, clinical-stage biopharmaceutical company focused on advancing Tectonic’s novel GPCR-targeted therapeutic proteins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$130.7 million in private financing commitments with new and existing leading life sciences investors in connection with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company expected to have approximately $165 million in cash and cash equivalents at close to provide cash runway into mid-2027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Funding is expected to advance lead asset TX45, a potential best-in-class Fc-relaxin fusion protein, through multiple clinical data catalysts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Tectonic’s first two programs address indications with high unmet need and no approved therapies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Companies to host joint webcast today, January 30, 2024 at 8:30 a.m. ET</w:t>
      </w:r>
    </w:p>
    <w:p>
      <w:pPr>
        <w:spacing w:after="0" w:line="22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Cambridge, Mass. and Watertown, Mass. (January 30, 2024) </w:t>
      </w:r>
      <w:r>
        <w:rPr>
          <w:rFonts w:ascii="Times New Roman" w:cs="Times New Roman" w:eastAsia="Times New Roman" w:hAnsi="Times New Roman"/>
          <w:sz w:val="18"/>
          <w:szCs w:val="18"/>
          <w:color w:val="auto"/>
        </w:rPr>
        <w:t>– AVROBIO, Inc. (Nasdaq: AVRO) and Tectonic Therapeutic, Inc. (“Tectonic”),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privately-held biotechnology company developing GPCR (G-protein coupled receptor)-targeted therapeutic proteins, co-founded by Timothy A. Springer and Andrew C. Kruse of Harvard Medical School, today announced that the companies have entered into a definitive merger agreement to combine in an all-stock transaction (the “Merger”). Under the terms of the agreement, AVROBIO will acquire 100% of the outstanding equity interests of Tectonic. Upon completion of the Merger, the combined company is expected to operate under the name Tectonic Therapeutic, Inc. and trade on Nasdaq under the ticker symbol “TECX.”</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Merger, Tectonic has raised or entered into agreements for a $130.7 million private placement with a syndicate of new and existing leading life sciences investors, led by a major mutual fund, TAS Partners, 5AM Ventures, EcoR1 Capital, Polaris Partners, funds and accounts advised by Farallon Capital Management, Vida Ventures, PagsGroup, and other investors. The combined company is expected to have approximately $165 million of cash and cash equivalents at closing, inclusive of the proceeds to be received in the private placement. These proceeds will be used to advance Tectonic’s pipeline through multiple clinical data catalysts and are expected to fund the combined company’s operations into mid-2027. The private placement is expected to close in conjunction with the Merger in the second quarter of 2024.</w:t>
      </w:r>
    </w:p>
    <w:p>
      <w:pPr>
        <w:spacing w:after="0" w:line="18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are delighted to merge with AVROBIO at this important time for Tectonic. We are grateful to our investors for their commitment to our mission and to advancing our pipeline of uniquely differentiated molecules. Using biologics to unlock the therapeutic utility of targeting GPCRs which are not optimally drugged by small molecules could result in important advances for patients,” said Alise Reicin, M.D., Chief Executive Officer of Tectonic. “GPCRs are central to human biology and are the target of more than 30% of all currently approved drugs. However, many GPCRs remain unexplored and have proven to be challenging targets for drug development. Our 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makes it possible to discover a broad pipeline of biologics addressing some of the most challenging receptors in the class. This transaction enhances our ability to execute on an efficient plan to advance our clinical-stage and potential best-in-class Fc-relaxin fusion protein, TX45, as well as additional assets in our pipeline. We anticipate multiple clinical catalysts over the next three years.”</w:t>
      </w:r>
    </w:p>
    <w:p>
      <w:pPr>
        <w:sectPr>
          <w:pgSz w:w="11900" w:h="16838" w:orient="portrait"/>
          <w:cols w:equalWidth="0" w:num="1">
            <w:col w:w="11020"/>
          </w:cols>
          <w:pgMar w:left="440" w:top="117" w:right="439" w:bottom="1440" w:gutter="0" w:footer="0" w:header="0"/>
        </w:sectPr>
      </w:pPr>
    </w:p>
    <w:bookmarkStart w:id="163" w:name="page164"/>
    <w:bookmarkEnd w:id="16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transaction is the culmination of a comprehensive review of strategic alternatives, and our Board believes that the Merger with Tectonic is in the best interests of our shareholders,” said Erik Ostrowski, interim Chief Executive Officer and Chief Financial Officer of AVROBIO. “Tectonic has unparalleled expertise in the biochemistry and biophysics of GPCRs, and a highly accomplished team poised to advance their rich pipeline of innovative therapies.”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Tectonic’s Portfolio and Platform Overview</w:t>
      </w:r>
    </w:p>
    <w:p>
      <w:pPr>
        <w:spacing w:after="0" w:line="12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Tectonic is developing novel GPCR-targeted therapeutic proteins. The company is prioritizing compelling GPCR targets to address indications that are not currently well-served by small molecule-based approaches. The selectivity and specificity profile of biologics is one of the most important advantages of Tectonic’s approach over traditional small molecule drug discovery. However, most GPCRs have not historically been amenable to standard biologics discovery methods because of the instability and conformational heterogeneity of the GPCRs themselves. Tectonic’s GEODe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platform was developed to overcome the challenges of GPCR-targeted biologics discovery by combining GPCR biochemistry and receptor engineering strategies, proprietary antibody libraries and screening protocols, and structure-guided protein engineering for therapeutic candidate optimization.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Tectonic’s rich pipeline addresses high-value targets across a range of indications. The first two targets are in indications with no approved therapies:</w:t>
      </w:r>
    </w:p>
    <w:p>
      <w:pPr>
        <w:spacing w:after="0" w:line="131" w:lineRule="exact"/>
        <w:rPr>
          <w:sz w:val="20"/>
          <w:szCs w:val="20"/>
          <w:color w:val="auto"/>
        </w:rPr>
      </w:pPr>
    </w:p>
    <w:p>
      <w:pPr>
        <w:ind w:left="960" w:hanging="424"/>
        <w:spacing w:after="0" w:line="256" w:lineRule="auto"/>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Tectonic’s lead program, TX45, a Fc-relaxin fusion protein, is a potential best-in-class agent derived from its internal protein engineering efforts. TX45 has been optimized with an aim to overcome multiple limitations associated with the natural human hormone to achieve both optimal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(biophysical and developability),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(pharmacokinetic and pharmacodynamic, or “PK/PD”) properties. Following completion of the ongoing dose escalation safety and PK/PD studies in healthy volunteers, development of TX45 is planned to focus on an area of very high unmet need, Group 2 Pulmonary Hypertension in patients with Heart Failure with preserved Ejection Fraction (HFpEF), which impacts over 600,000 people in the U.S.</w:t>
      </w:r>
    </w:p>
    <w:p>
      <w:pPr>
        <w:spacing w:after="0" w:line="92"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data from the Phase 1a study has demonstrated PK/PD effects for TX-45 that are consistent with a potential best-in-class profile for TX45 and monthly dosing. Additional PK/PD data from the ongoing Phase 1a study are expected in mid-2024. Phase 1b hemodynamic Proof of Concept data is expected in 2025 and Phase 2 randomized data is expected in 2026.</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second program addresses Hereditary Hemorrhagic Telangiectasia (HHT), an autosomal dominant disease that causes abnormal blood vessel formation. HHT affects approximately 75,000 patients in the U.S. The target population for development is the 10-20% of patients that are considered to have severe disease because of frequent bleeding, anemia, and in some cases, the need for frequent blood transfusions. Tectonic plans to initiate human studies in this program during the Q4 2025 to Q1 2026 timeframe.</w:t>
      </w:r>
    </w:p>
    <w:p>
      <w:pPr>
        <w:spacing w:after="0" w:line="85"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third program is focused on fibrosis, using a bispecific approach to inhibit two different receptors with complementary / non-overlapping modes of action.</w:t>
      </w:r>
    </w:p>
    <w:p>
      <w:pPr>
        <w:sectPr>
          <w:pgSz w:w="11900" w:h="16838" w:orient="portrait"/>
          <w:cols w:equalWidth="0" w:num="1">
            <w:col w:w="11000"/>
          </w:cols>
          <w:pgMar w:left="440" w:top="270"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the Proposed Transaction: Financials, Management and Organization</w:t>
      </w:r>
    </w:p>
    <w:p>
      <w:pPr>
        <w:spacing w:after="0" w:line="121"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Upon completion of the Merger, pre-Merger AVROBIO shareholders are expected to own approximately 22.3% of the combined company and pre-Merger Tectonic shareholders are expected to own approximately 40.2% of the combined company, and in each case after giving effect to the aforementioned private placement financing. The percentage of the combined company that AVROBIO shareholders will own as of the close of the transaction is subject to adjustment based on the amount of AVROBIO net cash at the closing date, which is currently estimated to be approximately $65 million. Immediately prior to the closing of the Merger, AVROBIO shareholders will be issued contingent value rights representing the right to receive certain payments from proceeds received by the combined company, if any, related to certain pre-transaction assets of AVROBIO.</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Following the closing of the Merger, the combined company will be led by Dr. Reicin and other members of the Tectonic management team. AVROBIO will be renamed Tectonic Therapeutic, Inc. and the corporate headquarters will be located in Watertown, Mass. The merger agreement provides that post-merger, one board member from AVROBIO will join the Board of Directors of the combined company.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Merger has been approved by the Board of Directors of both companies and is expected to close in the second quarter of 2024 subject to customary closing conditions, including the approvals by the shareholders of each company, the closing of the private placement financing and other customary closing conditions.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connection with the Merger, directors, officers, and certain shareholders of AVROBIO and Tectonic have executed support agreements, pursuant to which they have agreed to vote all of their shares of capital stock in favor of the Merger.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Leerink Partners is serving as exclusive financial advisor to Tectonic and Cooley LLP is serving as legal counsel to Tectonic. Leerink Partners and TD Cowen are acting as joint placement agents to Tectonic in connection with the private placement. Piper Sandler is acting as capital markets advisor to Tectonic. TD Cowen is serving as lead financial advisor, Houlihan Lokey is serving as co-financial advisor, and Goodwin Procter LLP is serving as legal counsel to AVROBIO.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Presentation</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The companies will host a webcast presentation to discuss the proposed transaction today, January 30, at 8:30 a.m. ET. Listeners can register for the webcast via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A copy of the slides being presented will be available via AVROBIO’s investor website. Those who plan on participating are advised to join 15 minutes prior to the start time. A replay of the webcast will also be available via AVROBIO’s investor website approximately two hours after the call’s conclusion.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AVROBIO</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AVROBIO is a gene therapy company with a purpose to free people from a lifetime of genetic disease. The company has been focused on developing potentially curative HSC gene therapies to treat patients with rare diseases following a single dose treatment regimen.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 Therapeutic</w:t>
      </w:r>
    </w:p>
    <w:p>
      <w:pPr>
        <w:spacing w:after="0" w:line="12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Tectonic Therapeutic, co-founded by Andrew Kruse and Tim Springer of Harvard Medical School, is transforming the discovery of antibodies and other biologic drugs targeting GPCRs to develop novel therapies for patients inadequately served by current treatments. With its proprietary GEODe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Tectonic aims to unlock the therapeutic utility of some of the most difficult receptors in the class, where small molecule pharmacology may be intractable.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AVROBIO, Tectonic, and their respective directors and certain of their executive officers may be considered participants in the solicitation of proxies from AVROBIO’s shareholders with respect to the proposed merger transaction under the rules of the U.S. Securities and Exchange Commission.</w:t>
      </w:r>
    </w:p>
    <w:p>
      <w:pPr>
        <w:sectPr>
          <w:pgSz w:w="11900" w:h="16838" w:orient="portrait"/>
          <w:cols w:equalWidth="0" w:num="1">
            <w:col w:w="11020"/>
          </w:cols>
          <w:pgMar w:left="440" w:top="266" w:right="439" w:bottom="1440" w:gutter="0" w:footer="0" w:header="0"/>
        </w:sectPr>
      </w:pPr>
    </w:p>
    <w:bookmarkStart w:id="165" w:name="page166"/>
    <w:bookmarkEnd w:id="16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AVROBIO is set forth in its Annual Report on Form 10-K for the year ended December 31, 2022, which was filed with the SEC on March 23, 2023, subsequent Quarterly Reports on Form 10-Q and other documents that may be filed from time to time with the SEC. Additional information regarding the persons who may be deemed participants in the proxy solicitations and a description of their direct and indirect interests, by security holdings or otherwise, will also be included in a registration statement filed on Form S-4 that will contain a proxy statement (and prospectus and other relevant materials) to be filed with the SEC when they become available. You may obtain free copies of this document as described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 S.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relates to the proposed merger transaction involving AVROBIO and Tectonic (the “Merger”) and may be deemed to be solicitation material in respect of the proposed Merger. In connection with the proposed Merger, AVROBIO will file relevant materials with the SEC, including a registration statement on Form S-4 (the “Form S-4”) that will contain a proxy statement (the “Proxy Statement”) and prospectus. This communication is not a substitute for the Form S-4, the Proxy Statement or for any other document that AVROBIO may file with the SEC and/or send to AVROBIO’s shareholders in connection with the proposed Merger. BEFORE MAKING ANY VOTING DECISION, INVESTORS AND SECURITY HOLDERS OF AVROBIO ARE URGED TO READ THE FORM S-4, THE PROXY STATEMENT AND OTHER DOCUMENTS FILED WITH THE SEC CAREFULLY AND IN THEIR ENTIRETY WHEN THEY BECOME AVAILABLE BECAUSE THEY WILL CONTAIN IMPORTANT INFORMATION ABOUT AVROBIO, THE PROPOSED MERGER AND RELATED MATTERS.</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Investors and security holders will be able to obtain free copies of the Form S-4, the Proxy Statement and other documents filed by AVROBIO with the SEC through the website maintained by the SEC at http://www.sec.gov. Copies of the documents filed by AVROBIO with the SEC will also be available free of charge on AVROBIO’s website at www.avrobio.com, or by contacting AVROBIO’s Investor Relations at https://investors.avrobio.com/.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the private placement financing,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w:t>
      </w:r>
    </w:p>
    <w:p>
      <w:pPr>
        <w:sectPr>
          <w:pgSz w:w="11900" w:h="16838" w:orient="portrait"/>
          <w:cols w:equalWidth="0" w:num="1">
            <w:col w:w="11000"/>
          </w:cols>
          <w:pgMar w:left="440" w:top="270" w:right="459" w:bottom="1440" w:gutter="0" w:footer="0" w:header="0"/>
        </w:sectPr>
      </w:pPr>
    </w:p>
    <w:bookmarkStart w:id="166" w:name="page167"/>
    <w:bookmarkEnd w:id="16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 will be those that have been anticipated.</w:t>
      </w:r>
    </w:p>
    <w:p>
      <w:pPr>
        <w:spacing w:after="0" w:line="18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(i) the risk that the conditions to the Closing are not satisfied, including the failure to timely obtain stockholder approval for the transaction, if at all; (ii) uncertainties as to the timing of the consummation of the proposed Merger and the ability of each of AVROBIO and Tectonic to consummate the proposed Merger; (iii) risks related to AVROBIO’s ability to manage its operating expenses and its expenses associated with the proposed Merger pending the Closing; (iv) risks related to the failure or delay in obtaining any required consents necessary to consummate the proposed Merger; (v) the risk that as a result of adjustments to the exchange ratio, AVROBIO stockholders and Tectonic stockholders could own more or less of the combined company than is currently anticipated; (vi) risks related to the market price of AVROBIO’s common stock relative to the value suggested by the exchange ratio; (vii) unexpected costs, charges or expenses resulting from the transaction; (viii) potential adverse reactions or changes to business relationships resulting from the announcement or completion of the proposed Merger; (ix) the uncertainties associated with Tectonic’s product candidates, as well as risks associated with the clinical development and regulatory approval of product candidates, including potential delays in the completion of clinical trials; (x) risks related to the inability of the combined company to obtain sufficient additional capital to continue to advance these or other product candidates; (xi) uncertainties in obtaining successful clinical results for product candidates and unexpected costs that may result therefrom; (xii) risks related to the failure to realize any value from product candidates currently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and (xiv) the risk that the private placement financing is not consummated upon the Closing. Actual results and the timing of events could differ materially from those anticipated in such forward-looking statements as a result of these risks and uncertainties. These and other risks and uncertainties are more fully described in periodic filings with the U.S. Securities and Exchange Commission (the “SEC”), including the factors described in the section titled “Risk Factors” in AVROBIO’s Annual Report on Form 10-K for the year ended December 31, 2022, which was filed with the SEC on March 23, 2023, subsequent Quarterly Reports on Form 10-Q filed with the SEC, and in other filings that AVROBIO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w:t>
      </w:r>
    </w:p>
    <w:p>
      <w:pPr>
        <w:sectPr>
          <w:pgSz w:w="11900" w:h="16838" w:orient="portrait"/>
          <w:cols w:equalWidth="0" w:num="1">
            <w:col w:w="11000"/>
          </w:cols>
          <w:pgMar w:left="440" w:top="270" w:right="459" w:bottom="1440" w:gutter="0" w:footer="0" w:header="0"/>
        </w:sectPr>
      </w:pPr>
    </w:p>
    <w:bookmarkStart w:id="167" w:name="page168"/>
    <w:bookmarkEnd w:id="16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AVROBIO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Ed Trissel / Carly King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Joele Frank, Wilkinson Brimmer Katcher</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(212) 355-4449</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Christopher F. Brinzey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Westwicke, an ICR Company</w:t>
      </w:r>
    </w:p>
    <w:p>
      <w:pPr>
        <w:spacing w:after="0" w:line="9" w:lineRule="exact"/>
        <w:rPr>
          <w:sz w:val="20"/>
          <w:szCs w:val="20"/>
          <w:color w:val="auto"/>
        </w:rPr>
      </w:pPr>
    </w:p>
    <w:p>
      <w:pPr>
        <w:ind w:left="4" w:right="7799" w:hanging="4"/>
        <w:spacing w:after="0" w:line="260" w:lineRule="auto"/>
        <w:tabs>
          <w:tab w:leader="none" w:pos="43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970-2843 </w:t>
      </w:r>
      <w:r>
        <w:rPr>
          <w:rFonts w:ascii="Times New Roman" w:cs="Times New Roman" w:eastAsia="Times New Roman" w:hAnsi="Times New Roman"/>
          <w:sz w:val="18"/>
          <w:szCs w:val="18"/>
          <w:u w:val="single" w:color="auto"/>
          <w:color w:val="auto"/>
        </w:rPr>
        <w:t>chris.brinzey@westwicke.com</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Tectonic Therapeutic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Christian Cortis, PhD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Tectonic Therapeutic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ccortis@tectonictx.com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(781) 327-2606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Karen Sharma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MacDougall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ksharma@macdougall.bio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(781) 235-3060</w:t>
      </w:r>
    </w:p>
    <w:sectPr>
      <w:pgSz w:w="11900" w:h="16838" w:orient="portrait"/>
      <w:cols w:equalWidth="0" w:num="1">
        <w:col w:w="10023"/>
      </w:cols>
      <w:pgMar w:left="436"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lowerRoman"/>
      <w:start w:val="5"/>
    </w:lvl>
  </w:abstractNum>
  <w:abstractNum w:abstractNumId="3">
    <w:nsid w:val="53299938"/>
    <w:multiLevelType w:val="hybridMultilevel"/>
    <w:lvl w:ilvl="0">
      <w:lvlJc w:val="left"/>
      <w:lvlText w:val="(%1)"/>
      <w:numFmt w:val="lowerRoman"/>
      <w:start w:val="8"/>
    </w:lvl>
  </w:abstractNum>
  <w:abstractNum w:abstractNumId="4">
    <w:nsid w:val="1FBFE8E0"/>
    <w:multiLevelType w:val="hybridMultilevel"/>
    <w:lvl w:ilvl="0">
      <w:lvlJc w:val="left"/>
      <w:lvlText w:val="(%1)"/>
      <w:numFmt w:val="lowerRoman"/>
      <w:start w:val="13"/>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1)"/>
      <w:numFmt w:val="lowerLetter"/>
      <w:start w:val="1"/>
    </w:lvl>
  </w:abstractNum>
  <w:abstractNum w:abstractNumId="7">
    <w:nsid w:val="59ADEA3D"/>
    <w:multiLevelType w:val="hybridMultilevel"/>
    <w:lvl w:ilvl="0">
      <w:lvlJc w:val="left"/>
      <w:lvlText w:val="(%1)"/>
      <w:numFmt w:val="decimal"/>
      <w:start w:val="5"/>
    </w:lvl>
  </w:abstractNum>
  <w:abstractNum w:abstractNumId="8">
    <w:nsid w:val="288F1A34"/>
    <w:multiLevelType w:val="hybridMultilevel"/>
    <w:lvl w:ilvl="0">
      <w:lvlJc w:val="left"/>
      <w:lvlText w:val="(%1)"/>
      <w:numFmt w:val="lowerRoman"/>
      <w:start w:val="2"/>
    </w:lvl>
  </w:abstractNum>
  <w:abstractNum w:abstractNumId="9">
    <w:nsid w:val="2A155DBC"/>
    <w:multiLevelType w:val="hybridMultilevel"/>
    <w:lvl w:ilvl="0">
      <w:lvlJc w:val="left"/>
      <w:lvlText w:val="(%1)"/>
      <w:numFmt w:val="lowerLetter"/>
      <w:start w:val="1"/>
    </w:lvl>
  </w:abstractNum>
  <w:abstractNum w:abstractNumId="10">
    <w:nsid w:val="1D9F6E5F"/>
    <w:multiLevelType w:val="hybridMultilevel"/>
    <w:lvl w:ilvl="0">
      <w:lvlJc w:val="left"/>
      <w:lvlText w:val="(%1)"/>
      <w:numFmt w:val="lowerRoman"/>
      <w:start w:val="14"/>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1)"/>
      <w:numFmt w:val="lowerRoman"/>
      <w:start w:val="7"/>
    </w:lvl>
  </w:abstractNum>
  <w:abstractNum w:abstractNumId="14">
    <w:nsid w:val="53584BCB"/>
    <w:multiLevelType w:val="hybridMultilevel"/>
    <w:lvl w:ilvl="0">
      <w:lvlJc w:val="left"/>
      <w:lvlText w:val="(%1)"/>
      <w:numFmt w:val="lowerLetter"/>
      <w:start w:val="3"/>
    </w:lvl>
  </w:abstractNum>
  <w:abstractNum w:abstractNumId="15">
    <w:nsid w:val="415E286C"/>
    <w:multiLevelType w:val="hybridMultilevel"/>
    <w:lvl w:ilvl="0">
      <w:lvlJc w:val="left"/>
      <w:lvlText w:val="(%1)"/>
      <w:numFmt w:val="lowerRoman"/>
      <w:start w:val="2"/>
    </w:lvl>
  </w:abstractNum>
  <w:abstractNum w:abstractNumId="16">
    <w:nsid w:val="7C58FD05"/>
    <w:multiLevelType w:val="hybridMultilevel"/>
    <w:lvl w:ilvl="0">
      <w:lvlJc w:val="left"/>
      <w:lvlText w:val="(%1)"/>
      <w:numFmt w:val="lowerLetter"/>
      <w:start w:val="2"/>
    </w:lvl>
  </w:abstractNum>
  <w:abstractNum w:abstractNumId="17">
    <w:nsid w:val="23D86AAC"/>
    <w:multiLevelType w:val="hybridMultilevel"/>
    <w:lvl w:ilvl="0">
      <w:lvlJc w:val="left"/>
      <w:lvlText w:val="(%1)"/>
      <w:numFmt w:val="lowerLetter"/>
      <w:start w:val="1"/>
    </w:lvl>
  </w:abstractNum>
  <w:abstractNum w:abstractNumId="18">
    <w:nsid w:val="45E6D486"/>
    <w:multiLevelType w:val="hybridMultilevel"/>
    <w:lvl w:ilvl="0">
      <w:lvlJc w:val="left"/>
      <w:lvlText w:val="(%1)"/>
      <w:numFmt w:val="lowerLetter"/>
      <w:start w:val="2"/>
    </w:lvl>
  </w:abstractNum>
  <w:abstractNum w:abstractNumId="19">
    <w:nsid w:val="5C10FE21"/>
    <w:multiLevelType w:val="hybridMultilevel"/>
    <w:lvl w:ilvl="0">
      <w:lvlJc w:val="left"/>
      <w:lvlText w:val="(%1)"/>
      <w:numFmt w:val="lowerLetter"/>
      <w:start w:val="1"/>
    </w:lvl>
  </w:abstractNum>
  <w:abstractNum w:abstractNumId="20">
    <w:nsid w:val="E7FFA2B"/>
    <w:multiLevelType w:val="hybridMultilevel"/>
    <w:lvl w:ilvl="0">
      <w:lvlJc w:val="left"/>
      <w:lvlText w:val="(%1)"/>
      <w:numFmt w:val="lowerLetter"/>
      <w:start w:val="4"/>
    </w:lvl>
  </w:abstractNum>
  <w:abstractNum w:abstractNumId="21">
    <w:nsid w:val="3C5991A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
    <w:nsid w:val="4BD8591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
    <w:nsid w:val="78DF6A55"/>
    <w:multiLevelType w:val="hybridMultilevel"/>
    <w:lvl w:ilvl="0">
      <w:lvlJc w:val="left"/>
      <w:lvlText w:val="(%1)"/>
      <w:numFmt w:val="lowerLetter"/>
      <w:start w:val="5"/>
    </w:lvl>
  </w:abstractNum>
  <w:abstractNum w:abstractNumId="24">
    <w:nsid w:val="39B7AAA2"/>
    <w:multiLevelType w:val="hybridMultilevel"/>
    <w:lvl w:ilvl="0">
      <w:lvlJc w:val="left"/>
      <w:lvlText w:val="(%1)"/>
      <w:numFmt w:val="lowerLetter"/>
      <w:start w:val="1"/>
    </w:lvl>
  </w:abstractNum>
  <w:abstractNum w:abstractNumId="25">
    <w:nsid w:val="2B0D8DBE"/>
    <w:multiLevelType w:val="hybridMultilevel"/>
    <w:lvl w:ilvl="0">
      <w:lvlJc w:val="left"/>
      <w:lvlText w:val="(%1)"/>
      <w:numFmt w:val="lowerLetter"/>
      <w:start w:val="1"/>
    </w:lvl>
  </w:abstractNum>
  <w:abstractNum w:abstractNumId="26">
    <w:nsid w:val="6C80EC70"/>
    <w:multiLevelType w:val="hybridMultilevel"/>
    <w:lvl w:ilvl="0">
      <w:lvlJc w:val="left"/>
      <w:lvlText w:val="(%1)"/>
      <w:numFmt w:val="lowerLetter"/>
      <w:start w:val="3"/>
    </w:lvl>
  </w:abstractNum>
  <w:abstractNum w:abstractNumId="27">
    <w:nsid w:val="379E21B5"/>
    <w:multiLevelType w:val="hybridMultilevel"/>
    <w:lvl w:ilvl="0">
      <w:lvlJc w:val="left"/>
      <w:lvlText w:val="(%1)"/>
      <w:numFmt w:val="lowerLetter"/>
      <w:start w:val="1"/>
    </w:lvl>
  </w:abstractNum>
  <w:abstractNum w:abstractNumId="28">
    <w:nsid w:val="69E373"/>
    <w:multiLevelType w:val="hybridMultilevel"/>
    <w:lvl w:ilvl="0">
      <w:lvlJc w:val="left"/>
      <w:lvlText w:val="%1"/>
      <w:numFmt w:val="decimal"/>
      <w:start w:val="1"/>
    </w:lvl>
    <w:lvl w:ilvl="1">
      <w:lvlJc w:val="left"/>
      <w:lvlText w:val="(%2)"/>
      <w:numFmt w:val="lowerLetter"/>
      <w:start w:val="3"/>
    </w:lvl>
  </w:abstractNum>
  <w:abstractNum w:abstractNumId="29">
    <w:nsid w:val="2C27173B"/>
    <w:multiLevelType w:val="hybridMultilevel"/>
    <w:lvl w:ilvl="0">
      <w:lvlJc w:val="left"/>
      <w:lvlText w:val="(%1)"/>
      <w:numFmt w:val="decimal"/>
      <w:start w:val="5"/>
    </w:lvl>
    <w:lvl w:ilvl="1">
      <w:lvlJc w:val="left"/>
      <w:lvlText w:val="%2"/>
      <w:numFmt w:val="lowerLetter"/>
      <w:start w:val="1"/>
    </w:lvl>
  </w:abstractNum>
  <w:abstractNum w:abstractNumId="30">
    <w:nsid w:val="4C9B0904"/>
    <w:multiLevelType w:val="hybridMultilevel"/>
    <w:lvl w:ilvl="0">
      <w:lvlJc w:val="left"/>
      <w:lvlText w:val="(%1)"/>
      <w:numFmt w:val="lowerLetter"/>
      <w:start w:val="1"/>
    </w:lvl>
  </w:abstractNum>
  <w:abstractNum w:abstractNumId="31">
    <w:nsid w:val="6AA7B75C"/>
    <w:multiLevelType w:val="hybridMultilevel"/>
    <w:lvl w:ilvl="0">
      <w:lvlJc w:val="left"/>
      <w:lvlText w:val="(%1)"/>
      <w:numFmt w:val="lowerLetter"/>
      <w:start w:val="1"/>
    </w:lvl>
  </w:abstractNum>
  <w:abstractNum w:abstractNumId="32">
    <w:nsid w:val="1DF029D3"/>
    <w:multiLevelType w:val="hybridMultilevel"/>
    <w:lvl w:ilvl="0">
      <w:lvlJc w:val="left"/>
      <w:lvlText w:val="(%1)"/>
      <w:numFmt w:val="lowerLetter"/>
      <w:start w:val="1"/>
    </w:lvl>
    <w:lvl w:ilvl="1">
      <w:lvlJc w:val="left"/>
      <w:lvlText w:val="(%2)"/>
      <w:numFmt w:val="lowerRoman"/>
      <w:start w:val="1"/>
    </w:lvl>
  </w:abstractNum>
  <w:abstractNum w:abstractNumId="33">
    <w:nsid w:val="5675FF36"/>
    <w:multiLevelType w:val="hybridMultilevel"/>
    <w:lvl w:ilvl="0">
      <w:lvlJc w:val="left"/>
      <w:lvlText w:val="(%1)"/>
      <w:numFmt w:val="lowerLetter"/>
      <w:start w:val="1"/>
    </w:lvl>
    <w:lvl w:ilvl="1">
      <w:lvlJc w:val="left"/>
      <w:lvlText w:val="(%2)"/>
      <w:numFmt w:val="lowerRoman"/>
      <w:start w:val="1"/>
    </w:lvl>
  </w:abstractNum>
  <w:abstractNum w:abstractNumId="34">
    <w:nsid w:val="3DD15094"/>
    <w:multiLevelType w:val="hybridMultilevel"/>
    <w:lvl w:ilvl="0">
      <w:lvlJc w:val="left"/>
      <w:lvlText w:val="(%1)"/>
      <w:numFmt w:val="lowerLetter"/>
      <w:start w:val="5"/>
    </w:lvl>
  </w:abstractNum>
  <w:abstractNum w:abstractNumId="35">
    <w:nsid w:val="3DB012B3"/>
    <w:multiLevelType w:val="hybridMultilevel"/>
    <w:lvl w:ilvl="0">
      <w:lvlJc w:val="left"/>
      <w:lvlText w:val="%1"/>
      <w:numFmt w:val="lowerLetter"/>
      <w:start w:val="1"/>
    </w:lvl>
    <w:lvl w:ilvl="1">
      <w:lvlJc w:val="left"/>
      <w:lvlText w:val="(%2)"/>
      <w:numFmt w:val="lowerLetter"/>
      <w:start w:val="1"/>
    </w:lvl>
  </w:abstractNum>
  <w:abstractNum w:abstractNumId="36">
    <w:nsid w:val="2708C9AF"/>
    <w:multiLevelType w:val="hybridMultilevel"/>
    <w:lvl w:ilvl="0">
      <w:lvlJc w:val="left"/>
      <w:lvlText w:val="(%1)"/>
      <w:numFmt w:val="lowerLetter"/>
      <w:start w:val="35"/>
    </w:lvl>
    <w:lvl w:ilvl="1">
      <w:lvlJc w:val="left"/>
      <w:lvlText w:val="(%2)"/>
      <w:numFmt w:val="lowerLetter"/>
      <w:start w:val="2"/>
    </w:lvl>
  </w:abstractNum>
  <w:abstractNum w:abstractNumId="37">
    <w:nsid w:val="5B25ACE2"/>
    <w:multiLevelType w:val="hybridMultilevel"/>
    <w:lvl w:ilvl="0">
      <w:lvlJc w:val="left"/>
      <w:lvlText w:val="(%1)"/>
      <w:numFmt w:val="lowerLetter"/>
      <w:start w:val="2"/>
    </w:lvl>
  </w:abstractNum>
  <w:abstractNum w:abstractNumId="38">
    <w:nsid w:val="175DFCF0"/>
    <w:multiLevelType w:val="hybridMultilevel"/>
    <w:lvl w:ilvl="0">
      <w:lvlJc w:val="left"/>
      <w:lvlText w:val="(%1)"/>
      <w:numFmt w:val="lowerRoman"/>
      <w:start w:val="4"/>
    </w:lvl>
  </w:abstractNum>
  <w:abstractNum w:abstractNumId="39">
    <w:nsid w:val="4F97E3E4"/>
    <w:multiLevelType w:val="hybridMultilevel"/>
    <w:lvl w:ilvl="0">
      <w:lvlJc w:val="left"/>
      <w:lvlText w:val="(%1)"/>
      <w:numFmt w:val="lowerLetter"/>
      <w:start w:val="1"/>
    </w:lvl>
  </w:abstractNum>
  <w:abstractNum w:abstractNumId="40">
    <w:nsid w:val="53B0A9E"/>
    <w:multiLevelType w:val="hybridMultilevel"/>
    <w:lvl w:ilvl="0">
      <w:lvlJc w:val="left"/>
      <w:lvlText w:val="(%1)"/>
      <w:numFmt w:val="lowerLetter"/>
      <w:start w:val="2"/>
    </w:lvl>
  </w:abstractNum>
  <w:abstractNum w:abstractNumId="41">
    <w:nsid w:val="34FD6B4F"/>
    <w:multiLevelType w:val="hybridMultilevel"/>
    <w:lvl w:ilvl="0">
      <w:lvlJc w:val="left"/>
      <w:lvlText w:val="%1"/>
      <w:numFmt w:val="lowerLetter"/>
      <w:start w:val="1"/>
    </w:lvl>
    <w:lvl w:ilvl="1">
      <w:lvlJc w:val="left"/>
      <w:lvlText w:val="(%2)"/>
      <w:numFmt w:val="lowerLetter"/>
      <w:start w:val="6"/>
    </w:lvl>
  </w:abstractNum>
  <w:abstractNum w:abstractNumId="42">
    <w:nsid w:val="5915FF32"/>
    <w:multiLevelType w:val="hybridMultilevel"/>
    <w:lvl w:ilvl="0">
      <w:lvlJc w:val="left"/>
      <w:lvlText w:val="(%1)"/>
      <w:numFmt w:val="lowerLetter"/>
      <w:start w:val="9"/>
    </w:lvl>
    <w:lvl w:ilvl="1">
      <w:lvlJc w:val="left"/>
      <w:lvlText w:val="%2"/>
      <w:numFmt w:val="lowerLetter"/>
      <w:start w:val="1"/>
    </w:lvl>
  </w:abstractNum>
  <w:abstractNum w:abstractNumId="43">
    <w:nsid w:val="56438D15"/>
    <w:multiLevelType w:val="hybridMultilevel"/>
    <w:lvl w:ilvl="0">
      <w:lvlJc w:val="left"/>
      <w:lvlText w:val="(%1)"/>
      <w:numFmt w:val="lowerLetter"/>
      <w:start w:val="12"/>
    </w:lvl>
  </w:abstractNum>
  <w:abstractNum w:abstractNumId="44">
    <w:nsid w:val="519E3149"/>
    <w:multiLevelType w:val="hybridMultilevel"/>
    <w:lvl w:ilvl="0">
      <w:lvlJc w:val="left"/>
      <w:lvlText w:val="(%1)"/>
      <w:numFmt w:val="lowerLetter"/>
      <w:start w:val="1"/>
    </w:lvl>
    <w:lvl w:ilvl="1">
      <w:lvlJc w:val="left"/>
      <w:lvlText w:val="(%2)"/>
      <w:numFmt w:val="lowerRoman"/>
      <w:start w:val="1"/>
    </w:lvl>
  </w:abstractNum>
  <w:abstractNum w:abstractNumId="45">
    <w:nsid w:val="2C6E4AFD"/>
    <w:multiLevelType w:val="hybridMultilevel"/>
    <w:lvl w:ilvl="0">
      <w:lvlJc w:val="left"/>
      <w:lvlText w:val="(%1)"/>
      <w:numFmt w:val="lowerRoman"/>
      <w:start w:val="4"/>
    </w:lvl>
  </w:abstractNum>
  <w:abstractNum w:abstractNumId="46">
    <w:nsid w:val="17A1B582"/>
    <w:multiLevelType w:val="hybridMultilevel"/>
    <w:lvl w:ilvl="0">
      <w:lvlJc w:val="left"/>
      <w:lvlText w:val="%1"/>
      <w:numFmt w:val="upperLetter"/>
      <w:start w:val="1"/>
    </w:lvl>
    <w:lvl w:ilvl="1">
      <w:lvlJc w:val="left"/>
      <w:lvlText w:val="(%2)"/>
      <w:numFmt w:val="lowerRoman"/>
      <w:start w:val="7"/>
    </w:lvl>
  </w:abstractNum>
  <w:abstractNum w:abstractNumId="47">
    <w:nsid w:val="4DF72E4E"/>
    <w:multiLevelType w:val="hybridMultilevel"/>
    <w:lvl w:ilvl="0">
      <w:lvlJc w:val="left"/>
      <w:lvlText w:val="(%1)"/>
      <w:numFmt w:val="upperLetter"/>
      <w:start w:val="2"/>
    </w:lvl>
    <w:lvl w:ilvl="1">
      <w:lvlJc w:val="left"/>
      <w:lvlText w:val="(%2)"/>
      <w:numFmt w:val="lowerRoman"/>
      <w:start w:val="11"/>
    </w:lvl>
  </w:abstractNum>
  <w:abstractNum w:abstractNumId="48">
    <w:nsid w:val="5046B5A9"/>
    <w:multiLevelType w:val="hybridMultilevel"/>
    <w:lvl w:ilvl="0">
      <w:lvlJc w:val="left"/>
      <w:lvlText w:val="%1"/>
      <w:numFmt w:val="lowerLetter"/>
      <w:start w:val="1"/>
    </w:lvl>
    <w:lvl w:ilvl="1">
      <w:lvlJc w:val="left"/>
      <w:lvlText w:val="(%2)"/>
      <w:numFmt w:val="lowerRoman"/>
      <w:start w:val="19"/>
    </w:lvl>
  </w:abstractNum>
  <w:abstractNum w:abstractNumId="49">
    <w:nsid w:val="5D888A08"/>
    <w:multiLevelType w:val="hybridMultilevel"/>
    <w:lvl w:ilvl="0">
      <w:lvlJc w:val="left"/>
      <w:lvlText w:val="(%1)"/>
      <w:numFmt w:val="lowerLetter"/>
      <w:start w:val="2"/>
    </w:lvl>
    <w:lvl w:ilvl="1">
      <w:lvlJc w:val="left"/>
      <w:lvlText w:val="%2"/>
      <w:numFmt w:val="lowerRoman"/>
      <w:start w:val="1"/>
    </w:lvl>
  </w:abstractNum>
  <w:abstractNum w:abstractNumId="50">
    <w:nsid w:val="2A082C70"/>
    <w:multiLevelType w:val="hybridMultilevel"/>
    <w:lvl w:ilvl="0">
      <w:lvlJc w:val="left"/>
      <w:lvlText w:val="(%1)"/>
      <w:numFmt w:val="lowerLetter"/>
      <w:start w:val="1"/>
    </w:lvl>
  </w:abstractNum>
  <w:abstractNum w:abstractNumId="51">
    <w:nsid w:val="5EC6AFD4"/>
    <w:multiLevelType w:val="hybridMultilevel"/>
    <w:lvl w:ilvl="0">
      <w:lvlJc w:val="left"/>
      <w:lvlText w:val="(%1)"/>
      <w:numFmt w:val="lowerLetter"/>
      <w:start w:val="2"/>
    </w:lvl>
  </w:abstractNum>
  <w:abstractNum w:abstractNumId="52">
    <w:nsid w:val="19E21BB2"/>
    <w:multiLevelType w:val="hybridMultilevel"/>
    <w:lvl w:ilvl="0">
      <w:lvlJc w:val="left"/>
      <w:lvlText w:val="%1"/>
      <w:numFmt w:val="lowerRoman"/>
      <w:start w:val="1"/>
    </w:lvl>
    <w:lvl w:ilvl="1">
      <w:lvlJc w:val="left"/>
      <w:lvlText w:val="(%2)"/>
      <w:numFmt w:val="lowerLetter"/>
      <w:start w:val="6"/>
    </w:lvl>
  </w:abstractNum>
  <w:abstractNum w:abstractNumId="53">
    <w:nsid w:val="75E0858A"/>
    <w:multiLevelType w:val="hybridMultilevel"/>
    <w:lvl w:ilvl="0">
      <w:lvlJc w:val="left"/>
      <w:lvlText w:val="(%1)"/>
      <w:numFmt w:val="lowerRoman"/>
      <w:start w:val="4"/>
    </w:lvl>
    <w:lvl w:ilvl="1">
      <w:lvlJc w:val="left"/>
      <w:lvlText w:val="%2"/>
      <w:numFmt w:val="lowerLetter"/>
      <w:start w:val="1"/>
    </w:lvl>
  </w:abstractNum>
  <w:abstractNum w:abstractNumId="54">
    <w:nsid w:val="57A61A29"/>
    <w:multiLevelType w:val="hybridMultilevel"/>
    <w:lvl w:ilvl="0">
      <w:lvlJc w:val="left"/>
      <w:lvlText w:val="(%1)"/>
      <w:numFmt w:val="lowerRoman"/>
      <w:start w:val="6"/>
    </w:lvl>
    <w:lvl w:ilvl="1">
      <w:lvlJc w:val="left"/>
      <w:lvlText w:val="(%2)"/>
      <w:numFmt w:val="lowerLetter"/>
      <w:start w:val="7"/>
    </w:lvl>
  </w:abstractNum>
  <w:abstractNum w:abstractNumId="55">
    <w:nsid w:val="5399C654"/>
    <w:multiLevelType w:val="hybridMultilevel"/>
    <w:lvl w:ilvl="0">
      <w:lvlJc w:val="left"/>
      <w:lvlText w:val="(%1)"/>
      <w:numFmt w:val="lowerLetter"/>
      <w:start w:val="1"/>
    </w:lvl>
  </w:abstractNum>
  <w:abstractNum w:abstractNumId="56">
    <w:nsid w:val="20EE1348"/>
    <w:multiLevelType w:val="hybridMultilevel"/>
    <w:lvl w:ilvl="0">
      <w:lvlJc w:val="left"/>
      <w:lvlText w:val="(%1)"/>
      <w:numFmt w:val="lowerLetter"/>
      <w:start w:val="1"/>
    </w:lvl>
  </w:abstractNum>
  <w:abstractNum w:abstractNumId="57">
    <w:nsid w:val="4427069A"/>
    <w:multiLevelType w:val="hybridMultilevel"/>
    <w:lvl w:ilvl="0">
      <w:lvlJc w:val="left"/>
      <w:lvlText w:val="%1"/>
      <w:numFmt w:val="lowerLetter"/>
      <w:start w:val="1"/>
    </w:lvl>
    <w:lvl w:ilvl="1">
      <w:lvlJc w:val="left"/>
      <w:lvlText w:val="(%2)"/>
      <w:numFmt w:val="lowerLetter"/>
      <w:start w:val="2"/>
    </w:lvl>
  </w:abstractNum>
  <w:abstractNum w:abstractNumId="58">
    <w:nsid w:val="B37E80A"/>
    <w:multiLevelType w:val="hybridMultilevel"/>
    <w:lvl w:ilvl="0">
      <w:lvlJc w:val="left"/>
      <w:lvlText w:val="(%1)"/>
      <w:numFmt w:val="lowerLetter"/>
      <w:start w:val="9"/>
    </w:lvl>
    <w:lvl w:ilvl="1">
      <w:lvlJc w:val="left"/>
      <w:lvlText w:val="(%2)"/>
      <w:numFmt w:val="lowerLetter"/>
      <w:start w:val="4"/>
    </w:lvl>
  </w:abstractNum>
  <w:abstractNum w:abstractNumId="59">
    <w:nsid w:val="2157F6BC"/>
    <w:multiLevelType w:val="hybridMultilevel"/>
    <w:lvl w:ilvl="0">
      <w:lvlJc w:val="left"/>
      <w:lvlText w:val="(%1)"/>
      <w:numFmt w:val="lowerLetter"/>
      <w:start w:val="9"/>
    </w:lvl>
  </w:abstractNum>
  <w:abstractNum w:abstractNumId="60">
    <w:nsid w:val="704E1DD5"/>
    <w:multiLevelType w:val="hybridMultilevel"/>
    <w:lvl w:ilvl="0">
      <w:lvlJc w:val="left"/>
      <w:lvlText w:val="(%1)"/>
      <w:numFmt w:val="lowerLetter"/>
      <w:start w:val="1"/>
    </w:lvl>
  </w:abstractNum>
  <w:abstractNum w:abstractNumId="61">
    <w:nsid w:val="57D2F10E"/>
    <w:multiLevelType w:val="hybridMultilevel"/>
    <w:lvl w:ilvl="0">
      <w:lvlJc w:val="left"/>
      <w:lvlText w:val="%1"/>
      <w:numFmt w:val="lowerRoman"/>
      <w:start w:val="1"/>
    </w:lvl>
    <w:lvl w:ilvl="1">
      <w:lvlJc w:val="left"/>
      <w:lvlText w:val="(%2)"/>
      <w:numFmt w:val="lowerLetter"/>
      <w:start w:val="3"/>
    </w:lvl>
  </w:abstractNum>
  <w:abstractNum w:abstractNumId="62">
    <w:nsid w:val="BFFAE18"/>
    <w:multiLevelType w:val="hybridMultilevel"/>
    <w:lvl w:ilvl="0">
      <w:lvlJc w:val="left"/>
      <w:lvlText w:val="(%1)"/>
      <w:numFmt w:val="lowerRoman"/>
      <w:start w:val="4"/>
    </w:lvl>
    <w:lvl w:ilvl="1">
      <w:lvlJc w:val="left"/>
      <w:lvlText w:val="(%2)"/>
      <w:numFmt w:val="lowerLetter"/>
      <w:start w:val="6"/>
    </w:lvl>
  </w:abstractNum>
  <w:abstractNum w:abstractNumId="63">
    <w:nsid w:val="E3E47A8"/>
    <w:multiLevelType w:val="hybridMultilevel"/>
    <w:lvl w:ilvl="0">
      <w:lvlJc w:val="left"/>
      <w:lvlText w:val="(%1)"/>
      <w:numFmt w:val="lowerLetter"/>
      <w:start w:val="9"/>
    </w:lvl>
  </w:abstractNum>
  <w:abstractNum w:abstractNumId="64">
    <w:nsid w:val="2E48F044"/>
    <w:multiLevelType w:val="hybridMultilevel"/>
    <w:lvl w:ilvl="0">
      <w:lvlJc w:val="left"/>
      <w:lvlText w:val="(%1)"/>
      <w:numFmt w:val="lowerLetter"/>
      <w:start w:val="1"/>
    </w:lvl>
  </w:abstractNum>
  <w:abstractNum w:abstractNumId="65">
    <w:nsid w:val="49D0FEAC"/>
    <w:multiLevelType w:val="hybridMultilevel"/>
    <w:lvl w:ilvl="0">
      <w:lvlJc w:val="left"/>
      <w:lvlText w:val="(%1)"/>
      <w:numFmt w:val="lowerLetter"/>
      <w:start w:val="1"/>
    </w:lvl>
  </w:abstractNum>
  <w:abstractNum w:abstractNumId="66">
    <w:nsid w:val="4BEE5A5B"/>
    <w:multiLevelType w:val="hybridMultilevel"/>
    <w:lvl w:ilvl="0">
      <w:lvlJc w:val="left"/>
      <w:lvlText w:val="(%1)"/>
      <w:numFmt w:val="lowerLetter"/>
      <w:start w:val="1"/>
    </w:lvl>
    <w:lvl w:ilvl="1">
      <w:lvlJc w:val="left"/>
      <w:lvlText w:val="(%2)"/>
      <w:numFmt w:val="lowerRoman"/>
      <w:start w:val="1"/>
    </w:lvl>
  </w:abstractNum>
  <w:abstractNum w:abstractNumId="67">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68">
    <w:nsid w:val="24F6A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9">
    <w:nsid w:val="634C574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0">
    <w:nsid w:val="24E99DD7"/>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71">
    <w:nsid w:val="2A31B62D"/>
    <w:multiLevelType w:val="hybridMultilevel"/>
    <w:lvl w:ilvl="0">
      <w:lvlJc w:val="left"/>
      <w:lvlText w:val="(%1)"/>
      <w:numFmt w:val="lowerLetter"/>
      <w:start w:val="1"/>
    </w:lvl>
  </w:abstractNum>
  <w:abstractNum w:abstractNumId="72">
    <w:nsid w:val="1849C29B"/>
    <w:multiLevelType w:val="hybridMultilevel"/>
    <w:lvl w:ilvl="0">
      <w:lvlJc w:val="left"/>
      <w:lvlText w:val="%1"/>
      <w:numFmt w:val="lowerRoman"/>
      <w:start w:val="1"/>
    </w:lvl>
    <w:lvl w:ilvl="1">
      <w:lvlJc w:val="left"/>
      <w:lvlText w:val="(%2)"/>
      <w:numFmt w:val="lowerLetter"/>
      <w:start w:val="3"/>
    </w:lvl>
  </w:abstractNum>
  <w:abstractNum w:abstractNumId="73">
    <w:nsid w:val="7DFF9D09"/>
    <w:multiLevelType w:val="hybridMultilevel"/>
    <w:lvl w:ilvl="0">
      <w:lvlJc w:val="left"/>
      <w:lvlText w:val="(%1)"/>
      <w:numFmt w:val="lowerRoman"/>
      <w:start w:val="3"/>
    </w:lvl>
    <w:lvl w:ilvl="1">
      <w:lvlJc w:val="left"/>
      <w:lvlText w:val="(%2)"/>
      <w:numFmt w:val="lowerLetter"/>
      <w:start w:val="4"/>
    </w:lvl>
  </w:abstractNum>
  <w:abstractNum w:abstractNumId="74">
    <w:nsid w:val="754342"/>
    <w:multiLevelType w:val="hybridMultilevel"/>
    <w:lvl w:ilvl="0">
      <w:lvlJc w:val="left"/>
      <w:lvlText w:val="(%1)"/>
      <w:numFmt w:val="lowerLetter"/>
      <w:start w:val="5"/>
    </w:lvl>
  </w:abstractNum>
  <w:abstractNum w:abstractNumId="75">
    <w:nsid w:val="69E7F3E5"/>
    <w:multiLevelType w:val="hybridMultilevel"/>
    <w:lvl w:ilvl="0">
      <w:lvlJc w:val="left"/>
      <w:lvlText w:val="(%1)"/>
      <w:numFmt w:val="lowerLetter"/>
      <w:start w:val="1"/>
    </w:lvl>
  </w:abstractNum>
  <w:abstractNum w:abstractNumId="76">
    <w:nsid w:val="2A6DE806"/>
    <w:multiLevelType w:val="hybridMultilevel"/>
    <w:lvl w:ilvl="0">
      <w:lvlJc w:val="left"/>
      <w:lvlText w:val="%1"/>
      <w:numFmt w:val="lowerLetter"/>
      <w:start w:val="1"/>
    </w:lvl>
    <w:lvl w:ilvl="1">
      <w:lvlJc w:val="left"/>
      <w:lvlText w:val="(%2)"/>
      <w:numFmt w:val="lowerLetter"/>
      <w:start w:val="3"/>
    </w:lvl>
  </w:abstractNum>
  <w:abstractNum w:abstractNumId="77">
    <w:nsid w:val="1816F8C4"/>
    <w:multiLevelType w:val="hybridMultilevel"/>
    <w:lvl w:ilvl="0">
      <w:lvlJc w:val="left"/>
      <w:lvlText w:val="(%1)"/>
      <w:numFmt w:val="lowerLetter"/>
      <w:start w:val="9"/>
    </w:lvl>
    <w:lvl w:ilvl="1">
      <w:lvlJc w:val="left"/>
      <w:lvlText w:val="%2"/>
      <w:numFmt w:val="lowerLetter"/>
      <w:start w:val="1"/>
    </w:lvl>
  </w:abstractNum>
  <w:abstractNum w:abstractNumId="78">
    <w:nsid w:val="37DF2233"/>
    <w:multiLevelType w:val="hybridMultilevel"/>
    <w:lvl w:ilvl="0">
      <w:lvlJc w:val="left"/>
      <w:lvlText w:val="(%1)"/>
      <w:numFmt w:val="lowerLetter"/>
      <w:start w:val="61"/>
    </w:lvl>
    <w:lvl w:ilvl="1">
      <w:lvlJc w:val="left"/>
      <w:lvlText w:val="%2"/>
      <w:numFmt w:val="lowerLetter"/>
      <w:start w:val="1"/>
    </w:lvl>
  </w:abstractNum>
  <w:abstractNum w:abstractNumId="79">
    <w:nsid w:val="7AB49DAF"/>
    <w:multiLevelType w:val="hybridMultilevel"/>
    <w:lvl w:ilvl="0">
      <w:lvlJc w:val="left"/>
      <w:lvlText w:val="(%1)"/>
      <w:numFmt w:val="lowerLetter"/>
      <w:start w:val="8"/>
    </w:lvl>
  </w:abstractNum>
  <w:abstractNum w:abstractNumId="80">
    <w:nsid w:val="759F82CD"/>
    <w:multiLevelType w:val="hybridMultilevel"/>
    <w:lvl w:ilvl="0">
      <w:lvlJc w:val="left"/>
      <w:lvlText w:val="%1"/>
      <w:numFmt w:val="lowerLetter"/>
      <w:start w:val="1"/>
    </w:lvl>
    <w:lvl w:ilvl="1">
      <w:lvlJc w:val="left"/>
      <w:lvlText w:val="(%2)"/>
      <w:numFmt w:val="lowerLetter"/>
      <w:start w:val="1"/>
    </w:lvl>
  </w:abstractNum>
  <w:abstractNum w:abstractNumId="81">
    <w:nsid w:val="61E74EA3"/>
    <w:multiLevelType w:val="hybridMultilevel"/>
    <w:lvl w:ilvl="0">
      <w:lvlJc w:val="left"/>
      <w:lvlText w:val="(%1)"/>
      <w:numFmt w:val="lowerLetter"/>
      <w:start w:val="61"/>
    </w:lvl>
    <w:lvl w:ilvl="1">
      <w:lvlJc w:val="left"/>
      <w:lvlText w:val="(%2)"/>
      <w:numFmt w:val="lowerLetter"/>
      <w:start w:val="2"/>
    </w:lvl>
  </w:abstractNum>
  <w:abstractNum w:abstractNumId="82">
    <w:nsid w:val="597B4D84"/>
    <w:multiLevelType w:val="hybridMultilevel"/>
    <w:lvl w:ilvl="0">
      <w:lvlJc w:val="left"/>
      <w:lvlText w:val="(%1)"/>
      <w:numFmt w:val="lowerLetter"/>
      <w:start w:val="5"/>
    </w:lvl>
  </w:abstractNum>
  <w:abstractNum w:abstractNumId="83">
    <w:nsid w:val="F819E7F"/>
    <w:multiLevelType w:val="hybridMultilevel"/>
    <w:lvl w:ilvl="0">
      <w:lvlJc w:val="left"/>
      <w:lvlText w:val="(%1)"/>
      <w:numFmt w:val="lowerLetter"/>
      <w:start w:val="11"/>
    </w:lvl>
  </w:abstractNum>
  <w:abstractNum w:abstractNumId="84">
    <w:nsid w:val="57C7D42D"/>
    <w:multiLevelType w:val="hybridMultilevel"/>
    <w:lvl w:ilvl="0">
      <w:lvlJc w:val="left"/>
      <w:lvlText w:val="(%1)"/>
      <w:numFmt w:val="lowerLetter"/>
      <w:start w:val="1"/>
    </w:lvl>
    <w:lvl w:ilvl="1">
      <w:lvlJc w:val="left"/>
      <w:lvlText w:val="(%2)"/>
      <w:numFmt w:val="lowerRoman"/>
      <w:start w:val="1"/>
    </w:lvl>
  </w:abstractNum>
  <w:abstractNum w:abstractNumId="85">
    <w:nsid w:val="312167AD"/>
    <w:multiLevelType w:val="hybridMultilevel"/>
    <w:lvl w:ilvl="0">
      <w:lvlJc w:val="left"/>
      <w:lvlText w:val="(%1)"/>
      <w:numFmt w:val="lowerRoman"/>
      <w:start w:val="6"/>
    </w:lvl>
  </w:abstractNum>
  <w:abstractNum w:abstractNumId="86">
    <w:nsid w:val="631B64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7"/>
    </w:lvl>
  </w:abstractNum>
  <w:abstractNum w:abstractNumId="87">
    <w:nsid w:val="78B5E77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8"/>
    </w:lvl>
  </w:abstractNum>
  <w:abstractNum w:abstractNumId="88">
    <w:nsid w:val="75486E47"/>
    <w:multiLevelType w:val="hybridMultilevel"/>
    <w:lvl w:ilvl="0">
      <w:lvlJc w:val="left"/>
      <w:lvlText w:val="(%1)"/>
      <w:numFmt w:val="lowerLetter"/>
      <w:start w:val="1"/>
    </w:lvl>
  </w:abstractNum>
  <w:abstractNum w:abstractNumId="89">
    <w:nsid w:val="6E534CDE"/>
    <w:multiLevelType w:val="hybridMultilevel"/>
    <w:lvl w:ilvl="0">
      <w:lvlJc w:val="left"/>
      <w:lvlText w:val="(%1)"/>
      <w:numFmt w:val="lowerLetter"/>
      <w:start w:val="9"/>
    </w:lvl>
    <w:lvl w:ilvl="1">
      <w:lvlJc w:val="left"/>
      <w:lvlText w:val="(%2)"/>
      <w:numFmt w:val="lowerLetter"/>
      <w:start w:val="3"/>
    </w:lvl>
  </w:abstractNum>
  <w:abstractNum w:abstractNumId="90">
    <w:nsid w:val="1A0DDE32"/>
    <w:multiLevelType w:val="hybridMultilevel"/>
    <w:lvl w:ilvl="0">
      <w:lvlJc w:val="left"/>
      <w:lvlText w:val="(%1)"/>
      <w:numFmt w:val="lowerLetter"/>
      <w:start w:val="9"/>
    </w:lvl>
    <w:lvl w:ilvl="1">
      <w:lvlJc w:val="left"/>
      <w:lvlText w:val="(%2)"/>
      <w:numFmt w:val="lowerLetter"/>
      <w:start w:val="4"/>
    </w:lvl>
  </w:abstractNum>
  <w:abstractNum w:abstractNumId="91">
    <w:nsid w:val="65968C1C"/>
    <w:multiLevelType w:val="hybridMultilevel"/>
    <w:lvl w:ilvl="0">
      <w:lvlJc w:val="left"/>
      <w:lvlText w:val="(%1)"/>
      <w:numFmt w:val="lowerLetter"/>
      <w:start w:val="7"/>
    </w:lvl>
  </w:abstractNum>
  <w:abstractNum w:abstractNumId="92">
    <w:nsid w:val="46263DEC"/>
    <w:multiLevelType w:val="hybridMultilevel"/>
    <w:lvl w:ilvl="0">
      <w:lvlJc w:val="left"/>
      <w:lvlText w:val="(%1)"/>
      <w:numFmt w:val="lowerLetter"/>
      <w:start w:val="1"/>
    </w:lvl>
  </w:abstractNum>
  <w:abstractNum w:abstractNumId="93">
    <w:nsid w:val="260D8C4A"/>
    <w:multiLevelType w:val="hybridMultilevel"/>
    <w:lvl w:ilvl="0">
      <w:lvlJc w:val="left"/>
      <w:lvlText w:val="(%1)"/>
      <w:numFmt w:val="lowerLetter"/>
      <w:start w:val="1"/>
    </w:lvl>
  </w:abstractNum>
  <w:abstractNum w:abstractNumId="94">
    <w:nsid w:val="73D4D3C4"/>
    <w:multiLevelType w:val="hybridMultilevel"/>
    <w:lvl w:ilvl="0">
      <w:lvlJc w:val="left"/>
      <w:lvlText w:val="(%1)"/>
      <w:numFmt w:val="lowerLetter"/>
      <w:start w:val="8"/>
    </w:lvl>
  </w:abstractNum>
  <w:abstractNum w:abstractNumId="95">
    <w:nsid w:val="746F2E30"/>
    <w:multiLevelType w:val="hybridMultilevel"/>
    <w:lvl w:ilvl="0">
      <w:lvlJc w:val="left"/>
      <w:lvlText w:val="(%1)"/>
      <w:numFmt w:val="lowerLetter"/>
      <w:start w:val="35"/>
    </w:lvl>
    <w:lvl w:ilvl="1">
      <w:lvlJc w:val="left"/>
      <w:lvlText w:val="(%2)"/>
      <w:numFmt w:val="lowerLetter"/>
      <w:start w:val="10"/>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3"/>
    </w:lvl>
  </w:abstractNum>
  <w:abstractNum w:abstractNumId="98">
    <w:nsid w:val="49C0E823"/>
    <w:multiLevelType w:val="hybridMultilevel"/>
    <w:lvl w:ilvl="0">
      <w:lvlJc w:val="left"/>
      <w:lvlText w:val="(%1)"/>
      <w:numFmt w:val="lowerLetter"/>
      <w:start w:val="9"/>
    </w:lvl>
  </w:abstractNum>
  <w:abstractNum w:abstractNumId="99">
    <w:nsid w:val="14D53685"/>
    <w:multiLevelType w:val="hybridMultilevel"/>
    <w:lvl w:ilvl="0">
      <w:lvlJc w:val="left"/>
      <w:lvlText w:val="(%1)"/>
      <w:numFmt w:val="decimal"/>
      <w:start w:val="1"/>
    </w:lvl>
  </w:abstractNum>
  <w:abstractNum w:abstractNumId="100">
    <w:nsid w:val="230F856C"/>
    <w:multiLevelType w:val="hybridMultilevel"/>
    <w:lvl w:ilvl="0">
      <w:lvlJc w:val="left"/>
      <w:lvlText w:val="%1"/>
      <w:numFmt w:val="lowerLetter"/>
      <w:start w:val="1"/>
    </w:lvl>
    <w:lvl w:ilvl="1">
      <w:lvlJc w:val="left"/>
      <w:lvlText w:val="(%2)"/>
      <w:numFmt w:val="lowerLetter"/>
      <w:start w:val="1"/>
    </w:lvl>
  </w:abstractNum>
  <w:abstractNum w:abstractNumId="101">
    <w:nsid w:val="6EAA85FB"/>
    <w:multiLevelType w:val="hybridMultilevel"/>
    <w:lvl w:ilvl="0">
      <w:lvlJc w:val="left"/>
      <w:lvlText w:val="(%1)"/>
      <w:numFmt w:val="lowerLetter"/>
      <w:start w:val="61"/>
    </w:lvl>
    <w:lvl w:ilvl="1">
      <w:lvlJc w:val="left"/>
      <w:lvlText w:val="(%2)"/>
      <w:numFmt w:val="lowerLetter"/>
      <w:start w:val="2"/>
    </w:lvl>
  </w:abstractNum>
  <w:abstractNum w:abstractNumId="102">
    <w:nsid w:val="3F06ECB2"/>
    <w:multiLevelType w:val="hybridMultilevel"/>
    <w:lvl w:ilvl="0">
      <w:lvlJc w:val="left"/>
      <w:lvlText w:val="(%1)"/>
      <w:numFmt w:val="lowerLetter"/>
      <w:start w:val="1"/>
    </w:lvl>
    <w:lvl w:ilvl="1">
      <w:lvlJc w:val="left"/>
      <w:lvlText w:val="(%2)"/>
      <w:numFmt w:val="lowerRoman"/>
      <w:start w:val="1"/>
    </w:lvl>
  </w:abstractNum>
  <w:abstractNum w:abstractNumId="103">
    <w:nsid w:val="3B594807"/>
    <w:multiLevelType w:val="hybridMultilevel"/>
    <w:lvl w:ilvl="0">
      <w:lvlJc w:val="left"/>
      <w:lvlText w:val="%1"/>
      <w:numFmt w:val="upperLetter"/>
      <w:start w:val="1"/>
    </w:lvl>
    <w:lvl w:ilvl="1">
      <w:lvlJc w:val="left"/>
      <w:lvlText w:val="(%2)"/>
      <w:numFmt w:val="lowerRoman"/>
      <w:start w:val="5"/>
    </w:lvl>
  </w:abstractNum>
  <w:abstractNum w:abstractNumId="104">
    <w:nsid w:val="6CAA2304"/>
    <w:multiLevelType w:val="hybridMultilevel"/>
    <w:lvl w:ilvl="0">
      <w:lvlJc w:val="left"/>
      <w:lvlText w:val="(%1)"/>
      <w:numFmt w:val="upperLetter"/>
      <w:start w:val="2"/>
    </w:lvl>
    <w:lvl w:ilvl="1">
      <w:lvlJc w:val="left"/>
      <w:lvlText w:val="%2"/>
      <w:numFmt w:val="lowerRoman"/>
      <w:start w:val="1"/>
    </w:lvl>
  </w:abstractNum>
  <w:abstractNum w:abstractNumId="105">
    <w:nsid w:val="3F7C2FF4"/>
    <w:multiLevelType w:val="hybridMultilevel"/>
    <w:lvl w:ilvl="0">
      <w:lvlJc w:val="left"/>
      <w:lvlText w:val="(%1)"/>
      <w:numFmt w:val="upperLetter"/>
      <w:start w:val="4"/>
    </w:lvl>
    <w:lvl w:ilvl="1">
      <w:lvlJc w:val="left"/>
      <w:lvlText w:val="(%2)"/>
      <w:numFmt w:val="lowerRoman"/>
      <w:start w:val="7"/>
    </w:lvl>
  </w:abstractNum>
  <w:abstractNum w:abstractNumId="106">
    <w:nsid w:val="25413BEC"/>
    <w:multiLevelType w:val="hybridMultilevel"/>
    <w:lvl w:ilvl="0">
      <w:lvlJc w:val="left"/>
      <w:lvlText w:val="(%1)"/>
      <w:numFmt w:val="upperLetter"/>
      <w:start w:val="3"/>
    </w:lvl>
    <w:lvl w:ilvl="1">
      <w:lvlJc w:val="left"/>
      <w:lvlText w:val="(%2)"/>
      <w:numFmt w:val="lowerRoman"/>
      <w:start w:val="10"/>
    </w:lvl>
  </w:abstractNum>
  <w:abstractNum w:abstractNumId="107">
    <w:nsid w:val="17180B0B"/>
    <w:multiLevelType w:val="hybridMultilevel"/>
    <w:lvl w:ilvl="0">
      <w:lvlJc w:val="left"/>
      <w:lvlText w:val="(%1)"/>
      <w:numFmt w:val="lowerRoman"/>
      <w:start w:val="14"/>
    </w:lvl>
  </w:abstractNum>
  <w:abstractNum w:abstractNumId="108">
    <w:nsid w:val="579328B9"/>
    <w:multiLevelType w:val="hybridMultilevel"/>
    <w:lvl w:ilvl="0">
      <w:lvlJc w:val="left"/>
      <w:lvlText w:val="(%1)"/>
      <w:numFmt w:val="lowerLetter"/>
      <w:start w:val="3"/>
    </w:lvl>
  </w:abstractNum>
  <w:abstractNum w:abstractNumId="109">
    <w:nsid w:val="5D205E20"/>
    <w:multiLevelType w:val="hybridMultilevel"/>
    <w:lvl w:ilvl="0">
      <w:lvlJc w:val="left"/>
      <w:lvlText w:val="(%1)"/>
      <w:numFmt w:val="lowerLetter"/>
      <w:start w:val="1"/>
    </w:lvl>
    <w:lvl w:ilvl="1">
      <w:lvlJc w:val="left"/>
      <w:lvlText w:val="(%2)"/>
      <w:numFmt w:val="lowerRoman"/>
      <w:start w:val="1"/>
    </w:lvl>
  </w:abstractNum>
  <w:abstractNum w:abstractNumId="110">
    <w:nsid w:val="11CCA8B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111">
    <w:nsid w:val="4D32AB86"/>
    <w:multiLevelType w:val="hybridMultilevel"/>
    <w:lvl w:ilvl="0">
      <w:lvlJc w:val="left"/>
      <w:lvlText w:val="(%1)"/>
      <w:numFmt w:val="upperLetter"/>
      <w:start w:val="5"/>
    </w:lvl>
    <w:lvl w:ilvl="1">
      <w:lvlJc w:val="left"/>
      <w:lvlText w:val="(%2)"/>
      <w:numFmt w:val="lowerRoman"/>
      <w:start w:val="10"/>
    </w:lvl>
    <w:lvl w:ilvl="2">
      <w:lvlJc w:val="left"/>
      <w:lvlText w:val="(%3)"/>
      <w:numFmt w:val="lowerRoman"/>
      <w:start w:val="7"/>
    </w:lvl>
  </w:abstractNum>
  <w:abstractNum w:abstractNumId="112">
    <w:nsid w:val="3F07ACC3"/>
    <w:multiLevelType w:val="hybridMultilevel"/>
    <w:lvl w:ilvl="0">
      <w:lvlJc w:val="left"/>
      <w:lvlText w:val="(%1)"/>
      <w:numFmt w:val="lowerRoman"/>
      <w:start w:val="12"/>
    </w:lvl>
  </w:abstractNum>
  <w:abstractNum w:abstractNumId="113">
    <w:nsid w:val="6B47F63E"/>
    <w:multiLevelType w:val="hybridMultilevel"/>
    <w:lvl w:ilvl="0">
      <w:lvlJc w:val="left"/>
      <w:lvlText w:val="(%1)"/>
      <w:numFmt w:val="lowerLetter"/>
      <w:start w:val="1"/>
    </w:lvl>
  </w:abstractNum>
  <w:abstractNum w:abstractNumId="114">
    <w:nsid w:val="5CB44A05"/>
    <w:multiLevelType w:val="hybridMultilevel"/>
    <w:lvl w:ilvl="0">
      <w:lvlJc w:val="left"/>
      <w:lvlText w:val="(%1)"/>
      <w:numFmt w:val="lowerLetter"/>
      <w:start w:val="4"/>
    </w:lvl>
    <w:lvl w:ilvl="1">
      <w:lvlJc w:val="left"/>
      <w:lvlText w:val="(%2)"/>
      <w:numFmt w:val="lowerLetter"/>
      <w:start w:val="2"/>
    </w:lvl>
  </w:abstractNum>
  <w:abstractNum w:abstractNumId="115">
    <w:nsid w:val="16CF80F1"/>
    <w:multiLevelType w:val="hybridMultilevel"/>
    <w:lvl w:ilvl="0">
      <w:lvlJc w:val="left"/>
      <w:lvlText w:val="%1"/>
      <w:numFmt w:val="upperLetter"/>
      <w:start w:val="1"/>
    </w:lvl>
    <w:lvl w:ilvl="1">
      <w:lvlJc w:val="left"/>
      <w:lvlText w:val="(%2)"/>
      <w:numFmt w:val="lowerLetter"/>
      <w:start w:val="1"/>
    </w:lvl>
  </w:abstractNum>
  <w:abstractNum w:abstractNumId="116">
    <w:nsid w:val="1C695DEC"/>
    <w:multiLevelType w:val="hybridMultilevel"/>
    <w:lvl w:ilvl="0">
      <w:lvlJc w:val="left"/>
      <w:lvlText w:val="(%1)"/>
      <w:numFmt w:val="upperLetter"/>
      <w:start w:val="4"/>
    </w:lvl>
    <w:lvl w:ilvl="1">
      <w:lvlJc w:val="left"/>
      <w:lvlText w:val="%2"/>
      <w:numFmt w:val="lowerLetter"/>
      <w:start w:val="1"/>
    </w:lvl>
  </w:abstractNum>
  <w:abstractNum w:abstractNumId="117">
    <w:nsid w:val="3FCFAED9"/>
    <w:multiLevelType w:val="hybridMultilevel"/>
    <w:lvl w:ilvl="0">
      <w:lvlJc w:val="left"/>
      <w:lvlText w:val="(%1)"/>
      <w:numFmt w:val="lowerLetter"/>
      <w:start w:val="1"/>
    </w:lvl>
    <w:lvl w:ilvl="1">
      <w:lvlJc w:val="left"/>
      <w:lvlText w:val="(%2)"/>
      <w:numFmt w:val="lowerLetter"/>
      <w:start w:val="2"/>
    </w:lvl>
  </w:abstractNum>
  <w:abstractNum w:abstractNumId="118">
    <w:nsid w:val="F856867"/>
    <w:multiLevelType w:val="hybridMultilevel"/>
    <w:lvl w:ilvl="0">
      <w:lvlJc w:val="left"/>
      <w:lvlText w:val="(%1)"/>
      <w:numFmt w:val="lowerLetter"/>
      <w:start w:val="1"/>
    </w:lvl>
  </w:abstractNum>
  <w:abstractNum w:abstractNumId="119">
    <w:nsid w:val="11B1CC33"/>
    <w:multiLevelType w:val="hybridMultilevel"/>
    <w:lvl w:ilvl="0">
      <w:lvlJc w:val="left"/>
      <w:lvlText w:val="(%1)"/>
      <w:numFmt w:val="lowerLetter"/>
      <w:start w:val="4"/>
    </w:lvl>
  </w:abstractNum>
  <w:abstractNum w:abstractNumId="120">
    <w:nsid w:val="2E22FBB7"/>
    <w:multiLevelType w:val="hybridMultilevel"/>
    <w:lvl w:ilvl="0">
      <w:lvlJc w:val="left"/>
      <w:lvlText w:val="%1"/>
      <w:numFmt w:val="decimal"/>
      <w:start w:val="1"/>
    </w:lvl>
    <w:lvl w:ilvl="1">
      <w:lvlJc w:val="left"/>
      <w:lvlText w:val="(%2)"/>
      <w:numFmt w:val="lowerLetter"/>
      <w:start w:val="1"/>
    </w:lvl>
  </w:abstractNum>
  <w:abstractNum w:abstractNumId="121">
    <w:nsid w:val="29934699"/>
    <w:multiLevelType w:val="hybridMultilevel"/>
    <w:lvl w:ilvl="0">
      <w:lvlJc w:val="left"/>
      <w:lvlText w:val="(%1)"/>
      <w:numFmt w:val="decimal"/>
      <w:start w:val="4"/>
    </w:lvl>
    <w:lvl w:ilvl="1">
      <w:lvlJc w:val="left"/>
      <w:lvlText w:val="%2"/>
      <w:numFmt w:val="lowerLetter"/>
      <w:start w:val="1"/>
    </w:lvl>
  </w:abstractNum>
  <w:abstractNum w:abstractNumId="122">
    <w:nsid w:val="77485850"/>
    <w:multiLevelType w:val="hybridMultilevel"/>
    <w:lvl w:ilvl="0">
      <w:lvlJc w:val="left"/>
      <w:lvlText w:val="(%1)"/>
      <w:numFmt w:val="lowerLetter"/>
      <w:start w:val="2"/>
    </w:lvl>
  </w:abstractNum>
  <w:abstractNum w:abstractNumId="123">
    <w:nsid w:val="744939A3"/>
    <w:multiLevelType w:val="hybridMultilevel"/>
    <w:lvl w:ilvl="0">
      <w:lvlJc w:val="left"/>
      <w:lvlText w:val="(%1)"/>
      <w:numFmt w:val="lowerLetter"/>
      <w:start w:val="5"/>
    </w:lvl>
  </w:abstractNum>
  <w:abstractNum w:abstractNumId="124">
    <w:nsid w:val="4FA0D2E3"/>
    <w:multiLevelType w:val="hybridMultilevel"/>
    <w:lvl w:ilvl="0">
      <w:lvlJc w:val="left"/>
      <w:lvlText w:val="(%1)"/>
      <w:numFmt w:val="lowerLetter"/>
      <w:start w:val="1"/>
    </w:lvl>
  </w:abstractNum>
  <w:abstractNum w:abstractNumId="125">
    <w:nsid w:val="6B1D2C14"/>
    <w:multiLevelType w:val="hybridMultilevel"/>
    <w:lvl w:ilvl="0">
      <w:lvlJc w:val="left"/>
      <w:lvlText w:val="(%1)"/>
      <w:numFmt w:val="lowerLetter"/>
      <w:start w:val="3"/>
    </w:lvl>
  </w:abstractNum>
  <w:abstractNum w:abstractNumId="126">
    <w:nsid w:val="68B867D3"/>
    <w:multiLevelType w:val="hybridMultilevel"/>
    <w:lvl w:ilvl="0">
      <w:lvlJc w:val="left"/>
      <w:lvlText w:val="(%1)"/>
      <w:numFmt w:val="lowerLetter"/>
      <w:start w:val="1"/>
    </w:lvl>
  </w:abstractNum>
  <w:abstractNum w:abstractNumId="127">
    <w:nsid w:val="3F7F5DD9"/>
    <w:multiLevelType w:val="hybridMultilevel"/>
    <w:lvl w:ilvl="0">
      <w:lvlJc w:val="left"/>
      <w:lvlText w:val="(%1)"/>
      <w:numFmt w:val="lowerLetter"/>
      <w:start w:val="1"/>
    </w:lvl>
  </w:abstractNum>
  <w:abstractNum w:abstractNumId="128">
    <w:nsid w:val="2AE05A34"/>
    <w:multiLevelType w:val="hybridMultilevel"/>
    <w:lvl w:ilvl="0">
      <w:lvlJc w:val="left"/>
      <w:lvlText w:val="(%1)"/>
      <w:numFmt w:val="lowerLetter"/>
      <w:start w:val="2"/>
    </w:lvl>
  </w:abstractNum>
  <w:abstractNum w:abstractNumId="129">
    <w:nsid w:val="32794FF7"/>
    <w:multiLevelType w:val="hybridMultilevel"/>
    <w:lvl w:ilvl="0">
      <w:lvlJc w:val="left"/>
      <w:lvlText w:val="(%1)"/>
      <w:numFmt w:val="lowerLetter"/>
      <w:start w:val="1"/>
    </w:lvl>
  </w:abstractNum>
  <w:abstractNum w:abstractNumId="130">
    <w:nsid w:val="5454945E"/>
    <w:multiLevelType w:val="hybridMultilevel"/>
    <w:lvl w:ilvl="0">
      <w:lvlJc w:val="left"/>
      <w:lvlText w:val="(%1)"/>
      <w:numFmt w:val="lowerLetter"/>
      <w:start w:val="3"/>
    </w:lvl>
  </w:abstractNum>
  <w:abstractNum w:abstractNumId="131">
    <w:nsid w:val="4DEFDFA0"/>
    <w:multiLevelType w:val="hybridMultilevel"/>
    <w:lvl w:ilvl="0">
      <w:lvlJc w:val="left"/>
      <w:lvlText w:val="(%1)"/>
      <w:numFmt w:val="lowerLetter"/>
      <w:start w:val="1"/>
    </w:lvl>
  </w:abstractNum>
  <w:abstractNum w:abstractNumId="132">
    <w:nsid w:val="2123D5F2"/>
    <w:multiLevelType w:val="hybridMultilevel"/>
    <w:lvl w:ilvl="0">
      <w:lvlJc w:val="left"/>
      <w:lvlText w:val="(%1)"/>
      <w:numFmt w:val="lowerLetter"/>
      <w:start w:val="1"/>
    </w:lvl>
  </w:abstractNum>
  <w:abstractNum w:abstractNumId="133">
    <w:nsid w:val="135B8110"/>
    <w:multiLevelType w:val="hybridMultilevel"/>
    <w:lvl w:ilvl="0">
      <w:lvlJc w:val="left"/>
      <w:lvlText w:val="(%1)"/>
      <w:numFmt w:val="lowerLetter"/>
      <w:start w:val="4"/>
    </w:lvl>
  </w:abstractNum>
  <w:abstractNum w:abstractNumId="134">
    <w:nsid w:val="94927A8"/>
    <w:multiLevelType w:val="hybridMultilevel"/>
    <w:lvl w:ilvl="0">
      <w:lvlJc w:val="left"/>
      <w:lvlText w:val="(%1)"/>
      <w:numFmt w:val="lowerLetter"/>
      <w:start w:val="2"/>
    </w:lvl>
  </w:abstractNum>
  <w:abstractNum w:abstractNumId="135">
    <w:nsid w:val="DCDF8F6"/>
    <w:multiLevelType w:val="hybridMultilevel"/>
    <w:lvl w:ilvl="0">
      <w:lvlJc w:val="left"/>
      <w:lvlText w:val="(%1)"/>
      <w:numFmt w:val="lowerLetter"/>
      <w:start w:val="1"/>
    </w:lvl>
  </w:abstractNum>
  <w:abstractNum w:abstractNumId="136">
    <w:nsid w:val="52D7B105"/>
    <w:multiLevelType w:val="hybridMultilevel"/>
    <w:lvl w:ilvl="0">
      <w:lvlJc w:val="left"/>
      <w:lvlText w:val="(%1)"/>
      <w:numFmt w:val="lowerLetter"/>
      <w:start w:val="4"/>
    </w:lvl>
  </w:abstractNum>
  <w:abstractNum w:abstractNumId="137">
    <w:nsid w:val="2E8A6394"/>
    <w:multiLevelType w:val="hybridMultilevel"/>
    <w:lvl w:ilvl="0">
      <w:lvlJc w:val="left"/>
      <w:lvlText w:val="(%1)"/>
      <w:numFmt w:val="lowerLetter"/>
      <w:start w:val="1"/>
    </w:lvl>
  </w:abstractNum>
  <w:abstractNum w:abstractNumId="138">
    <w:nsid w:val="24E60401"/>
    <w:multiLevelType w:val="hybridMultilevel"/>
    <w:lvl w:ilvl="0">
      <w:lvlJc w:val="left"/>
      <w:lvlText w:val="(%1)"/>
      <w:numFmt w:val="lowerLetter"/>
      <w:start w:val="2"/>
    </w:lvl>
  </w:abstractNum>
  <w:abstractNum w:abstractNumId="139">
    <w:nsid w:val="2A6AD9BE"/>
    <w:multiLevelType w:val="hybridMultilevel"/>
    <w:lvl w:ilvl="0">
      <w:lvlJc w:val="left"/>
      <w:lvlText w:val="(%1)"/>
      <w:numFmt w:val="lowerLetter"/>
      <w:start w:val="1"/>
    </w:lvl>
  </w:abstractNum>
  <w:abstractNum w:abstractNumId="140">
    <w:nsid w:val="BAAC1B4"/>
    <w:multiLevelType w:val="hybridMultilevel"/>
    <w:lvl w:ilvl="0">
      <w:lvlJc w:val="left"/>
      <w:lvlText w:val="(%1)"/>
      <w:numFmt w:val="lowerLetter"/>
      <w:start w:val="2"/>
    </w:lvl>
  </w:abstractNum>
  <w:abstractNum w:abstractNumId="141">
    <w:nsid w:val="36B2ACBC"/>
    <w:multiLevelType w:val="hybridMultilevel"/>
    <w:lvl w:ilvl="0">
      <w:lvlJc w:val="left"/>
      <w:lvlText w:val="(%1)"/>
      <w:numFmt w:val="lowerLetter"/>
      <w:start w:val="1"/>
    </w:lvl>
  </w:abstractNum>
  <w:abstractNum w:abstractNumId="142">
    <w:nsid w:val="779D8544"/>
    <w:multiLevelType w:val="hybridMultilevel"/>
    <w:lvl w:ilvl="0">
      <w:lvlJc w:val="left"/>
      <w:lvlText w:val="(%1)"/>
      <w:numFmt w:val="lowerLetter"/>
      <w:start w:val="2"/>
    </w:lvl>
  </w:abstractNum>
  <w:abstractNum w:abstractNumId="143">
    <w:nsid w:val="4AB26E78"/>
    <w:multiLevelType w:val="hybridMultilevel"/>
    <w:lvl w:ilvl="0">
      <w:lvlJc w:val="left"/>
      <w:lvlText w:val="(%1)"/>
      <w:numFmt w:val="lowerLetter"/>
      <w:start w:val="35"/>
    </w:lvl>
    <w:lvl w:ilvl="1">
      <w:lvlJc w:val="left"/>
      <w:lvlText w:val="(%2)"/>
      <w:numFmt w:val="lowerLetter"/>
      <w:start w:val="9"/>
    </w:lvl>
  </w:abstractNum>
  <w:abstractNum w:abstractNumId="144">
    <w:nsid w:val="21FAA2FA"/>
    <w:multiLevelType w:val="hybridMultilevel"/>
    <w:lvl w:ilvl="0">
      <w:lvlJc w:val="left"/>
      <w:lvlText w:val="%1"/>
      <w:numFmt w:val="lowerLetter"/>
      <w:start w:val="1"/>
    </w:lvl>
    <w:lvl w:ilvl="1">
      <w:lvlJc w:val="left"/>
      <w:lvlText w:val="(%2)"/>
      <w:numFmt w:val="lowerLetter"/>
      <w:start w:val="1"/>
    </w:lvl>
  </w:abstractNum>
  <w:abstractNum w:abstractNumId="145">
    <w:nsid w:val="5451CF49"/>
    <w:multiLevelType w:val="hybridMultilevel"/>
    <w:lvl w:ilvl="0">
      <w:lvlJc w:val="left"/>
      <w:lvlText w:val="(%1)"/>
      <w:numFmt w:val="lowerLetter"/>
      <w:start w:val="35"/>
    </w:lvl>
    <w:lvl w:ilvl="1">
      <w:lvlJc w:val="left"/>
      <w:lvlText w:val="%2"/>
      <w:numFmt w:val="lowerLetter"/>
      <w:start w:val="1"/>
    </w:lvl>
  </w:abstractNum>
  <w:abstractNum w:abstractNumId="146">
    <w:nsid w:val="6181EF69"/>
    <w:multiLevelType w:val="hybridMultilevel"/>
    <w:lvl w:ilvl="0">
      <w:lvlJc w:val="left"/>
      <w:lvlText w:val="(%1)"/>
      <w:numFmt w:val="lowerLetter"/>
      <w:start w:val="3"/>
    </w:lvl>
  </w:abstractNum>
  <w:abstractNum w:abstractNumId="147">
    <w:nsid w:val="3E6400E6"/>
    <w:multiLevelType w:val="hybridMultilevel"/>
    <w:lvl w:ilvl="0">
      <w:lvlJc w:val="left"/>
      <w:lvlText w:val="(%1)"/>
      <w:numFmt w:val="lowerLetter"/>
      <w:start w:val="8"/>
    </w:lvl>
  </w:abstractNum>
  <w:abstractNum w:abstractNumId="148">
    <w:nsid w:val="14217E23"/>
    <w:multiLevelType w:val="hybridMultilevel"/>
    <w:lvl w:ilvl="0">
      <w:lvlJc w:val="left"/>
      <w:lvlText w:val="(%1)"/>
      <w:numFmt w:val="lowerLetter"/>
      <w:start w:val="1"/>
    </w:lvl>
  </w:abstractNum>
  <w:abstractNum w:abstractNumId="149">
    <w:nsid w:val="710757D0"/>
    <w:multiLevelType w:val="hybridMultilevel"/>
    <w:lvl w:ilvl="0">
      <w:lvlJc w:val="left"/>
      <w:lvlText w:val="(%1)"/>
      <w:numFmt w:val="lowerLetter"/>
      <w:start w:val="2"/>
    </w:lvl>
  </w:abstractNum>
  <w:abstractNum w:abstractNumId="150">
    <w:nsid w:val="5015CD1A"/>
    <w:multiLevelType w:val="hybridMultilevel"/>
    <w:lvl w:ilvl="0">
      <w:lvlJc w:val="left"/>
      <w:lvlText w:val="%1."/>
      <w:numFmt w:val="decimal"/>
      <w:start w:val="1"/>
    </w:lvl>
    <w:lvl w:ilvl="1">
      <w:lvlJc w:val="left"/>
      <w:lvlText w:val="(%2)"/>
      <w:numFmt w:val="lowerLetter"/>
      <w:start w:val="1"/>
    </w:lvl>
  </w:abstractNum>
  <w:abstractNum w:abstractNumId="151">
    <w:nsid w:val="424479DA"/>
    <w:multiLevelType w:val="hybridMultilevel"/>
    <w:lvl w:ilvl="0">
      <w:lvlJc w:val="left"/>
      <w:lvlText w:val="%1."/>
      <w:numFmt w:val="decimal"/>
      <w:start w:val="2"/>
    </w:lvl>
    <w:lvl w:ilvl="1">
      <w:lvlJc w:val="left"/>
      <w:lvlText w:val="(%2)"/>
      <w:numFmt w:val="lowerLetter"/>
      <w:start w:val="1"/>
    </w:lvl>
  </w:abstractNum>
  <w:abstractNum w:abstractNumId="152">
    <w:nsid w:val="1A9A9E69"/>
    <w:multiLevelType w:val="hybridMultilevel"/>
    <w:lvl w:ilvl="0">
      <w:lvlJc w:val="left"/>
      <w:lvlText w:val="%1."/>
      <w:numFmt w:val="decimal"/>
      <w:start w:val="3"/>
    </w:lvl>
    <w:lvl w:ilvl="1">
      <w:lvlJc w:val="left"/>
      <w:lvlText w:val="(%2)"/>
      <w:numFmt w:val="lowerLetter"/>
      <w:start w:val="1"/>
    </w:lvl>
  </w:abstractNum>
  <w:abstractNum w:abstractNumId="153">
    <w:nsid w:val="475E256A"/>
    <w:multiLevelType w:val="hybridMultilevel"/>
    <w:lvl w:ilvl="0">
      <w:lvlJc w:val="left"/>
      <w:lvlText w:val="%1."/>
      <w:numFmt w:val="decimal"/>
      <w:start w:val="5"/>
    </w:lvl>
  </w:abstractNum>
  <w:abstractNum w:abstractNumId="154">
    <w:nsid w:val="368DB37E"/>
    <w:multiLevelType w:val="hybridMultilevel"/>
    <w:lvl w:ilvl="0">
      <w:lvlJc w:val="left"/>
      <w:lvlText w:val="%1."/>
      <w:numFmt w:val="decimal"/>
      <w:start w:val="9"/>
    </w:lvl>
    <w:lvl w:ilvl="1">
      <w:lvlJc w:val="left"/>
      <w:lvlText w:val="(%2)"/>
      <w:numFmt w:val="lowerLetter"/>
      <w:start w:val="1"/>
    </w:lvl>
  </w:abstractNum>
  <w:abstractNum w:abstractNumId="155">
    <w:nsid w:val="6A3B714C"/>
    <w:multiLevelType w:val="hybridMultilevel"/>
    <w:lvl w:ilvl="0">
      <w:lvlJc w:val="left"/>
      <w:lvlText w:val="%1"/>
      <w:numFmt w:val="decimal"/>
      <w:start w:val="1"/>
    </w:lvl>
    <w:lvl w:ilvl="1">
      <w:lvlJc w:val="left"/>
      <w:lvlText w:val="(%2)"/>
      <w:numFmt w:val="lowerLetter"/>
      <w:start w:val="5"/>
    </w:lvl>
  </w:abstractNum>
  <w:abstractNum w:abstractNumId="156">
    <w:nsid w:val="327B517E"/>
    <w:multiLevelType w:val="hybridMultilevel"/>
    <w:lvl w:ilvl="0">
      <w:lvlJc w:val="left"/>
      <w:lvlText w:val="%1."/>
      <w:numFmt w:val="decimal"/>
      <w:start w:val="10"/>
    </w:lvl>
    <w:lvl w:ilvl="1">
      <w:lvlJc w:val="left"/>
      <w:lvlText w:val="%2"/>
      <w:numFmt w:val="lowerLetter"/>
      <w:start w:val="1"/>
    </w:lvl>
  </w:abstractNum>
  <w:abstractNum w:abstractNumId="157">
    <w:nsid w:val="1F461B51"/>
    <w:multiLevelType w:val="hybridMultilevel"/>
    <w:lvl w:ilvl="0">
      <w:lvlJc w:val="left"/>
      <w:lvlText w:val="%1."/>
      <w:numFmt w:val="decimal"/>
      <w:start w:val="11"/>
    </w:lvl>
    <w:lvl w:ilvl="1">
      <w:lvlJc w:val="left"/>
      <w:lvlText w:val="(%2)"/>
      <w:numFmt w:val="lowerLetter"/>
      <w:start w:val="1"/>
    </w:lvl>
  </w:abstractNum>
  <w:abstractNum w:abstractNumId="158">
    <w:nsid w:val="29BACF25"/>
    <w:multiLevelType w:val="hybridMultilevel"/>
    <w:lvl w:ilvl="0">
      <w:lvlJc w:val="left"/>
      <w:lvlText w:val="(%1)"/>
      <w:numFmt w:val="lowerLetter"/>
      <w:start w:val="4"/>
    </w:lvl>
  </w:abstractNum>
  <w:abstractNum w:abstractNumId="159">
    <w:nsid w:val="5D5BABB3"/>
    <w:multiLevelType w:val="hybridMultilevel"/>
    <w:lvl w:ilvl="0">
      <w:lvlJc w:val="left"/>
      <w:lvlText w:val="%1"/>
      <w:numFmt w:val="lowerLetter"/>
      <w:start w:val="1"/>
    </w:lvl>
    <w:lvl w:ilvl="1">
      <w:lvlJc w:val="left"/>
      <w:lvlText w:val="(%2)"/>
      <w:numFmt w:val="lowerLetter"/>
      <w:start w:val="8"/>
    </w:lvl>
  </w:abstractNum>
  <w:abstractNum w:abstractNumId="160">
    <w:nsid w:val="51BF6B48"/>
    <w:multiLevelType w:val="hybridMultilevel"/>
    <w:lvl w:ilvl="0">
      <w:lvlJc w:val="left"/>
      <w:lvlText w:val="(%1)"/>
      <w:numFmt w:val="lowerLetter"/>
      <w:start w:val="12"/>
    </w:lvl>
    <w:lvl w:ilvl="1">
      <w:lvlJc w:val="left"/>
      <w:lvlText w:val="%2"/>
      <w:numFmt w:val="lowerLetter"/>
      <w:start w:val="1"/>
    </w:lvl>
  </w:abstractNum>
  <w:abstractNum w:abstractNumId="161">
    <w:nsid w:val="7E0F6384"/>
    <w:multiLevelType w:val="hybridMultilevel"/>
    <w:lvl w:ilvl="0">
      <w:lvlJc w:val="left"/>
      <w:lvlText w:val="%1."/>
      <w:numFmt w:val="decimal"/>
      <w:start w:val="1"/>
    </w:lvl>
  </w:abstractNum>
  <w:abstractNum w:abstractNumId="162">
    <w:nsid w:val="2B4B8B5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3">
    <w:nsid w:val="72E3413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4">
    <w:nsid w:val="116AE494"/>
    <w:multiLevelType w:val="hybridMultilevel"/>
    <w:lvl w:ilvl="0">
      <w:lvlJc w:val="left"/>
      <w:lvlText w:val="%1"/>
      <w:numFmt w:val="decimal"/>
      <w:start w:val="1"/>
    </w:lvl>
    <w:lvl w:ilvl="1">
      <w:lvlJc w:val="left"/>
      <w:lvlText w:val="(%2)"/>
      <w:numFmt w:val="lowerLetter"/>
      <w:start w:val="4"/>
    </w:lvl>
  </w:abstractNum>
  <w:abstractNum w:abstractNumId="165">
    <w:nsid w:val="3494B2FB"/>
    <w:multiLevelType w:val="hybridMultilevel"/>
    <w:lvl w:ilvl="0">
      <w:lvlJc w:val="left"/>
      <w:lvlText w:val="%1."/>
      <w:numFmt w:val="decimal"/>
      <w:start w:val="2"/>
    </w:lvl>
    <w:lvl w:ilvl="1">
      <w:lvlJc w:val="left"/>
      <w:lvlText w:val="(%2)"/>
      <w:numFmt w:val="lowerLetter"/>
      <w:start w:val="1"/>
    </w:lvl>
  </w:abstractNum>
  <w:abstractNum w:abstractNumId="166">
    <w:nsid w:val="B13A31"/>
    <w:multiLevelType w:val="hybridMultilevel"/>
    <w:lvl w:ilvl="0">
      <w:lvlJc w:val="left"/>
      <w:lvlText w:val="%1."/>
      <w:numFmt w:val="decimal"/>
      <w:start w:val="3"/>
    </w:lvl>
    <w:lvl w:ilvl="1">
      <w:lvlJc w:val="left"/>
      <w:lvlText w:val="(%2)"/>
      <w:numFmt w:val="lowerLetter"/>
      <w:start w:val="1"/>
    </w:lvl>
  </w:abstractNum>
  <w:abstractNum w:abstractNumId="167">
    <w:nsid w:val="64429599"/>
    <w:multiLevelType w:val="hybridMultilevel"/>
    <w:lvl w:ilvl="0">
      <w:lvlJc w:val="left"/>
      <w:lvlText w:val="%1."/>
      <w:numFmt w:val="decimal"/>
      <w:start w:val="5"/>
    </w:lvl>
  </w:abstractNum>
  <w:abstractNum w:abstractNumId="168">
    <w:nsid w:val="631F1690"/>
    <w:multiLevelType w:val="hybridMultilevel"/>
    <w:lvl w:ilvl="0">
      <w:lvlJc w:val="left"/>
      <w:lvlText w:val="%1."/>
      <w:numFmt w:val="decimal"/>
      <w:start w:val="9"/>
    </w:lvl>
    <w:lvl w:ilvl="1">
      <w:lvlJc w:val="left"/>
      <w:lvlText w:val="(%2)"/>
      <w:numFmt w:val="lowerLetter"/>
      <w:start w:val="1"/>
    </w:lvl>
  </w:abstractNum>
  <w:abstractNum w:abstractNumId="169">
    <w:nsid w:val="25973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70">
    <w:nsid w:val="EAD6F5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71">
    <w:nsid w:val="6EC9D844"/>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72">
    <w:nsid w:val="5C49EAEE"/>
    <w:multiLevelType w:val="hybridMultilevel"/>
    <w:lvl w:ilvl="0">
      <w:lvlJc w:val="left"/>
      <w:lvlText w:val="(%1)"/>
      <w:numFmt w:val="lowerLetter"/>
      <w:start w:val="3"/>
    </w:lvl>
  </w:abstractNum>
  <w:abstractNum w:abstractNumId="173">
    <w:nsid w:val="64AF49B"/>
    <w:multiLevelType w:val="hybridMultilevel"/>
    <w:lvl w:ilvl="0">
      <w:lvlJc w:val="left"/>
      <w:lvlText w:val="(%1)"/>
      <w:numFmt w:val="lowerLetter"/>
      <w:start w:val="7"/>
    </w:lvl>
  </w:abstractNum>
  <w:abstractNum w:abstractNumId="174">
    <w:nsid w:val="397C46BC"/>
    <w:multiLevelType w:val="hybridMultilevel"/>
    <w:lvl w:ilvl="0">
      <w:lvlJc w:val="left"/>
      <w:lvlText w:val="(%1)"/>
      <w:numFmt w:val="lowerLetter"/>
      <w:start w:val="10"/>
    </w:lvl>
  </w:abstractNum>
  <w:abstractNum w:abstractNumId="175">
    <w:nsid w:val="7E448DE9"/>
    <w:multiLevelType w:val="hybridMultilevel"/>
    <w:lvl w:ilvl="0">
      <w:lvlJc w:val="left"/>
      <w:lvlText w:val="(%1)"/>
      <w:numFmt w:val="decimal"/>
      <w:start w:val="1"/>
    </w:lvl>
  </w:abstractNum>
  <w:abstractNum w:abstractNumId="176">
    <w:nsid w:val="5A9CC3E5"/>
    <w:multiLevelType w:val="hybridMultilevel"/>
    <w:lvl w:ilvl="0">
      <w:lvlJc w:val="left"/>
      <w:lvlText w:val="(%1)"/>
      <w:numFmt w:val="lowerLetter"/>
      <w:start w:val="1"/>
    </w:lvl>
    <w:lvl w:ilvl="1">
      <w:lvlJc w:val="left"/>
      <w:lvlText w:val="(%2)"/>
      <w:numFmt w:val="decimal"/>
      <w:start w:val="1"/>
    </w:lvl>
  </w:abstractNum>
  <w:abstractNum w:abstractNumId="177">
    <w:nsid w:val="1AFE3625"/>
    <w:multiLevelType w:val="hybridMultilevel"/>
    <w:lvl w:ilvl="0">
      <w:lvlJc w:val="left"/>
      <w:lvlText w:val="(%1)"/>
      <w:numFmt w:val="decimal"/>
      <w:start w:val="2"/>
    </w:lvl>
  </w:abstractNum>
  <w:abstractNum w:abstractNumId="178">
    <w:nsid w:val="3CA88ECF"/>
    <w:multiLevelType w:val="hybridMultilevel"/>
    <w:lvl w:ilvl="0">
      <w:lvlJc w:val="left"/>
      <w:lvlText w:val="(%1)"/>
      <w:numFmt w:val="lowerLetter"/>
      <w:start w:val="2"/>
    </w:lvl>
  </w:abstractNum>
  <w:abstractNum w:abstractNumId="179">
    <w:nsid w:val="6EBE4208"/>
    <w:multiLevelType w:val="hybridMultilevel"/>
    <w:lvl w:ilvl="0">
      <w:lvlJc w:val="left"/>
      <w:lvlText w:val="(%1)"/>
      <w:numFmt w:val="lowerLetter"/>
      <w:start w:val="9"/>
    </w:lvl>
  </w:abstractNum>
  <w:abstractNum w:abstractNumId="180">
    <w:nsid w:val="C058DF5"/>
    <w:multiLevelType w:val="hybridMultilevel"/>
    <w:lvl w:ilvl="0">
      <w:lvlJc w:val="left"/>
      <w:lvlText w:val="(%1)"/>
      <w:numFmt w:val="lowerRoman"/>
      <w:start w:val="5"/>
    </w:lvl>
  </w:abstractNum>
  <w:abstractNum w:abstractNumId="181">
    <w:nsid w:val="CBE5BE9"/>
    <w:multiLevelType w:val="hybridMultilevel"/>
    <w:lvl w:ilvl="0">
      <w:lvlJc w:val="left"/>
      <w:lvlText w:val="(%1)"/>
      <w:numFmt w:val="upperLetter"/>
      <w:start w:val="2"/>
    </w:lvl>
  </w:abstractNum>
  <w:abstractNum w:abstractNumId="182">
    <w:nsid w:val="3102BBE2"/>
    <w:multiLevelType w:val="hybridMultilevel"/>
    <w:lvl w:ilvl="0">
      <w:lvlJc w:val="left"/>
      <w:lvlText w:val="%1"/>
      <w:numFmt w:val="lowerLetter"/>
      <w:start w:val="1"/>
    </w:lvl>
    <w:lvl w:ilvl="1">
      <w:lvlJc w:val="left"/>
      <w:lvlText w:val="(%2)"/>
      <w:numFmt w:val="lowerLetter"/>
      <w:start w:val="1"/>
    </w:lvl>
  </w:abstractNum>
  <w:abstractNum w:abstractNumId="183">
    <w:nsid w:val="26A02C5E"/>
    <w:multiLevelType w:val="hybridMultilevel"/>
    <w:lvl w:ilvl="0">
      <w:lvlJc w:val="left"/>
      <w:lvlText w:val="(%1)"/>
      <w:numFmt w:val="lowerLetter"/>
      <w:start w:val="9"/>
    </w:lvl>
    <w:lvl w:ilvl="1">
      <w:lvlJc w:val="left"/>
      <w:lvlText w:val="(%2)"/>
      <w:numFmt w:val="lowerLetter"/>
      <w:start w:val="2"/>
    </w:lvl>
  </w:abstractNum>
  <w:abstractNum w:abstractNumId="184">
    <w:nsid w:val="541C8153"/>
    <w:multiLevelType w:val="hybridMultilevel"/>
    <w:lvl w:ilvl="0">
      <w:lvlJc w:val="left"/>
      <w:lvlText w:val="%1"/>
      <w:numFmt w:val="decimal"/>
      <w:start w:val="1"/>
    </w:lvl>
    <w:lvl w:ilvl="1">
      <w:lvlJc w:val="left"/>
      <w:lvlText w:val="(%2)"/>
      <w:numFmt w:val="lowerLetter"/>
      <w:start w:val="4"/>
    </w:lvl>
  </w:abstractNum>
  <w:abstractNum w:abstractNumId="185">
    <w:nsid w:val="67906F60"/>
    <w:multiLevelType w:val="hybridMultilevel"/>
    <w:lvl w:ilvl="0">
      <w:lvlJc w:val="left"/>
      <w:lvlText w:val="(%1)"/>
      <w:numFmt w:val="decimal"/>
      <w:start w:val="3"/>
    </w:lvl>
    <w:lvl w:ilvl="1">
      <w:lvlJc w:val="left"/>
      <w:lvlText w:val="(%2)"/>
      <w:numFmt w:val="lowerLetter"/>
      <w:start w:val="5"/>
    </w:lvl>
  </w:abstractNum>
  <w:abstractNum w:abstractNumId="186">
    <w:nsid w:val="10DB9DAA"/>
    <w:multiLevelType w:val="hybridMultilevel"/>
    <w:lvl w:ilvl="0">
      <w:lvlJc w:val="left"/>
      <w:lvlText w:val="(%1)"/>
      <w:numFmt w:val="lowerLetter"/>
      <w:start w:val="1"/>
    </w:lvl>
  </w:abstractNum>
  <w:abstractNum w:abstractNumId="187">
    <w:nsid w:val="697D2D2"/>
    <w:multiLevelType w:val="hybridMultilevel"/>
    <w:lvl w:ilvl="0">
      <w:lvlJc w:val="left"/>
      <w:lvlText w:val="(%1)"/>
      <w:numFmt w:val="lowerLetter"/>
      <w:start w:val="2"/>
    </w:lvl>
  </w:abstractNum>
  <w:abstractNum w:abstractNumId="188">
    <w:nsid w:val="6D68AB2"/>
    <w:multiLevelType w:val="hybridMultilevel"/>
    <w:lvl w:ilvl="0">
      <w:lvlJc w:val="left"/>
      <w:lvlText w:val="(%1)"/>
      <w:numFmt w:val="lowerLetter"/>
      <w:start w:val="1"/>
    </w:lvl>
  </w:abstractNum>
  <w:abstractNum w:abstractNumId="189">
    <w:nsid w:val="3A966CD0"/>
    <w:multiLevelType w:val="hybridMultilevel"/>
    <w:lvl w:ilvl="0">
      <w:lvlJc w:val="left"/>
      <w:lvlText w:val="(%1)"/>
      <w:numFmt w:val="lowerLetter"/>
      <w:start w:val="1"/>
    </w:lvl>
  </w:abstractNum>
  <w:abstractNum w:abstractNumId="190">
    <w:nsid w:val="63F37E85"/>
    <w:multiLevelType w:val="hybridMultilevel"/>
    <w:lvl w:ilvl="0">
      <w:lvlJc w:val="left"/>
      <w:lvlText w:val="(%1)"/>
      <w:numFmt w:val="lowerLetter"/>
      <w:start w:val="1"/>
    </w:lvl>
  </w:abstractNum>
  <w:abstractNum w:abstractNumId="191">
    <w:nsid w:val="5895F5FA"/>
    <w:multiLevelType w:val="hybridMultilevel"/>
    <w:lvl w:ilvl="0">
      <w:lvlJc w:val="left"/>
      <w:lvlText w:val="(%1)"/>
      <w:numFmt w:val="lowerLetter"/>
      <w:start w:val="2"/>
    </w:lvl>
  </w:abstractNum>
  <w:abstractNum w:abstractNumId="192">
    <w:nsid w:val="38A5D054"/>
    <w:multiLevelType w:val="hybridMultilevel"/>
    <w:lvl w:ilvl="0">
      <w:lvlJc w:val="left"/>
      <w:lvlText w:val="(%1)"/>
      <w:numFmt w:val="lowerLetter"/>
      <w:start w:val="1"/>
    </w:lvl>
  </w:abstractNum>
  <w:abstractNum w:abstractNumId="193">
    <w:nsid w:val="F3F09D8"/>
    <w:multiLevelType w:val="hybridMultilevel"/>
    <w:lvl w:ilvl="0">
      <w:lvlJc w:val="left"/>
      <w:lvlText w:val="(%1)"/>
      <w:numFmt w:val="lowerLetter"/>
      <w:start w:val="8"/>
    </w:lvl>
  </w:abstractNum>
  <w:abstractNum w:abstractNumId="194">
    <w:nsid w:val="4B793735"/>
    <w:multiLevelType w:val="hybridMultilevel"/>
    <w:lvl w:ilvl="0">
      <w:lvlJc w:val="left"/>
      <w:lvlText w:val="(%1)"/>
      <w:numFmt w:val="lowerLetter"/>
      <w:start w:val="16"/>
    </w:lvl>
  </w:abstractNum>
  <w:abstractNum w:abstractNumId="195">
    <w:nsid w:val="4A10B4E8"/>
    <w:multiLevelType w:val="hybridMultilevel"/>
    <w:lvl w:ilvl="0">
      <w:lvlJc w:val="left"/>
      <w:lvlText w:val="(%1)"/>
      <w:numFmt w:val="lowerLetter"/>
      <w:start w:val="1"/>
    </w:lvl>
  </w:abstractNum>
  <w:abstractNum w:abstractNumId="196">
    <w:nsid w:val="43D3BCD4"/>
    <w:multiLevelType w:val="hybridMultilevel"/>
    <w:lvl w:ilvl="0">
      <w:lvlJc w:val="left"/>
      <w:lvlText w:val="(%1)"/>
      <w:numFmt w:val="lowerLetter"/>
      <w:start w:val="5"/>
    </w:lvl>
  </w:abstractNum>
  <w:abstractNum w:abstractNumId="197">
    <w:nsid w:val="4C2A7166"/>
    <w:multiLevelType w:val="hybridMultilevel"/>
    <w:lvl w:ilvl="0">
      <w:lvlJc w:val="left"/>
      <w:lvlText w:val="(%1)"/>
      <w:numFmt w:val="lowerLetter"/>
      <w:start w:val="1"/>
    </w:lvl>
  </w:abstractNum>
  <w:abstractNum w:abstractNumId="198">
    <w:nsid w:val="2E534A82"/>
    <w:multiLevelType w:val="hybridMultilevel"/>
    <w:lvl w:ilvl="0">
      <w:lvlJc w:val="left"/>
      <w:lvlText w:val="(%1)"/>
      <w:numFmt w:val="lowerLetter"/>
      <w:start w:val="1"/>
    </w:lvl>
  </w:abstractNum>
  <w:abstractNum w:abstractNumId="199">
    <w:nsid w:val="26F2D364"/>
    <w:multiLevelType w:val="hybridMultilevel"/>
    <w:lvl w:ilvl="0">
      <w:lvlJc w:val="left"/>
      <w:lvlText w:val="(%1)"/>
      <w:numFmt w:val="lowerLetter"/>
      <w:start w:val="1"/>
    </w:lvl>
    <w:lvl w:ilvl="1">
      <w:lvlJc w:val="left"/>
      <w:lvlText w:val="(%2)"/>
      <w:numFmt w:val="lowerRoman"/>
      <w:start w:val="1"/>
    </w:lvl>
  </w:abstractNum>
  <w:abstractNum w:abstractNumId="200">
    <w:nsid w:val="71C1AF98"/>
    <w:multiLevelType w:val="hybridMultilevel"/>
    <w:lvl w:ilvl="0">
      <w:lvlJc w:val="left"/>
      <w:lvlText w:val="%1"/>
      <w:numFmt w:val="lowerLetter"/>
      <w:start w:val="1"/>
    </w:lvl>
    <w:lvl w:ilvl="1">
      <w:lvlJc w:val="left"/>
      <w:lvlText w:val="(%2)"/>
      <w:numFmt w:val="lowerRoman"/>
      <w:start w:val="8"/>
    </w:lvl>
  </w:abstractNum>
  <w:abstractNum w:abstractNumId="201">
    <w:nsid w:val="3D00B9D9"/>
    <w:multiLevelType w:val="hybridMultilevel"/>
    <w:lvl w:ilvl="0">
      <w:lvlJc w:val="left"/>
      <w:lvlText w:val="(%1)"/>
      <w:numFmt w:val="lowerLetter"/>
      <w:start w:val="2"/>
    </w:lvl>
    <w:lvl w:ilvl="1">
      <w:lvlJc w:val="left"/>
      <w:lvlText w:val="%2"/>
      <w:numFmt w:val="lowerRoman"/>
      <w:start w:val="1"/>
    </w:lvl>
  </w:abstractNum>
  <w:abstractNum w:abstractNumId="202">
    <w:nsid w:val="15BCABA8"/>
    <w:multiLevelType w:val="hybridMultilevel"/>
    <w:lvl w:ilvl="0">
      <w:lvlJc w:val="left"/>
      <w:lvlText w:val="(%1)"/>
      <w:numFmt w:val="lowerLetter"/>
      <w:start w:val="2"/>
    </w:lvl>
  </w:abstractNum>
  <w:abstractNum w:abstractNumId="203">
    <w:nsid w:val="4E0B9A87"/>
    <w:multiLevelType w:val="hybridMultilevel"/>
    <w:lvl w:ilvl="0">
      <w:lvlJc w:val="left"/>
      <w:lvlText w:val="(%1)"/>
      <w:numFmt w:val="lowerLetter"/>
      <w:start w:val="1"/>
    </w:lvl>
  </w:abstractNum>
  <w:abstractNum w:abstractNumId="204">
    <w:nsid w:val="434BAE75"/>
    <w:multiLevelType w:val="hybridMultilevel"/>
    <w:lvl w:ilvl="0">
      <w:lvlJc w:val="left"/>
      <w:lvlText w:val="(%1)"/>
      <w:numFmt w:val="lowerLetter"/>
      <w:start w:val="1"/>
    </w:lvl>
  </w:abstractNum>
  <w:abstractNum w:abstractNumId="205">
    <w:nsid w:val="4F38F265"/>
    <w:multiLevelType w:val="hybridMultilevel"/>
    <w:lvl w:ilvl="0">
      <w:lvlJc w:val="left"/>
      <w:lvlText w:val="•"/>
      <w:numFmt w:val="bullet"/>
      <w:start w:val="1"/>
    </w:lvl>
    <w:lvl w:ilvl="1">
      <w:lvlJc w:val="left"/>
      <w:lvlText w:val="•"/>
      <w:numFmt w:val="bullet"/>
      <w:start w:val="1"/>
    </w:lvl>
  </w:abstractNum>
  <w:abstractNum w:abstractNumId="206">
    <w:nsid w:val="4C502870"/>
    <w:multiLevelType w:val="hybridMultilevel"/>
    <w:lvl w:ilvl="0">
      <w:lvlJc w:val="left"/>
      <w:lvlText w:val="(%1)"/>
      <w:numFmt w:val="decimal"/>
      <w:start w:val="3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2024-01-30T07:49:08Z</dcterms:created>
  <dcterms:modified xsi:type="dcterms:W3CDTF">2024-01-30T07:49:08Z</dcterms:modified>
</cp:coreProperties>
</file>