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One Kendall Square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Cambridge, MA 02139</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January 10, 2020</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Transmission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355"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b w:val="1"/>
          <w:bCs w:val="1"/>
          <w:color w:val="auto"/>
        </w:rPr>
        <w:t>AVROBIO, Inc.</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Registration Statement on Form S-3 filed December 20, 2019 (File No. 333-235641)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Pursuant to Rule 461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AVROBIO, Inc. (the “</w:t>
      </w:r>
      <w:r>
        <w:rPr>
          <w:rFonts w:ascii="Arial" w:cs="Arial" w:eastAsia="Arial" w:hAnsi="Arial"/>
          <w:sz w:val="18"/>
          <w:szCs w:val="18"/>
          <w:b w:val="1"/>
          <w:bCs w:val="1"/>
          <w:color w:val="auto"/>
        </w:rPr>
        <w:t>Company</w:t>
      </w:r>
      <w:r>
        <w:rPr>
          <w:rFonts w:ascii="Arial" w:cs="Arial" w:eastAsia="Arial" w:hAnsi="Arial"/>
          <w:sz w:val="18"/>
          <w:szCs w:val="18"/>
          <w:color w:val="auto"/>
        </w:rPr>
        <w:t>”) hereby requests that the effective date of the above-referenced registration statement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be accelerated to January 14, 2020, at 4:01 pm Eastern Time, or as soon thereafter as practicable, unless we or our outside counsel, Goodwin Procter LLP, request by telephone that such Registration Statement be declared effective at some other time. In making this acceleration request, the Company acknowledges that it is aware of its responsibilities under the Act.</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If you have any questions regarding this request, please contact James Xu of Goodwin Procter LLP at (617) 570-1483.</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auto"/>
        </w:rPr>
        <w:t>[Remainder of page intentionally blank]</w:t>
      </w:r>
    </w:p>
    <w:p>
      <w:pPr>
        <w:sectPr>
          <w:pgSz w:w="11900" w:h="16838" w:orient="portrait"/>
          <w:cols w:equalWidth="0" w:num="1">
            <w:col w:w="10860"/>
          </w:cols>
          <w:pgMar w:left="440" w:top="229" w:right="599" w:bottom="1440" w:gutter="0" w:footer="0" w:header="0"/>
        </w:sectPr>
      </w:pPr>
    </w:p>
    <w:bookmarkStart w:id="1" w:name="page2"/>
    <w:bookmarkEnd w:id="1"/>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Sincerely,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AVROBIO, INC.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Geoff MacKay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right"/>
        <w:ind w:right="659"/>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6"/>
          <w:szCs w:val="16"/>
          <w:color w:val="auto"/>
        </w:rPr>
        <w:t xml:space="preserve">Erik Ostrowski, </w:t>
      </w:r>
      <w:r>
        <w:rPr>
          <w:rFonts w:ascii="Arial" w:cs="Arial" w:eastAsia="Arial" w:hAnsi="Arial"/>
          <w:sz w:val="16"/>
          <w:szCs w:val="16"/>
          <w:i w:val="1"/>
          <w:iCs w:val="1"/>
          <w:color w:val="auto"/>
        </w:rPr>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Arthur R. McGivern, Esq., </w:t>
      </w:r>
      <w:r>
        <w:rPr>
          <w:rFonts w:ascii="Arial" w:cs="Arial" w:eastAsia="Arial" w:hAnsi="Arial"/>
          <w:sz w:val="18"/>
          <w:szCs w:val="18"/>
          <w:i w:val="1"/>
          <w:iCs w:val="1"/>
          <w:color w:val="auto"/>
        </w:rPr>
        <w:t>Goodwin Procter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James Xu, Esq., </w:t>
      </w:r>
      <w:r>
        <w:rPr>
          <w:rFonts w:ascii="Arial" w:cs="Arial" w:eastAsia="Arial" w:hAnsi="Arial"/>
          <w:sz w:val="18"/>
          <w:szCs w:val="18"/>
          <w:i w:val="1"/>
          <w:iCs w:val="1"/>
          <w:color w:val="auto"/>
        </w:rPr>
        <w:t>Goodwin Procter LLP</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2020-02-13T23:10:19Z</dcterms:created>
  <dcterms:modified xsi:type="dcterms:W3CDTF">2020-02-13T23:10:19Z</dcterms:modified>
</cp:coreProperties>
</file>