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173990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7"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previously disclosed in the Registration Statement on Form S-1 (File No. 333-225213) (the “Registration Statement”) of AVROBIO, Inc. (the “Company”), the Company elected Phillip B. Donenberg to the Board of Directors of the Company (the “Board”), effective June 20, 2018 immediately following the effectiveness of the Registration Statement. Also as previously disclosed in the Registration Statement, Mr. Donenberg became the Chair of the Company’s Audit Committee of the Board (the “Audit Committee”). Mr. Donenberg will serve as a Class III director, to serve until the Company’s annual meeting of stockholders following December 31, 2021, or until his successor is duly elected and qualified or his earlier resignation or removal.</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Mr. Donenberg will be compensated for his service as a non-employee director under the Company’s Non-Employee Director Compensation Policy (the “Policy”). In connection with his election and in accordance with the Policy, the Company granted Mr. Donenberg an option to purchase 18,743 shares of the Company’s common stock pursuant to the Company’s 2018 Stock Option and Incentive Plan. As a non-employee director, Mr. Donenberg is also entitled to receive an annual service retainer of $55,000, including $5,000 for his service as the Chair of the Audit Committee, and additional annual stock option awards, subject to his continued service on the Board.</w:t>
      </w:r>
    </w:p>
    <w:p>
      <w:pPr>
        <w:spacing w:after="0" w:line="188" w:lineRule="exact"/>
        <w:rPr>
          <w:sz w:val="20"/>
          <w:szCs w:val="20"/>
          <w:color w:val="auto"/>
        </w:rPr>
      </w:pPr>
    </w:p>
    <w:p>
      <w:pPr>
        <w:ind w:right="580" w:firstLine="456"/>
        <w:spacing w:after="0" w:line="291" w:lineRule="auto"/>
        <w:rPr>
          <w:sz w:val="20"/>
          <w:szCs w:val="20"/>
          <w:color w:val="auto"/>
        </w:rPr>
      </w:pPr>
      <w:r>
        <w:rPr>
          <w:rFonts w:ascii="Arial" w:cs="Arial" w:eastAsia="Arial" w:hAnsi="Arial"/>
          <w:sz w:val="16"/>
          <w:szCs w:val="16"/>
          <w:color w:val="auto"/>
        </w:rPr>
        <w:t>The Company also entered into an indemnification agreement with Mr. Donenberg in connection with his appointment to the Board, which is in substantially the same form as that entered into with the other directors of the Company. There are no arrangements or understandings between</w:t>
      </w:r>
    </w:p>
    <w:p>
      <w:pPr>
        <w:ind w:right="380"/>
        <w:spacing w:after="0" w:line="261" w:lineRule="auto"/>
        <w:rPr>
          <w:sz w:val="20"/>
          <w:szCs w:val="20"/>
          <w:color w:val="auto"/>
        </w:rPr>
      </w:pPr>
      <w:r>
        <w:rPr>
          <w:rFonts w:ascii="Arial" w:cs="Arial" w:eastAsia="Arial" w:hAnsi="Arial"/>
          <w:sz w:val="18"/>
          <w:szCs w:val="18"/>
          <w:color w:val="auto"/>
        </w:rPr>
        <w:t>Mr. Donenberg and any other persons pursuant to which he was elected as a director, and Mr. Donenberg has no direct or indirect material interest in any transaction required to be disclosed pursuant to Item 404(a) of Regulation 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previously disclosed in the Registration Statement, on June 25, 2018 and in connection with the consummation of the Company’s initial public offering (“IPO”), the Company filed a fourth amended and restated certificate of incorporation (the “Restated Certificate”) with the Secretary of State of the State of Delaware. The Board and the Company’s stockholders previously approved the Restated Certificate to be filed in connection with, and to be effective upon, the consummation of the IPO. The Restated Certificate amends and restates the Company’s existing amended and restated certificate of incorporation in its entirety to, among other things: (i) authorize 150,000,000 shares of common stock; (ii) eliminate all references to the previously-existing series of preferred stock; and (iii) authorize 10,000,000 shares of undesignated preferred stock that may be issued from time to time by the Board in one or more series.</w:t>
      </w:r>
    </w:p>
    <w:p>
      <w:pPr>
        <w:spacing w:after="0" w:line="16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foregoing description of the Restated Certificate is qualified by reference to the Restated Certificate, a copy of which is attached hereto as Exhibit 3.1 and is incorporated herein by reference.</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as previously disclosed in the Registration Statement, on June 25, 2018 and in connection with the consummation of the IPO, the amended and restated by-laws of the Company (the “Amended and Restated By-Laws”), previously approved by the Board and the Company’s stockholders to become effective immediately upon the consummation of the IPO, became effective. The Amended and Restated By-Laws amend and restate the Company’s by-laws in their entirety to, among other things: (i) eliminate the ability of the Company’s stockholders to take action by written consent in lieu of a meeting and call special meetings of stockholders; (ii) establish procedures relating to the presentation of stockholder proposals at stockholder meetings; (iii) establish procedures relating to the nomination of directors; (iv) adopt exclusive forum selection clauses with respect to certain causes of action; and (v) conform to the amended provisions of the Restated Certificate.</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foregoing description of the Amended and Restated By-Laws is qualified by reference to the Amended and Restated By-Laws, a copy of which is attached hereto as Exhibit 3.2 and is incorporated herein by reference.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Fourth Amended and Restated Certificate of Incorporation of AVROBIO, Inc.</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AVROBIO, Inc.</w:t>
      </w:r>
    </w:p>
    <w:p>
      <w:pPr>
        <w:sectPr>
          <w:pgSz w:w="11900" w:h="16838" w:orient="portrait"/>
          <w:cols w:equalWidth="0" w:num="1">
            <w:col w:w="10219"/>
          </w:cols>
          <w:pgMar w:left="240" w:top="270" w:right="1440"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104"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6">
        <w:r>
          <w:rPr>
            <w:rFonts w:ascii="Arial" w:cs="Arial" w:eastAsia="Arial" w:hAnsi="Arial"/>
            <w:sz w:val="16"/>
            <w:szCs w:val="16"/>
            <w:u w:val="single" w:color="auto"/>
            <w:color w:val="0000EE"/>
          </w:rPr>
          <w:t>Fourth Amended and Restated Certificate of Incorporation of AVROBIO, Inc.</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13">
        <w:r>
          <w:rPr>
            <w:rFonts w:ascii="Arial" w:cs="Arial" w:eastAsia="Arial" w:hAnsi="Arial"/>
            <w:sz w:val="16"/>
            <w:szCs w:val="16"/>
            <w:u w:val="single" w:color="auto"/>
            <w:color w:val="0000EE"/>
          </w:rPr>
          <w:t>Amended and Restated By-laws of AVROBIO, Inc.</w:t>
        </w:r>
      </w:hyperlink>
    </w:p>
    <w:p>
      <w:pPr>
        <w:sectPr>
          <w:pgSz w:w="11900" w:h="16838" w:orient="portrait"/>
          <w:cols w:equalWidth="0" w:num="1">
            <w:col w:w="10219"/>
          </w:cols>
          <w:pgMar w:left="240" w:top="27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AVROBIO,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June 25, 2018</w:t>
            </w: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By:  /s/ Geoff MacKay</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Geoff MacKay</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AVROBIO, Inc., a corporation organized and existing under the laws of the State of Delaware (the “Corporation”), hereby certifies as follows:</w:t>
      </w:r>
    </w:p>
    <w:p>
      <w:pPr>
        <w:spacing w:after="0" w:line="237" w:lineRule="exact"/>
        <w:rPr>
          <w:sz w:val="20"/>
          <w:szCs w:val="20"/>
          <w:color w:val="auto"/>
        </w:rPr>
      </w:pPr>
    </w:p>
    <w:p>
      <w:pPr>
        <w:ind w:right="300" w:firstLine="464"/>
        <w:spacing w:after="0" w:line="277" w:lineRule="auto"/>
        <w:tabs>
          <w:tab w:leader="none" w:pos="6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name of the Corporation is AVROBIO, Inc. The date of the filing of its original Certificate of Incorporation with the Secretary of State of the State of Delaware was November 17, 2015 under the name AvroBio, Inc.</w:t>
      </w:r>
    </w:p>
    <w:p>
      <w:pPr>
        <w:spacing w:after="0" w:line="170" w:lineRule="exact"/>
        <w:rPr>
          <w:rFonts w:ascii="Arial" w:cs="Arial" w:eastAsia="Arial" w:hAnsi="Arial"/>
          <w:sz w:val="18"/>
          <w:szCs w:val="18"/>
          <w:color w:val="auto"/>
        </w:rPr>
      </w:pPr>
    </w:p>
    <w:p>
      <w:pPr>
        <w:ind w:right="100" w:firstLine="464"/>
        <w:spacing w:after="0" w:line="259" w:lineRule="auto"/>
        <w:tabs>
          <w:tab w:leader="none" w:pos="6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Fourth Amended and Restated Certificate of Incorporation (the “Certificate”) amends, restates and integrates the provisions of the Third Amended and Restated Certificate of Incorporation that was filed with the Secretary of State of the State of Delaware on January 19, 2018 (the “Existing Certificate”), and was duly adopted in accordance with the provisions of Sections 228, 242 and 245 of the General Corporation Law of the State of Delaware (the “DGCL”).</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text of the Existing Certificate is hereby amended and restated in its entirety to provide as herein set forth in full.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AVROBIO,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in the City of Wilmington, County of New Castle, 19808. The name of its registered agent at such address is Corporation Service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ectPr>
          <w:pgSz w:w="11900" w:h="16838" w:orient="portrait"/>
          <w:cols w:equalWidth="0" w:num="1">
            <w:col w:w="11420"/>
          </w:cols>
          <w:pgMar w:left="240" w:top="121"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number of shares of capital stock which the Corporation shall have authority to issue is One Hundred Sixty Million (160,000,000), of which</w:t>
      </w:r>
    </w:p>
    <w:p>
      <w:pPr>
        <w:spacing w:after="0" w:line="46"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One Hundred Fifty Million (150,000,000) shares shall be a class designated as common stock, par value $0.0001 per share (the “Common Stock”), and</w:t>
      </w:r>
    </w:p>
    <w:p>
      <w:pPr>
        <w:spacing w:after="0" w:line="32" w:lineRule="exact"/>
        <w:rPr>
          <w:rFonts w:ascii="Arial" w:cs="Arial" w:eastAsia="Arial" w:hAnsi="Arial"/>
          <w:sz w:val="16"/>
          <w:szCs w:val="16"/>
          <w:color w:val="auto"/>
        </w:rPr>
      </w:pPr>
    </w:p>
    <w:p>
      <w:pPr>
        <w:ind w:right="260" w:firstLine="8"/>
        <w:spacing w:after="0" w:line="261"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Ten Million (10,000,000) shares shall be a class designated as undesignated preferred stock, par value $0.0001 per share (the “Undesignated Preferred Stock”).</w:t>
      </w:r>
    </w:p>
    <w:p>
      <w:pPr>
        <w:spacing w:after="0" w:line="18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70" w:lineRule="exact"/>
        <w:rPr>
          <w:sz w:val="20"/>
          <w:szCs w:val="20"/>
          <w:color w:val="auto"/>
        </w:rPr>
      </w:pPr>
    </w:p>
    <w:p>
      <w:pPr>
        <w:ind w:firstLine="1492"/>
        <w:spacing w:after="0" w:line="254" w:lineRule="auto"/>
        <w:tabs>
          <w:tab w:leader="none" w:pos="172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92" w:lineRule="exact"/>
        <w:rPr>
          <w:rFonts w:ascii="Arial" w:cs="Arial" w:eastAsia="Arial" w:hAnsi="Arial"/>
          <w:sz w:val="18"/>
          <w:szCs w:val="18"/>
          <w:color w:val="auto"/>
        </w:rPr>
      </w:pPr>
    </w:p>
    <w:p>
      <w:pPr>
        <w:ind w:right="160" w:firstLine="1492"/>
        <w:spacing w:after="0" w:line="342" w:lineRule="auto"/>
        <w:tabs>
          <w:tab w:leader="none" w:pos="1738" w:val="left"/>
        </w:tabs>
        <w:numPr>
          <w:ilvl w:val="0"/>
          <w:numId w:val="4"/>
        </w:numPr>
        <w:rPr>
          <w:rFonts w:ascii="Arial" w:cs="Arial" w:eastAsia="Arial" w:hAnsi="Arial"/>
          <w:sz w:val="16"/>
          <w:szCs w:val="16"/>
          <w:color w:val="auto"/>
        </w:rPr>
      </w:pPr>
      <w:r>
        <w:rPr>
          <w:rFonts w:ascii="Arial" w:cs="Arial" w:eastAsia="Arial" w:hAnsi="Arial"/>
          <w:sz w:val="16"/>
          <w:szCs w:val="16"/>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7" w:name="page8"/>
    <w:bookmarkEnd w:id="7"/>
    <w:p>
      <w:pPr>
        <w:ind w:right="40" w:firstLine="1492"/>
        <w:spacing w:after="0" w:line="277" w:lineRule="auto"/>
        <w:tabs>
          <w:tab w:leader="none" w:pos="172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voluntary or involuntary liquidation, dissolution or winding up of the Corporation, the net assets of the Corporation shall be distributed pro rata to the holders of the Common Stock.</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UNDESIGNATED PREFERRED STOCK</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STOCKHOLDER ACTION</w:t>
      </w:r>
    </w:p>
    <w:p>
      <w:pPr>
        <w:spacing w:after="0" w:line="225" w:lineRule="exact"/>
        <w:rPr>
          <w:sz w:val="20"/>
          <w:szCs w:val="20"/>
          <w:color w:val="auto"/>
        </w:rPr>
      </w:pPr>
    </w:p>
    <w:p>
      <w:pPr>
        <w:ind w:right="240" w:firstLine="464"/>
        <w:spacing w:after="0" w:line="276"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Action without Meeting</w:t>
      </w:r>
      <w:r>
        <w:rPr>
          <w:rFonts w:ascii="Arial" w:cs="Arial" w:eastAsia="Arial" w:hAnsi="Arial"/>
          <w:sz w:val="17"/>
          <w:szCs w:val="17"/>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72" w:lineRule="exact"/>
        <w:rPr>
          <w:rFonts w:ascii="Arial" w:cs="Arial" w:eastAsia="Arial" w:hAnsi="Arial"/>
          <w:sz w:val="17"/>
          <w:szCs w:val="17"/>
          <w:color w:val="auto"/>
        </w:rPr>
      </w:pPr>
    </w:p>
    <w:p>
      <w:pPr>
        <w:ind w:right="140" w:firstLine="464"/>
        <w:spacing w:after="0" w:line="302" w:lineRule="auto"/>
        <w:tabs>
          <w:tab w:leader="none" w:pos="63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560" w:firstLine="464"/>
        <w:spacing w:after="0" w:line="277"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Election of Directors need not be by written ballot unless the By-laws of the Corporation (the “By-laws”) shall so provide.</w:t>
      </w:r>
    </w:p>
    <w:p>
      <w:pPr>
        <w:spacing w:after="0" w:line="236" w:lineRule="exact"/>
        <w:rPr>
          <w:rFonts w:ascii="Arial" w:cs="Arial" w:eastAsia="Arial" w:hAnsi="Arial"/>
          <w:sz w:val="17"/>
          <w:szCs w:val="17"/>
          <w:color w:val="auto"/>
        </w:rPr>
      </w:pPr>
    </w:p>
    <w:p>
      <w:pPr>
        <w:ind w:firstLine="464"/>
        <w:spacing w:after="0" w:line="270"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Christopher Paige, Scott Requadt and Joshua Resnick; the initial Class II Directors of the Corporation shall be Ian Clark and Annalisa Jenkins; and the initial Class III Directors of the Corporation shall be Bruce Booth, Phillip Donenberg and Geoff MacKay. The initial Class I Directors shall serve for a term expiring at the annual meeting of stockholders to be held in 2019, the initial Class II Directors shall serve for a term expiring at the annual meeting of stockholders to be held in 2020, and the initial Class III Directors shall serve for a term expiring at the annual meeting of stockholders to be held in 2021.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 w:name="page10"/>
    <w:bookmarkEnd w:id="9"/>
    <w:p>
      <w:pPr>
        <w:ind w:firstLine="464"/>
        <w:spacing w:after="0" w:line="269"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Vacancies</w:t>
      </w:r>
      <w:r>
        <w:rPr>
          <w:rFonts w:ascii="Arial" w:cs="Arial" w:eastAsia="Arial" w:hAnsi="Arial"/>
          <w:sz w:val="17"/>
          <w:szCs w:val="17"/>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82" w:lineRule="exact"/>
        <w:rPr>
          <w:rFonts w:ascii="Arial" w:cs="Arial" w:eastAsia="Arial" w:hAnsi="Arial"/>
          <w:sz w:val="17"/>
          <w:szCs w:val="17"/>
          <w:color w:val="auto"/>
        </w:rPr>
      </w:pPr>
    </w:p>
    <w:p>
      <w:pPr>
        <w:ind w:firstLine="464"/>
        <w:spacing w:after="0" w:line="255"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5.</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LIMITATION OF LIABILITY</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 w:name="page11"/>
    <w:bookmarkEnd w:id="10"/>
    <w:p>
      <w:pPr>
        <w:ind w:right="8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BY-LAWS</w:t>
      </w:r>
    </w:p>
    <w:p>
      <w:pPr>
        <w:spacing w:after="0" w:line="225" w:lineRule="exact"/>
        <w:rPr>
          <w:sz w:val="20"/>
          <w:szCs w:val="20"/>
          <w:color w:val="auto"/>
        </w:rPr>
      </w:pPr>
    </w:p>
    <w:p>
      <w:pPr>
        <w:ind w:right="60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provided therein, the By-laws of the Corporation may be amended or repealed at any annual meeting of stockholders, or special meeting of stockholders called for such purpose, by the affirmative vote of a majority of the outstanding shares of capital stock entitled to vote on such amendment or repeal, voting together as a single class.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Text]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FOURTH AMENDED AND RESTATED CERTIFICATE OF INCORPORATION is executed as of this 25th day of June, 2018.</w:t>
      </w:r>
    </w:p>
    <w:p>
      <w:pPr>
        <w:spacing w:after="0" w:line="3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Geoff MacKay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 President and Chief Executive Officer</w:t>
      </w:r>
    </w:p>
    <w:p>
      <w:pPr>
        <w:sectPr>
          <w:pgSz w:w="11900" w:h="16838" w:orient="portrait"/>
          <w:cols w:equalWidth="0" w:num="1">
            <w:col w:w="9759"/>
          </w:cols>
          <w:pgMar w:left="700" w:top="274"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53" w:lineRule="auto"/>
        <w:tabs>
          <w:tab w:leader="none" w:pos="11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ectPr>
          <w:pgSz w:w="11900" w:h="16838" w:orient="portrait"/>
          <w:cols w:equalWidth="0" w:num="1">
            <w:col w:w="11420"/>
          </w:cols>
          <w:pgMar w:left="240" w:top="121" w:right="239" w:bottom="1440" w:gutter="0" w:footer="0" w:header="0"/>
        </w:sectPr>
      </w:pPr>
    </w:p>
    <w:bookmarkStart w:id="13" w:name="page14"/>
    <w:bookmarkEnd w:id="13"/>
    <w:p>
      <w:pPr>
        <w:ind w:firstLine="443"/>
        <w:spacing w:after="0" w:line="268" w:lineRule="auto"/>
        <w:tabs>
          <w:tab w:leader="none" w:pos="693"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72" w:lineRule="exact"/>
        <w:rPr>
          <w:rFonts w:ascii="Arial" w:cs="Arial" w:eastAsia="Arial" w:hAnsi="Arial"/>
          <w:sz w:val="17"/>
          <w:szCs w:val="17"/>
          <w:color w:val="auto"/>
        </w:rPr>
      </w:pPr>
    </w:p>
    <w:p>
      <w:pPr>
        <w:ind w:left="460" w:firstLine="421"/>
        <w:spacing w:after="0" w:line="286" w:lineRule="auto"/>
        <w:tabs>
          <w:tab w:leader="none" w:pos="117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14" w:name="page15"/>
    <w:bookmarkEnd w:id="14"/>
    <w:p>
      <w:pPr>
        <w:ind w:left="-1" w:right="280" w:firstLine="421"/>
        <w:spacing w:after="0" w:line="286" w:lineRule="auto"/>
        <w:tabs>
          <w:tab w:leader="none" w:pos="704" w:val="left"/>
        </w:tabs>
        <w:numPr>
          <w:ilvl w:val="1"/>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57" w:lineRule="exact"/>
        <w:rPr>
          <w:rFonts w:ascii="Arial" w:cs="Arial" w:eastAsia="Arial" w:hAnsi="Arial"/>
          <w:sz w:val="17"/>
          <w:szCs w:val="17"/>
          <w:color w:val="auto"/>
        </w:rPr>
      </w:pPr>
    </w:p>
    <w:p>
      <w:pPr>
        <w:ind w:left="-1" w:right="20" w:firstLine="421"/>
        <w:spacing w:after="0" w:line="283" w:lineRule="auto"/>
        <w:tabs>
          <w:tab w:leader="none" w:pos="7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w:t>
      </w:r>
    </w:p>
    <w:p>
      <w:pPr>
        <w:spacing w:after="0" w:line="5" w:lineRule="exact"/>
        <w:rPr>
          <w:rFonts w:ascii="Arial" w:cs="Arial" w:eastAsia="Arial" w:hAnsi="Arial"/>
          <w:sz w:val="16"/>
          <w:szCs w:val="16"/>
          <w:color w:val="auto"/>
        </w:rPr>
      </w:pPr>
    </w:p>
    <w:p>
      <w:pPr>
        <w:ind w:left="-1" w:firstLine="1"/>
        <w:spacing w:after="0" w:line="281" w:lineRule="auto"/>
        <w:tabs>
          <w:tab w:leader="none" w:pos="2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w:t>
      </w:r>
    </w:p>
    <w:p>
      <w:pPr>
        <w:spacing w:after="0" w:line="6" w:lineRule="exact"/>
        <w:rPr>
          <w:rFonts w:ascii="Arial" w:cs="Arial" w:eastAsia="Arial" w:hAnsi="Arial"/>
          <w:sz w:val="16"/>
          <w:szCs w:val="16"/>
          <w:color w:val="auto"/>
        </w:rPr>
      </w:pPr>
    </w:p>
    <w:p>
      <w:pPr>
        <w:ind w:left="-1" w:right="380" w:firstLine="1"/>
        <w:spacing w:after="0" w:line="255" w:lineRule="auto"/>
        <w:tabs>
          <w:tab w:leader="none" w:pos="3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23" w:lineRule="exact"/>
        <w:rPr>
          <w:sz w:val="20"/>
          <w:szCs w:val="20"/>
          <w:color w:val="auto"/>
        </w:rPr>
      </w:pPr>
    </w:p>
    <w:p>
      <w:pPr>
        <w:ind w:left="47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79"/>
          </w:cols>
          <w:pgMar w:left="1161" w:top="274" w:right="259" w:bottom="1440" w:gutter="0" w:footer="0" w:header="0"/>
        </w:sectPr>
      </w:pPr>
    </w:p>
    <w:bookmarkStart w:id="15" w:name="page16"/>
    <w:bookmarkEnd w:id="15"/>
    <w:p>
      <w:pPr>
        <w:ind w:left="460" w:firstLine="421"/>
        <w:spacing w:after="0" w:line="293" w:lineRule="auto"/>
        <w:tabs>
          <w:tab w:leader="none" w:pos="1175"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56" w:lineRule="exact"/>
        <w:rPr>
          <w:rFonts w:ascii="Arial" w:cs="Arial" w:eastAsia="Arial" w:hAnsi="Arial"/>
          <w:sz w:val="16"/>
          <w:szCs w:val="16"/>
          <w:color w:val="auto"/>
        </w:rPr>
      </w:pPr>
    </w:p>
    <w:p>
      <w:pPr>
        <w:ind w:left="460" w:right="60" w:firstLine="421"/>
        <w:spacing w:after="0" w:line="297" w:lineRule="auto"/>
        <w:tabs>
          <w:tab w:leader="none" w:pos="11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50"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16" w:name="page17"/>
    <w:bookmarkEnd w:id="16"/>
    <w:p>
      <w:pPr>
        <w:ind w:firstLine="443"/>
        <w:spacing w:after="0" w:line="288" w:lineRule="auto"/>
        <w:tabs>
          <w:tab w:leader="none" w:pos="693"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w:t>
      </w:r>
    </w:p>
    <w:p>
      <w:pPr>
        <w:ind w:right="140" w:firstLine="4"/>
        <w:spacing w:after="0" w:line="295" w:lineRule="auto"/>
        <w:tabs>
          <w:tab w:leader="none" w:pos="3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53" w:lineRule="exact"/>
        <w:rPr>
          <w:rFonts w:ascii="Arial" w:cs="Arial" w:eastAsia="Arial" w:hAnsi="Arial"/>
          <w:sz w:val="16"/>
          <w:szCs w:val="16"/>
          <w:color w:val="auto"/>
        </w:rPr>
      </w:pPr>
    </w:p>
    <w:p>
      <w:pPr>
        <w:ind w:right="60" w:firstLine="443"/>
        <w:spacing w:after="0" w:line="255" w:lineRule="auto"/>
        <w:tabs>
          <w:tab w:leader="none" w:pos="6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81" w:lineRule="exact"/>
        <w:rPr>
          <w:sz w:val="20"/>
          <w:szCs w:val="20"/>
          <w:color w:val="auto"/>
        </w:rPr>
      </w:pPr>
    </w:p>
    <w:p>
      <w:pPr>
        <w:ind w:left="260" w:hanging="256"/>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43"/>
        <w:spacing w:after="0" w:line="289" w:lineRule="auto"/>
        <w:tabs>
          <w:tab w:leader="none" w:pos="693" w:val="left"/>
        </w:tabs>
        <w:numPr>
          <w:ilvl w:val="1"/>
          <w:numId w:val="18"/>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7" w:name="page18"/>
    <w:bookmarkEnd w:id="17"/>
    <w:p>
      <w:pPr>
        <w:jc w:val="both"/>
        <w:ind w:left="460" w:right="60" w:firstLine="443"/>
        <w:spacing w:after="0" w:line="264"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73" w:lineRule="exact"/>
        <w:rPr>
          <w:rFonts w:ascii="Arial" w:cs="Arial" w:eastAsia="Arial" w:hAnsi="Arial"/>
          <w:sz w:val="18"/>
          <w:szCs w:val="18"/>
          <w:color w:val="auto"/>
        </w:rPr>
      </w:pPr>
    </w:p>
    <w:p>
      <w:pPr>
        <w:ind w:left="460" w:firstLine="443"/>
        <w:spacing w:after="0" w:line="272" w:lineRule="auto"/>
        <w:tabs>
          <w:tab w:leader="none" w:pos="1153"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69" w:lineRule="exact"/>
        <w:rPr>
          <w:rFonts w:ascii="Arial" w:cs="Arial" w:eastAsia="Arial" w:hAnsi="Arial"/>
          <w:sz w:val="17"/>
          <w:szCs w:val="17"/>
          <w:color w:val="auto"/>
        </w:rPr>
      </w:pPr>
    </w:p>
    <w:p>
      <w:pPr>
        <w:ind w:left="460" w:right="520" w:firstLine="443"/>
        <w:spacing w:after="0" w:line="264"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73" w:lineRule="exact"/>
        <w:rPr>
          <w:rFonts w:ascii="Arial" w:cs="Arial" w:eastAsia="Arial" w:hAnsi="Arial"/>
          <w:sz w:val="18"/>
          <w:szCs w:val="18"/>
          <w:color w:val="auto"/>
        </w:rPr>
      </w:pPr>
    </w:p>
    <w:p>
      <w:pPr>
        <w:jc w:val="both"/>
        <w:ind w:left="460" w:right="60" w:firstLine="443"/>
        <w:spacing w:after="0" w:line="276" w:lineRule="auto"/>
        <w:tabs>
          <w:tab w:leader="none" w:pos="1153"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64" w:lineRule="exact"/>
        <w:rPr>
          <w:rFonts w:ascii="Arial" w:cs="Arial" w:eastAsia="Arial" w:hAnsi="Arial"/>
          <w:sz w:val="17"/>
          <w:szCs w:val="17"/>
          <w:color w:val="auto"/>
        </w:rPr>
      </w:pPr>
    </w:p>
    <w:p>
      <w:pPr>
        <w:ind w:firstLine="464"/>
        <w:spacing w:after="0" w:line="276" w:lineRule="auto"/>
        <w:tabs>
          <w:tab w:leader="none" w:pos="7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I, Section 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64"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8" w:name="page19"/>
    <w:bookmarkEnd w:id="1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I, Section 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 Adjournments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73" w:lineRule="auto"/>
        <w:tabs>
          <w:tab w:leader="none" w:pos="701"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70" w:lineRule="exact"/>
        <w:rPr>
          <w:rFonts w:ascii="Arial" w:cs="Arial" w:eastAsia="Arial" w:hAnsi="Arial"/>
          <w:sz w:val="17"/>
          <w:szCs w:val="17"/>
          <w:color w:val="auto"/>
        </w:rPr>
      </w:pPr>
    </w:p>
    <w:p>
      <w:pPr>
        <w:ind w:right="240" w:firstLine="464"/>
        <w:spacing w:after="0" w:line="308" w:lineRule="auto"/>
        <w:tabs>
          <w:tab w:leader="none" w:pos="7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38" w:lineRule="exact"/>
        <w:rPr>
          <w:rFonts w:ascii="Arial" w:cs="Arial" w:eastAsia="Arial" w:hAnsi="Arial"/>
          <w:sz w:val="17"/>
          <w:szCs w:val="17"/>
          <w:color w:val="auto"/>
        </w:rPr>
      </w:pPr>
    </w:p>
    <w:p>
      <w:pPr>
        <w:ind w:right="240" w:firstLine="464"/>
        <w:spacing w:after="0" w:line="259"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78" w:lineRule="exact"/>
        <w:rPr>
          <w:rFonts w:ascii="Arial" w:cs="Arial" w:eastAsia="Arial" w:hAnsi="Arial"/>
          <w:sz w:val="18"/>
          <w:szCs w:val="18"/>
          <w:color w:val="auto"/>
        </w:rPr>
      </w:pPr>
    </w:p>
    <w:p>
      <w:pPr>
        <w:jc w:val="both"/>
        <w:ind w:right="20" w:firstLine="464"/>
        <w:spacing w:after="0" w:line="302" w:lineRule="auto"/>
        <w:tabs>
          <w:tab w:leader="none" w:pos="7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 w:name="page20"/>
    <w:bookmarkEnd w:id="19"/>
    <w:p>
      <w:pPr>
        <w:ind w:right="20" w:firstLine="464"/>
        <w:spacing w:after="0" w:line="269" w:lineRule="auto"/>
        <w:tabs>
          <w:tab w:leader="none" w:pos="701"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8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 and Proxies</w:t>
      </w:r>
      <w:r>
        <w:rPr>
          <w:rFonts w:ascii="Arial" w:cs="Arial" w:eastAsia="Arial" w:hAnsi="Arial"/>
          <w:sz w:val="17"/>
          <w:szCs w:val="17"/>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 w:name="page21"/>
    <w:bookmarkEnd w:id="20"/>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7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Stockholder Lists</w:t>
      </w:r>
      <w:r>
        <w:rPr>
          <w:rFonts w:ascii="Arial" w:cs="Arial" w:eastAsia="Arial" w:hAnsi="Arial"/>
          <w:sz w:val="17"/>
          <w:szCs w:val="17"/>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Inspectors of Elections</w:t>
      </w:r>
      <w:r>
        <w:rPr>
          <w:rFonts w:ascii="Arial" w:cs="Arial" w:eastAsia="Arial" w:hAnsi="Arial"/>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1" w:name="page22"/>
    <w:bookmarkEnd w:id="21"/>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6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Regular Meetings</w:t>
      </w:r>
      <w:r>
        <w:rPr>
          <w:rFonts w:ascii="Arial" w:cs="Arial" w:eastAsia="Arial" w:hAnsi="Arial"/>
          <w:sz w:val="18"/>
          <w:szCs w:val="18"/>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7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7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 of Meetings</w:t>
      </w:r>
      <w:r>
        <w:rPr>
          <w:rFonts w:ascii="Arial" w:cs="Arial" w:eastAsia="Arial" w:hAnsi="Arial"/>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2" w:name="page23"/>
    <w:bookmarkEnd w:id="22"/>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5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8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8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Manner of Participation</w:t>
      </w:r>
      <w:r>
        <w:rPr>
          <w:rFonts w:ascii="Arial" w:cs="Arial" w:eastAsia="Arial" w:hAnsi="Arial"/>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Presiding Director</w:t>
      </w:r>
      <w:r>
        <w:rPr>
          <w:rFonts w:ascii="Arial" w:cs="Arial" w:eastAsia="Arial" w:hAnsi="Arial"/>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 w:name="page24"/>
    <w:bookmarkEnd w:id="23"/>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84"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3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 time.</w:t>
      </w:r>
    </w:p>
    <w:p>
      <w:pPr>
        <w:spacing w:after="0" w:line="14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 w:name="page25"/>
    <w:bookmarkEnd w:id="24"/>
    <w:p>
      <w:pPr>
        <w:ind w:right="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7"/>
          <w:szCs w:val="17"/>
          <w:u w:val="single" w:color="auto"/>
          <w:color w:val="auto"/>
        </w:rPr>
        <w:t>Resignation</w:t>
      </w:r>
      <w:r>
        <w:rPr>
          <w:rFonts w:ascii="Arial" w:cs="Arial" w:eastAsia="Arial" w:hAnsi="Arial"/>
          <w:sz w:val="17"/>
          <w:szCs w:val="17"/>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3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Absence or Disability</w:t>
      </w:r>
      <w:r>
        <w:rPr>
          <w:rFonts w:ascii="Arial" w:cs="Arial" w:eastAsia="Arial" w:hAnsi="Arial"/>
          <w:sz w:val="18"/>
          <w:szCs w:val="18"/>
          <w:color w:val="auto"/>
        </w:rPr>
        <w:t>. In the event of the absence or disability of any officer, the Board of Directors may designate another officer to act temporarily in place of such absent or disabled officer.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subject to the direction of the Board of Directors, have such powers and shall perform such duties as the Board of Directors may from time to time designate.</w:t>
      </w:r>
    </w:p>
    <w:p>
      <w:pPr>
        <w:spacing w:after="0" w:line="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one is elected, shall have such powers and shall perform such duties as the Board of Directors may from time to time designate.</w:t>
      </w:r>
    </w:p>
    <w:p>
      <w:pPr>
        <w:spacing w:after="0" w:line="6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7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5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 w:name="page26"/>
    <w:bookmarkEnd w:id="25"/>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3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6" w:name="page27"/>
    <w:bookmarkEnd w:id="26"/>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17" w:lineRule="exact"/>
        <w:rPr>
          <w:sz w:val="20"/>
          <w:szCs w:val="20"/>
          <w:color w:val="auto"/>
        </w:rPr>
      </w:pPr>
    </w:p>
    <w:p>
      <w:pPr>
        <w:ind w:firstLine="464"/>
        <w:spacing w:after="0" w:line="271" w:lineRule="auto"/>
        <w:tabs>
          <w:tab w:leader="none" w:pos="7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7" w:name="page28"/>
    <w:bookmarkEnd w:id="27"/>
    <w:p>
      <w:pPr>
        <w:ind w:left="712" w:hanging="256"/>
        <w:spacing w:after="0"/>
        <w:tabs>
          <w:tab w:leader="none" w:pos="712"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means any person who serves or has served the Corporation as a director on the Board of Directors of the Corporation;</w:t>
      </w:r>
    </w:p>
    <w:p>
      <w:pPr>
        <w:spacing w:after="0" w:line="117" w:lineRule="exact"/>
        <w:rPr>
          <w:rFonts w:ascii="Arial" w:cs="Arial" w:eastAsia="Arial" w:hAnsi="Arial"/>
          <w:sz w:val="18"/>
          <w:szCs w:val="18"/>
          <w:color w:val="auto"/>
        </w:rPr>
      </w:pPr>
    </w:p>
    <w:p>
      <w:pPr>
        <w:ind w:left="-8" w:right="700" w:firstLine="464"/>
        <w:spacing w:after="0" w:line="277" w:lineRule="auto"/>
        <w:tabs>
          <w:tab w:leader="none" w:pos="69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62" w:lineRule="exact"/>
        <w:rPr>
          <w:rFonts w:ascii="Arial" w:cs="Arial" w:eastAsia="Arial" w:hAnsi="Arial"/>
          <w:sz w:val="18"/>
          <w:szCs w:val="18"/>
          <w:color w:val="auto"/>
        </w:rPr>
      </w:pPr>
    </w:p>
    <w:p>
      <w:pPr>
        <w:ind w:left="-8" w:firstLine="464"/>
        <w:spacing w:after="0" w:line="255" w:lineRule="auto"/>
        <w:tabs>
          <w:tab w:leader="none" w:pos="7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85" w:lineRule="exact"/>
        <w:rPr>
          <w:rFonts w:ascii="Arial" w:cs="Arial" w:eastAsia="Arial" w:hAnsi="Arial"/>
          <w:sz w:val="18"/>
          <w:szCs w:val="18"/>
          <w:color w:val="auto"/>
        </w:rPr>
      </w:pPr>
    </w:p>
    <w:p>
      <w:pPr>
        <w:ind w:left="692" w:hanging="236"/>
        <w:spacing w:after="0"/>
        <w:tabs>
          <w:tab w:leader="none" w:pos="6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117" w:lineRule="exact"/>
        <w:rPr>
          <w:rFonts w:ascii="Arial" w:cs="Arial" w:eastAsia="Arial" w:hAnsi="Arial"/>
          <w:sz w:val="18"/>
          <w:szCs w:val="18"/>
          <w:color w:val="auto"/>
        </w:rPr>
      </w:pPr>
    </w:p>
    <w:p>
      <w:pPr>
        <w:ind w:left="-8" w:right="500" w:firstLine="464"/>
        <w:spacing w:after="0" w:line="277" w:lineRule="auto"/>
        <w:tabs>
          <w:tab w:leader="none" w:pos="6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62" w:lineRule="exact"/>
        <w:rPr>
          <w:rFonts w:ascii="Arial" w:cs="Arial" w:eastAsia="Arial" w:hAnsi="Arial"/>
          <w:sz w:val="18"/>
          <w:szCs w:val="18"/>
          <w:color w:val="auto"/>
        </w:rPr>
      </w:pPr>
    </w:p>
    <w:p>
      <w:pPr>
        <w:ind w:left="-8" w:right="220" w:firstLine="464"/>
        <w:spacing w:after="0" w:line="277" w:lineRule="auto"/>
        <w:tabs>
          <w:tab w:leader="none" w:pos="7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“Officer” means any person who serves or has served the Corporation as an officer of the Corporation appointed by the Board of Directors of the Corporation;</w:t>
      </w:r>
    </w:p>
    <w:p>
      <w:pPr>
        <w:spacing w:after="0" w:line="62" w:lineRule="exact"/>
        <w:rPr>
          <w:rFonts w:ascii="Arial" w:cs="Arial" w:eastAsia="Arial" w:hAnsi="Arial"/>
          <w:sz w:val="18"/>
          <w:szCs w:val="18"/>
          <w:color w:val="auto"/>
        </w:rPr>
      </w:pPr>
    </w:p>
    <w:p>
      <w:pPr>
        <w:ind w:left="-8" w:right="180" w:firstLine="464"/>
        <w:spacing w:after="0" w:line="277" w:lineRule="auto"/>
        <w:tabs>
          <w:tab w:leader="none" w:pos="7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62" w:lineRule="exact"/>
        <w:rPr>
          <w:rFonts w:ascii="Arial" w:cs="Arial" w:eastAsia="Arial" w:hAnsi="Arial"/>
          <w:sz w:val="18"/>
          <w:szCs w:val="18"/>
          <w:color w:val="auto"/>
        </w:rPr>
      </w:pPr>
    </w:p>
    <w:p>
      <w:pPr>
        <w:jc w:val="both"/>
        <w:ind w:left="-8" w:right="200" w:firstLine="464"/>
        <w:spacing w:after="0" w:line="291" w:lineRule="auto"/>
        <w:tabs>
          <w:tab w:leader="none" w:pos="663" w:val="left"/>
        </w:tabs>
        <w:numPr>
          <w:ilvl w:val="1"/>
          <w:numId w:val="24"/>
        </w:numPr>
        <w:rPr>
          <w:rFonts w:ascii="Arial" w:cs="Arial" w:eastAsia="Arial" w:hAnsi="Arial"/>
          <w:sz w:val="16"/>
          <w:szCs w:val="16"/>
          <w:color w:val="auto"/>
        </w:rPr>
      </w:pPr>
      <w:r>
        <w:rPr>
          <w:rFonts w:ascii="Arial" w:cs="Arial" w:eastAsia="Arial" w:hAnsi="Arial"/>
          <w:sz w:val="16"/>
          <w:szCs w:val="16"/>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w:t>
      </w:r>
    </w:p>
    <w:p>
      <w:pPr>
        <w:ind w:left="-8" w:right="80" w:firstLine="8"/>
        <w:spacing w:after="0" w:line="255" w:lineRule="auto"/>
        <w:tabs>
          <w:tab w:leader="none" w:pos="2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4" w:right="27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17" w:lineRule="exact"/>
        <w:rPr>
          <w:sz w:val="20"/>
          <w:szCs w:val="20"/>
          <w:color w:val="auto"/>
        </w:rPr>
      </w:pPr>
    </w:p>
    <w:p>
      <w:pPr>
        <w:ind w:left="-20" w:right="40" w:firstLine="464"/>
        <w:spacing w:after="0" w:line="259" w:lineRule="auto"/>
        <w:tabs>
          <w:tab w:leader="none" w:pos="6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78" w:lineRule="exact"/>
        <w:rPr>
          <w:rFonts w:ascii="Arial" w:cs="Arial" w:eastAsia="Arial" w:hAnsi="Arial"/>
          <w:sz w:val="18"/>
          <w:szCs w:val="18"/>
          <w:color w:val="auto"/>
        </w:rPr>
      </w:pPr>
    </w:p>
    <w:p>
      <w:pPr>
        <w:ind w:left="440" w:right="60" w:firstLine="443"/>
        <w:spacing w:after="0" w:line="293" w:lineRule="auto"/>
        <w:tabs>
          <w:tab w:leader="none" w:pos="1133"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56" w:lineRule="exact"/>
        <w:rPr>
          <w:rFonts w:ascii="Arial" w:cs="Arial" w:eastAsia="Arial" w:hAnsi="Arial"/>
          <w:sz w:val="16"/>
          <w:szCs w:val="16"/>
          <w:color w:val="auto"/>
        </w:rPr>
      </w:pPr>
    </w:p>
    <w:p>
      <w:pPr>
        <w:ind w:left="440" w:firstLine="443"/>
        <w:spacing w:after="0" w:line="289" w:lineRule="auto"/>
        <w:tabs>
          <w:tab w:leader="none" w:pos="1133"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58" w:lineRule="exact"/>
        <w:rPr>
          <w:rFonts w:ascii="Arial" w:cs="Arial" w:eastAsia="Arial" w:hAnsi="Arial"/>
          <w:sz w:val="16"/>
          <w:szCs w:val="16"/>
          <w:color w:val="auto"/>
        </w:rPr>
      </w:pPr>
    </w:p>
    <w:p>
      <w:pPr>
        <w:ind w:left="440" w:right="500" w:firstLine="443"/>
        <w:spacing w:after="0" w:line="342" w:lineRule="auto"/>
        <w:tabs>
          <w:tab w:leader="none" w:pos="1133"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5" w:lineRule="exact"/>
        <w:rPr>
          <w:rFonts w:ascii="Arial" w:cs="Arial" w:eastAsia="Arial" w:hAnsi="Arial"/>
          <w:sz w:val="16"/>
          <w:szCs w:val="16"/>
          <w:color w:val="auto"/>
        </w:rPr>
      </w:pPr>
    </w:p>
    <w:p>
      <w:pPr>
        <w:ind w:left="440" w:right="160" w:firstLine="443"/>
        <w:spacing w:after="0" w:line="264" w:lineRule="auto"/>
        <w:tabs>
          <w:tab w:leader="none" w:pos="1133"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4" w:right="239" w:bottom="1440" w:gutter="0" w:footer="0" w:header="0"/>
        </w:sectPr>
      </w:pPr>
    </w:p>
    <w:bookmarkStart w:id="29" w:name="page30"/>
    <w:bookmarkEnd w:id="29"/>
    <w:p>
      <w:pPr>
        <w:ind w:left="460"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7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7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17" w:lineRule="exact"/>
        <w:rPr>
          <w:sz w:val="20"/>
          <w:szCs w:val="20"/>
          <w:color w:val="auto"/>
        </w:rPr>
      </w:pPr>
    </w:p>
    <w:p>
      <w:pPr>
        <w:ind w:right="180" w:firstLine="464"/>
        <w:spacing w:after="0" w:line="255" w:lineRule="auto"/>
        <w:tabs>
          <w:tab w:leader="none" w:pos="7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0" w:name="page31"/>
    <w:bookmarkEnd w:id="30"/>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57" w:lineRule="exact"/>
        <w:rPr>
          <w:sz w:val="20"/>
          <w:szCs w:val="20"/>
          <w:color w:val="auto"/>
        </w:rPr>
      </w:pPr>
    </w:p>
    <w:p>
      <w:pPr>
        <w:ind w:right="120" w:firstLine="464"/>
        <w:spacing w:after="0" w:line="272" w:lineRule="auto"/>
        <w:tabs>
          <w:tab w:leader="none" w:pos="7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69" w:lineRule="exact"/>
        <w:rPr>
          <w:rFonts w:ascii="Arial" w:cs="Arial" w:eastAsia="Arial" w:hAnsi="Arial"/>
          <w:sz w:val="17"/>
          <w:szCs w:val="17"/>
          <w:color w:val="auto"/>
        </w:rPr>
      </w:pPr>
    </w:p>
    <w:p>
      <w:pPr>
        <w:ind w:right="140" w:firstLine="464"/>
        <w:spacing w:after="0" w:line="342" w:lineRule="auto"/>
        <w:tabs>
          <w:tab w:leader="none" w:pos="7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Advancement of Expenses to Officers and Non-Officer Employees Prior to Final Disposition</w:t>
      </w:r>
      <w:r>
        <w:rPr>
          <w:rFonts w:ascii="Arial" w:cs="Arial" w:eastAsia="Arial" w:hAnsi="Arial"/>
          <w:sz w:val="18"/>
          <w:szCs w:val="18"/>
          <w:color w:val="auto"/>
        </w:rPr>
        <w:t>.</w:t>
      </w:r>
    </w:p>
    <w:p>
      <w:pPr>
        <w:spacing w:after="0" w:line="117" w:lineRule="exact"/>
        <w:rPr>
          <w:sz w:val="20"/>
          <w:szCs w:val="20"/>
          <w:color w:val="auto"/>
        </w:rPr>
      </w:pPr>
    </w:p>
    <w:p>
      <w:pPr>
        <w:ind w:right="140" w:firstLine="464"/>
        <w:spacing w:after="0" w:line="255"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81" w:lineRule="exact"/>
        <w:rPr>
          <w:rFonts w:ascii="Arial" w:cs="Arial" w:eastAsia="Arial" w:hAnsi="Arial"/>
          <w:sz w:val="18"/>
          <w:szCs w:val="18"/>
          <w:color w:val="auto"/>
        </w:rPr>
      </w:pPr>
    </w:p>
    <w:p>
      <w:pPr>
        <w:ind w:firstLine="464"/>
        <w:spacing w:after="0" w:line="264"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0" w:lineRule="auto"/>
        <w:tabs>
          <w:tab w:leader="none" w:pos="7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69" w:lineRule="exact"/>
        <w:rPr>
          <w:rFonts w:ascii="Arial" w:cs="Arial" w:eastAsia="Arial" w:hAnsi="Arial"/>
          <w:sz w:val="17"/>
          <w:szCs w:val="17"/>
          <w:color w:val="auto"/>
        </w:rPr>
      </w:pPr>
    </w:p>
    <w:p>
      <w:pPr>
        <w:ind w:right="80" w:firstLine="464"/>
        <w:spacing w:after="0" w:line="272" w:lineRule="auto"/>
        <w:tabs>
          <w:tab w:leader="none" w:pos="711"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69" w:lineRule="exact"/>
        <w:rPr>
          <w:rFonts w:ascii="Arial" w:cs="Arial" w:eastAsia="Arial" w:hAnsi="Arial"/>
          <w:sz w:val="17"/>
          <w:szCs w:val="17"/>
          <w:color w:val="auto"/>
        </w:rPr>
      </w:pPr>
    </w:p>
    <w:p>
      <w:pPr>
        <w:ind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6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2" w:name="page33"/>
    <w:bookmarkEnd w:id="32"/>
    <w:p>
      <w:pPr>
        <w:ind w:right="6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7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63"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Corporate Records</w:t>
      </w:r>
      <w:r>
        <w:rPr>
          <w:rFonts w:ascii="Arial" w:cs="Arial" w:eastAsia="Arial" w:hAnsi="Arial"/>
          <w:sz w:val="17"/>
          <w:szCs w:val="17"/>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3" w:name="page34"/>
    <w:bookmarkEnd w:id="33"/>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Fourth Amended and Restated Certificate of Incorporation of the Corporation, as amended and/or restated and in effect from time to time.</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Exclusive Jurisdiction of Delaware Courts or the United States District Court for the District of Massachusetts</w:t>
      </w:r>
      <w:r>
        <w:rPr>
          <w:rFonts w:ascii="Arial" w:cs="Arial" w:eastAsia="Arial" w:hAnsi="Arial"/>
          <w:sz w:val="17"/>
          <w:szCs w:val="17"/>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or based on a fiduciary duty owed by any current or former director, officer or other employee of the Corporation to the Corporation or the Corporation’s stockholders, (iii) any action asserting a claim against the Corporation or any current or former director, officer, or other employee or stockholder of the Corporation arising pursuant to any provision of the Delaware General Corporation Law or the Certificate or By-laws, or (iv) any action asserting a claim against the Corporation governed by the internal affairs doctrine. Unless the Corporation consents in writing to the selection of an alternative forum, the United States District Court for the District of Massachusetts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117" w:lineRule="exact"/>
        <w:rPr>
          <w:sz w:val="20"/>
          <w:szCs w:val="20"/>
          <w:color w:val="auto"/>
        </w:rPr>
      </w:pPr>
    </w:p>
    <w:p>
      <w:pPr>
        <w:ind w:right="560" w:firstLine="464"/>
        <w:spacing w:after="0" w:line="277" w:lineRule="auto"/>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these By-laws may be amended or repealed by the Board of Directors by the affirmative vote of a majority of the directors then in office.</w:t>
      </w:r>
    </w:p>
    <w:p>
      <w:pPr>
        <w:spacing w:after="0" w:line="62" w:lineRule="exact"/>
        <w:rPr>
          <w:rFonts w:ascii="Arial" w:cs="Arial" w:eastAsia="Arial" w:hAnsi="Arial"/>
          <w:sz w:val="18"/>
          <w:szCs w:val="18"/>
          <w:color w:val="auto"/>
        </w:rPr>
      </w:pPr>
    </w:p>
    <w:p>
      <w:pPr>
        <w:ind w:right="120" w:firstLine="464"/>
        <w:spacing w:after="0" w:line="259"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7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Notices</w:t>
      </w:r>
      <w:r>
        <w:rPr>
          <w:rFonts w:ascii="Arial" w:cs="Arial" w:eastAsia="Arial" w:hAnsi="Arial"/>
          <w:sz w:val="17"/>
          <w:szCs w:val="17"/>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57"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Adopted June 1, 2018, subject to and effective upon the closing of the Corporation’s initial public offering on its Registration Statement on Form S-1.</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lowerRoman"/>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3"/>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lowerLetter"/>
      <w:start w:val="1"/>
    </w:lvl>
    <w:lvl w:ilvl="1">
      <w:lvlJc w:val="left"/>
      <w:lvlText w:val="(%2)"/>
      <w:numFmt w:val="decimal"/>
      <w:start w:val="1"/>
    </w:lvl>
  </w:abstractNum>
  <w:abstractNum w:abstractNumId="10">
    <w:nsid w:val="628C895D"/>
    <w:multiLevelType w:val="hybridMultilevel"/>
    <w:lvl w:ilvl="0">
      <w:lvlJc w:val="left"/>
      <w:lvlText w:val="(%1)"/>
      <w:numFmt w:val="decimal"/>
      <w:start w:val="2"/>
    </w:lvl>
    <w:lvl w:ilvl="1">
      <w:lvlJc w:val="left"/>
      <w:lvlText w:val="(%2)"/>
      <w:numFmt w:val="upperLetter"/>
      <w:start w:val="1"/>
    </w:lvl>
  </w:abstractNum>
  <w:abstractNum w:abstractNumId="11">
    <w:nsid w:val="333AB105"/>
    <w:multiLevelType w:val="hybridMultilevel"/>
    <w:lvl w:ilvl="0">
      <w:lvlJc w:val="left"/>
      <w:lvlText w:val="%1"/>
      <w:numFmt w:val="lowerLetter"/>
      <w:start w:val="1"/>
    </w:lvl>
    <w:lvl w:ilvl="1">
      <w:lvlJc w:val="left"/>
      <w:lvlText w:val="(%2)"/>
      <w:numFmt w:val="upperLetter"/>
      <w:start w:val="2"/>
    </w:lvl>
  </w:abstractNum>
  <w:abstractNum w:abstractNumId="12">
    <w:nsid w:val="721DA317"/>
    <w:multiLevelType w:val="hybridMultilevel"/>
    <w:lvl w:ilvl="0">
      <w:lvlJc w:val="left"/>
      <w:lvlText w:val="(%1)"/>
      <w:numFmt w:val="lowerLetter"/>
      <w:start w:val="26"/>
    </w:lvl>
    <w:lvl w:ilvl="1">
      <w:lvlJc w:val="left"/>
      <w:lvlText w:val="%2"/>
      <w:numFmt w:val="upperLetter"/>
      <w:start w:val="1"/>
    </w:lvl>
  </w:abstractNum>
  <w:abstractNum w:abstractNumId="13">
    <w:nsid w:val="2443A858"/>
    <w:multiLevelType w:val="hybridMultilevel"/>
    <w:lvl w:ilvl="0">
      <w:lvlJc w:val="left"/>
      <w:lvlText w:val="(%1)"/>
      <w:numFmt w:val="lowerLetter"/>
      <w:start w:val="61"/>
    </w:lvl>
    <w:lvl w:ilvl="1">
      <w:lvlJc w:val="left"/>
      <w:lvlText w:val="%2"/>
      <w:numFmt w:val="upperLetter"/>
      <w:start w:val="1"/>
    </w:lvl>
  </w:abstractNum>
  <w:abstractNum w:abstractNumId="14">
    <w:nsid w:val="2D1D5AE9"/>
    <w:multiLevelType w:val="hybridMultilevel"/>
    <w:lvl w:ilvl="0">
      <w:lvlJc w:val="left"/>
      <w:lvlText w:val="(%1)"/>
      <w:numFmt w:val="upperLetter"/>
      <w:start w:val="4"/>
    </w:lvl>
  </w:abstractNum>
  <w:abstractNum w:abstractNumId="15">
    <w:nsid w:val="6763845E"/>
    <w:multiLevelType w:val="hybridMultilevel"/>
    <w:lvl w:ilvl="0">
      <w:lvlJc w:val="left"/>
      <w:lvlText w:val="%1"/>
      <w:numFmt w:val="decimal"/>
      <w:start w:val="1"/>
    </w:lvl>
    <w:lvl w:ilvl="1">
      <w:lvlJc w:val="left"/>
      <w:lvlText w:val="(%2)"/>
      <w:numFmt w:val="decimal"/>
      <w:start w:val="3"/>
    </w:lvl>
  </w:abstractNum>
  <w:abstractNum w:abstractNumId="16">
    <w:nsid w:val="75A2A8D4"/>
    <w:multiLevelType w:val="hybridMultilevel"/>
    <w:lvl w:ilvl="0">
      <w:lvlJc w:val="left"/>
      <w:lvlText w:val="(%1)"/>
      <w:numFmt w:val="decimal"/>
      <w:start w:val="10"/>
    </w:lvl>
    <w:lvl w:ilvl="1">
      <w:lvlJc w:val="left"/>
      <w:lvlText w:val="(%2)"/>
      <w:numFmt w:val="decimal"/>
      <w:start w:val="4"/>
    </w:lvl>
  </w:abstractNum>
  <w:abstractNum w:abstractNumId="17">
    <w:nsid w:val="8EDBDAB"/>
    <w:multiLevelType w:val="hybridMultilevel"/>
    <w:lvl w:ilvl="0">
      <w:lvlJc w:val="left"/>
      <w:lvlText w:val="(%1)"/>
      <w:numFmt w:val="lowerLetter"/>
      <w:start w:val="2"/>
    </w:lvl>
    <w:lvl w:ilvl="1">
      <w:lvlJc w:val="left"/>
      <w:lvlText w:val="(%2)"/>
      <w:numFmt w:val="decimal"/>
      <w:start w:val="1"/>
    </w:lvl>
  </w:abstractNum>
  <w:abstractNum w:abstractNumId="18">
    <w:nsid w:val="79838CB2"/>
    <w:multiLevelType w:val="hybridMultilevel"/>
    <w:lvl w:ilvl="0">
      <w:lvlJc w:val="left"/>
      <w:lvlText w:val="%1"/>
      <w:numFmt w:val="lowerLetter"/>
      <w:start w:val="1"/>
    </w:lvl>
    <w:lvl w:ilvl="1">
      <w:lvlJc w:val="left"/>
      <w:lvlText w:val="(%2)"/>
      <w:numFmt w:val="decimal"/>
      <w:start w:val="2"/>
    </w:lvl>
  </w:abstractNum>
  <w:abstractNum w:abstractNumId="19">
    <w:nsid w:val="4353D0CD"/>
    <w:multiLevelType w:val="hybridMultilevel"/>
    <w:lvl w:ilvl="0">
      <w:lvlJc w:val="left"/>
      <w:lvlText w:val="(%1)"/>
      <w:numFmt w:val="lowerLetter"/>
      <w:start w:val="3"/>
    </w:lvl>
    <w:lvl w:ilvl="1">
      <w:lvlJc w:val="left"/>
      <w:lvlText w:val="%2"/>
      <w:numFmt w:val="decimal"/>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5"/>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lvl w:ilvl="1">
      <w:lvlJc w:val="left"/>
      <w:lvlText w:val="(%2)"/>
      <w:numFmt w:val="lowerLetter"/>
      <w:start w:val="2"/>
    </w:lvl>
  </w:abstractNum>
  <w:abstractNum w:abstractNumId="24">
    <w:nsid w:val="2CA88611"/>
    <w:multiLevelType w:val="hybridMultilevel"/>
    <w:lvl w:ilvl="0">
      <w:lvlJc w:val="left"/>
      <w:lvlText w:val="(%1)"/>
      <w:numFmt w:val="lowerLetter"/>
      <w:start w:val="35"/>
    </w:lvl>
    <w:lvl w:ilvl="1">
      <w:lvlJc w:val="left"/>
      <w:lvlText w:val="%2"/>
      <w:numFmt w:val="lowerLetter"/>
      <w:start w:val="1"/>
    </w:lvl>
  </w:abstractNum>
  <w:abstractNum w:abstractNumId="25">
    <w:nsid w:val="836C40E"/>
    <w:multiLevelType w:val="hybridMultilevel"/>
    <w:lvl w:ilvl="0">
      <w:lvlJc w:val="left"/>
      <w:lvlText w:val="(%1)"/>
      <w:numFmt w:val="lowerLetter"/>
      <w:start w:val="1"/>
    </w:lvl>
    <w:lvl w:ilvl="1">
      <w:lvlJc w:val="left"/>
      <w:lvlText w:val="(%2)"/>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2019-12-28T21:37:14Z</dcterms:created>
  <dcterms:modified xsi:type="dcterms:W3CDTF">2019-12-28T21:37:14Z</dcterms:modified>
</cp:coreProperties>
</file>