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26,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POST-EFFECTIVE</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AMENDMENT NO. 1</w:t>
      </w:r>
    </w:p>
    <w:p>
      <w:pPr>
        <w:jc w:val="center"/>
        <w:ind w:right="-119"/>
        <w:spacing w:after="0" w:line="236" w:lineRule="auto"/>
        <w:rPr>
          <w:sz w:val="20"/>
          <w:szCs w:val="20"/>
          <w:color w:val="auto"/>
        </w:rPr>
      </w:pPr>
      <w:r>
        <w:rPr>
          <w:rFonts w:ascii="Times New Roman" w:cs="Times New Roman" w:eastAsia="Times New Roman" w:hAnsi="Times New Roman"/>
          <w:sz w:val="31"/>
          <w:szCs w:val="31"/>
          <w:b w:val="1"/>
          <w:bCs w:val="1"/>
          <w:color w:val="auto"/>
        </w:rPr>
        <w:t>TO</w:t>
      </w:r>
    </w:p>
    <w:p>
      <w:pPr>
        <w:jc w:val="center"/>
        <w:ind w:right="-119"/>
        <w:spacing w:after="0" w:line="236" w:lineRule="auto"/>
        <w:rPr>
          <w:sz w:val="20"/>
          <w:szCs w:val="20"/>
          <w:color w:val="auto"/>
        </w:rPr>
      </w:pPr>
      <w:r>
        <w:rPr>
          <w:rFonts w:ascii="Times New Roman" w:cs="Times New Roman" w:eastAsia="Times New Roman" w:hAnsi="Times New Roman"/>
          <w:sz w:val="31"/>
          <w:szCs w:val="31"/>
          <w:b w:val="1"/>
          <w:bCs w:val="1"/>
          <w:color w:val="auto"/>
        </w:rPr>
        <w:t>FORM S-1</w:t>
      </w:r>
    </w:p>
    <w:p>
      <w:pPr>
        <w:jc w:val="center"/>
        <w:ind w:right="-119"/>
        <w:spacing w:after="0" w:line="236"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2836</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81-0710585</w:t>
            </w:r>
          </w:p>
        </w:tc>
      </w:tr>
      <w:tr>
        <w:trPr>
          <w:trHeight w:val="149"/>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490 Arsenal Way</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Suite 210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Watertown, MA 02472 (339) 666-3320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Daniel Lochner</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490 Arsenal Way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Suite 210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Watertown, MA 02472 (339) 666-3320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Divakar S. Gupta</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Brandon Fenn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Minkyu Park</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55 Hudson Yards</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129" w:lineRule="exact"/>
        <w:rPr>
          <w:sz w:val="24"/>
          <w:szCs w:val="24"/>
          <w:color w:val="auto"/>
        </w:rPr>
      </w:pPr>
    </w:p>
    <w:p>
      <w:pPr>
        <w:ind w:left="120" w:right="1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84" w:orient="portrait"/>
          <w:cols w:equalWidth="0" w:num="1">
            <w:col w:w="11140"/>
          </w:cols>
          <w:pgMar w:left="320" w:top="225"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This post-effective amendment will become effective in accordance with the provisions of Section 8(c)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124460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No. 1”) to the Registration Statement on Form S-1 (File No. 333-280909) (the “Registration Statement”), as originally declared effective by the U.S. Securities and Exchange Commission (the “SEC”) on July 30, 2024, is being filed to (i) include information contained in the registrant’s Annual Report on Form 10-K for the fiscal year ended December 31, 2024, which was filed with the SEC on March 20, 2025 (the “Annual Report”) and (ii) update certain other information in the Registration Statement.</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No additional securities are being registered under this Post-Effective Amendment No. 1. All applicable registration fees were paid at the time of the original filing of the Registration Statement on July 19, 2024.</w:t>
      </w:r>
    </w:p>
    <w:p>
      <w:pPr>
        <w:sectPr>
          <w:pgSz w:w="11900" w:h="16838" w:orient="portrait"/>
          <w:cols w:equalWidth="0" w:num="1">
            <w:col w:w="11120"/>
          </w:cols>
          <w:pgMar w:left="320" w:top="482" w:right="459" w:bottom="1440" w:gutter="0" w:footer="0" w:header="0"/>
        </w:sectPr>
      </w:pPr>
    </w:p>
    <w:bookmarkStart w:id="3" w:name="page4"/>
    <w:bookmarkEnd w:id="3"/>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260"/>
          </w:cols>
          <w:pgMar w:left="320" w:top="482" w:right="1319" w:bottom="1440" w:gutter="0" w:footer="0" w:header="0"/>
        </w:sectPr>
      </w:pPr>
    </w:p>
    <w:p>
      <w:pPr>
        <w:spacing w:after="0" w:line="200" w:lineRule="exact"/>
        <w:rPr>
          <w:sz w:val="20"/>
          <w:szCs w:val="20"/>
          <w:color w:val="auto"/>
        </w:rPr>
      </w:pPr>
    </w:p>
    <w:p>
      <w:pPr>
        <w:spacing w:after="0" w:line="281" w:lineRule="exact"/>
        <w:rPr>
          <w:sz w:val="20"/>
          <w:szCs w:val="20"/>
          <w:color w:val="auto"/>
        </w:rPr>
      </w:pPr>
    </w:p>
    <w:tbl>
      <w:tblPr>
        <w:tblLayout w:type="fixed"/>
        <w:tblInd w:w="41" w:type="dxa"/>
        <w:tblCellMar>
          <w:top w:w="0" w:type="dxa"/>
          <w:left w:w="0" w:type="dxa"/>
          <w:bottom w:w="0" w:type="dxa"/>
          <w:right w:w="0" w:type="dxa"/>
        </w:tblCellMar>
      </w:tblPr>
      <w:tr>
        <w:trPr>
          <w:trHeight w:val="11600"/>
        </w:trPr>
        <w:tc>
          <w:tcPr>
            <w:tcW w:w="693" w:type="dxa"/>
            <w:vAlign w:val="bottom"/>
            <w:textDirection w:val="btLr"/>
          </w:tcPr>
          <w:p>
            <w:pPr>
              <w:spacing w:after="0" w:line="268" w:lineRule="auto"/>
              <w:rPr>
                <w:sz w:val="20"/>
                <w:szCs w:val="20"/>
                <w:color w:val="auto"/>
              </w:rPr>
            </w:pPr>
            <w:r>
              <w:rPr>
                <w:rFonts w:ascii="Times New Roman" w:cs="Times New Roman" w:eastAsia="Times New Roman" w:hAnsi="Times New Roman"/>
                <w:sz w:val="18"/>
                <w:szCs w:val="18"/>
                <w:b w:val="1"/>
                <w:bCs w:val="1"/>
                <w:color w:val="FF4338"/>
              </w:rPr>
              <w:t>securities and is not soliciting an offer to buy these securities in any jurisdiction where the offer or sale is not permitted. until the registration statement filed with the Securities and Exchange Commission is effective. This preliminary prospectus is not an offer to sell these The information in this preliminary prospectus is not complete and may be changed. Neither we nor the selling securityholders may sell these securities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97155</wp:posOffset>
            </wp:positionV>
            <wp:extent cx="123444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247015</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220" w:firstLine="371"/>
        <w:spacing w:after="0" w:line="266"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2,969,583 shares of common stock, par value $0.0001 per share, of Tectonic Therapeutic, Inc.</w:t>
      </w:r>
    </w:p>
    <w:p>
      <w:pPr>
        <w:spacing w:after="0" w:line="176" w:lineRule="exact"/>
        <w:rPr>
          <w:sz w:val="20"/>
          <w:szCs w:val="20"/>
          <w:color w:val="auto"/>
        </w:rPr>
      </w:pPr>
    </w:p>
    <w:p>
      <w:pPr>
        <w:ind w:firstLine="371"/>
        <w:spacing w:after="0" w:line="254"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the subscription agreement among us and the selling stockholders, dated January 30, 2024 (the “Subscription Agreement”).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8" w:lineRule="exact"/>
        <w:rPr>
          <w:sz w:val="20"/>
          <w:szCs w:val="20"/>
          <w:color w:val="auto"/>
        </w:rPr>
      </w:pPr>
    </w:p>
    <w:p>
      <w:pPr>
        <w:ind w:right="180" w:firstLine="371"/>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w:t>
      </w:r>
    </w:p>
    <w:p>
      <w:pPr>
        <w:spacing w:after="0" w:line="180" w:lineRule="exact"/>
        <w:rPr>
          <w:sz w:val="20"/>
          <w:szCs w:val="20"/>
          <w:color w:val="auto"/>
        </w:rPr>
      </w:pPr>
    </w:p>
    <w:p>
      <w:pPr>
        <w:ind w:right="120" w:firstLine="37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“TECX.” On March 25, 2025, the closing price for our common stock, as reported on Nasdaq, was $21.22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200025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520" w:firstLine="371"/>
        <w:spacing w:after="0" w:line="262" w:lineRule="auto"/>
        <w:rPr>
          <w:sz w:val="20"/>
          <w:szCs w:val="20"/>
          <w:color w:val="auto"/>
        </w:rPr>
      </w:pPr>
      <w:r>
        <w:rPr>
          <w:rFonts w:ascii="Times New Roman" w:cs="Times New Roman" w:eastAsia="Times New Roman" w:hAnsi="Times New Roman"/>
          <w:sz w:val="22"/>
          <w:szCs w:val="22"/>
          <w:b w:val="1"/>
          <w:bCs w:val="1"/>
          <w:color w:val="auto"/>
        </w:rPr>
        <w:t>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9 of this prospectus to read about factors you should consider before buying our securities.</w:t>
      </w:r>
    </w:p>
    <w:p>
      <w:pPr>
        <w:spacing w:after="0" w:line="159" w:lineRule="exact"/>
        <w:rPr>
          <w:sz w:val="20"/>
          <w:szCs w:val="20"/>
          <w:color w:val="auto"/>
        </w:rPr>
      </w:pPr>
    </w:p>
    <w:p>
      <w:pPr>
        <w:ind w:right="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216535</wp:posOffset>
            </wp:positionV>
            <wp:extent cx="123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6"/>
          <w:szCs w:val="216"/>
          <w:color w:val="auto"/>
        </w:rPr>
        <w:t> </w:t>
      </w:r>
    </w:p>
    <w:p>
      <w:pPr>
        <w:sectPr>
          <w:pgSz w:w="11900" w:h="16838" w:orient="portrait"/>
          <w:cols w:equalWidth="0" w:num="2">
            <w:col w:w="734" w:space="246"/>
            <w:col w:w="9280"/>
          </w:cols>
          <w:pgMar w:left="320" w:top="482" w:right="1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8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 .</w:t>
            </w:r>
          </w:p>
        </w:tc>
        <w:tc>
          <w:tcPr>
            <w:tcW w:w="80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 .</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52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30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80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INFORMATION FOR COMMON STOCK AND DIVIDEND POLICY .</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4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 .</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94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492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120" w:type="dxa"/>
            <w:vAlign w:val="bottom"/>
          </w:tcPr>
          <w:p>
            <w:pPr>
              <w:spacing w:after="0"/>
              <w:rPr>
                <w:sz w:val="17"/>
                <w:szCs w:val="17"/>
                <w:color w:val="auto"/>
              </w:rPr>
            </w:pPr>
          </w:p>
        </w:tc>
        <w:tc>
          <w:tcPr>
            <w:tcW w:w="26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772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 TO NON-U.S. HOLDERS OF OUR COMMON STOCK</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1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 .</w:t>
            </w:r>
          </w:p>
        </w:tc>
        <w:tc>
          <w:tcPr>
            <w:tcW w:w="7860" w:type="dxa"/>
            <w:vAlign w:val="bottom"/>
            <w:tcBorders>
              <w:top w:val="single" w:sz="8" w:color="0000EE"/>
            </w:tcBorders>
            <w:gridSpan w:val="11"/>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103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 .</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EXPERTS .</w:t>
            </w:r>
          </w:p>
        </w:tc>
        <w:tc>
          <w:tcPr>
            <w:tcW w:w="680" w:type="dxa"/>
            <w:vAlign w:val="bottom"/>
            <w:tcBorders>
              <w:top w:val="single" w:sz="8" w:color="0000EE"/>
            </w:tcBorders>
            <w:gridSpan w:val="3"/>
          </w:tcPr>
          <w:p>
            <w:pPr>
              <w:spacing w:after="0"/>
              <w:rPr>
                <w:sz w:val="17"/>
                <w:szCs w:val="17"/>
                <w:color w:val="auto"/>
              </w:rPr>
            </w:pPr>
          </w:p>
        </w:tc>
        <w:tc>
          <w:tcPr>
            <w:tcW w:w="884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w:t>
            </w:r>
          </w:p>
        </w:tc>
        <w:tc>
          <w:tcPr>
            <w:tcW w:w="648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34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14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under the caption “Selling Stockholders,” from time to time, of up to an aggregate of 2,969,583 shares of common stock. We are not selling any shares of common stock under this prospectus, and we will not receive any proceeds from the sale of shares of common stock offered hereby by the selling stockholders.</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76"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Tectonic Therapeutic, Inc., a Delaware corporation, and its consolidated subsidiaries (including Tectonic Operating Company, Inc., previously Tectonic Therapeutic, Inc., referred to as “Legacy Tectonic”).</w:t>
      </w:r>
    </w:p>
    <w:p>
      <w:pPr>
        <w:spacing w:after="0" w:line="176" w:lineRule="exact"/>
        <w:rPr>
          <w:sz w:val="20"/>
          <w:szCs w:val="20"/>
          <w:color w:val="auto"/>
        </w:rPr>
      </w:pPr>
    </w:p>
    <w:p>
      <w:pPr>
        <w:jc w:val="both"/>
        <w:ind w:left="120" w:right="2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 “may,” “might,” “plan,” “possible,” “potential,” “predict,” “project,” “should,” “will,” “would” and similar expressions or negative of these terms may identify forward-looking statements, but the absence of these words does not mean that a statement is not forward-looking. Forward-looking statements in this prospectus may include, for example, statements about:</w:t>
      </w:r>
    </w:p>
    <w:p>
      <w:pPr>
        <w:spacing w:after="0" w:line="7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TX2100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if approved, or the commercial or market opportunity with respect to any of our future products, if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 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if any,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120" w:firstLine="426"/>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 protein-coupled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and to enable the discovery and development of GPCR-targeted biologic medicines that can modify the course of disease. We focus on areas of significant unmet medical need, often where therapeutic options are poor or nonexistent, and where new medicines have the potential to improve patient quality of life or extend duration of life.</w:t>
      </w:r>
    </w:p>
    <w:p>
      <w:pPr>
        <w:spacing w:after="0" w:line="200" w:lineRule="exact"/>
        <w:rPr>
          <w:sz w:val="20"/>
          <w:szCs w:val="20"/>
          <w:color w:val="auto"/>
        </w:rPr>
      </w:pPr>
    </w:p>
    <w:p>
      <w:pPr>
        <w:ind w:left="300" w:right="80" w:firstLine="426"/>
        <w:spacing w:after="0" w:line="269" w:lineRule="auto"/>
        <w:rPr>
          <w:sz w:val="20"/>
          <w:szCs w:val="20"/>
          <w:color w:val="auto"/>
        </w:rPr>
      </w:pPr>
      <w:r>
        <w:rPr>
          <w:rFonts w:ascii="Times New Roman" w:cs="Times New Roman" w:eastAsia="Times New Roman" w:hAnsi="Times New Roman"/>
          <w:sz w:val="17"/>
          <w:szCs w:val="17"/>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82" w:lineRule="exact"/>
        <w:rPr>
          <w:sz w:val="20"/>
          <w:szCs w:val="20"/>
          <w:color w:val="auto"/>
        </w:rPr>
      </w:pPr>
    </w:p>
    <w:p>
      <w:pPr>
        <w:ind w:left="300" w:right="240" w:firstLine="426"/>
        <w:spacing w:after="0" w:line="269" w:lineRule="auto"/>
        <w:rPr>
          <w:sz w:val="20"/>
          <w:szCs w:val="20"/>
          <w:color w:val="auto"/>
        </w:rPr>
      </w:pPr>
      <w:r>
        <w:rPr>
          <w:rFonts w:ascii="Times New Roman" w:cs="Times New Roman" w:eastAsia="Times New Roman" w:hAnsi="Times New Roman"/>
          <w:sz w:val="18"/>
          <w:szCs w:val="18"/>
          <w:color w:val="auto"/>
        </w:rPr>
        <w:t>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49" w:lineRule="exact"/>
        <w:rPr>
          <w:sz w:val="20"/>
          <w:szCs w:val="20"/>
          <w:color w:val="auto"/>
        </w:rPr>
      </w:pPr>
    </w:p>
    <w:p>
      <w:pPr>
        <w:ind w:left="300" w:right="20" w:firstLine="426"/>
        <w:spacing w:after="0" w:line="239" w:lineRule="auto"/>
        <w:rPr>
          <w:sz w:val="20"/>
          <w:szCs w:val="20"/>
          <w:color w:val="auto"/>
        </w:rPr>
      </w:pPr>
      <w:r>
        <w:rPr>
          <w:rFonts w:ascii="Times New Roman" w:cs="Times New Roman" w:eastAsia="Times New Roman" w:hAnsi="Times New Roman"/>
          <w:sz w:val="18"/>
          <w:szCs w:val="18"/>
          <w:color w:val="auto"/>
        </w:rPr>
        <w:t>The initial components of the platform, its first generation yeast library design and initial yeast selection protocols, were developed at the Harvard Medical School. However, over the last few years we have improved and modified all aspects of the platform including second and third generation library designs, optimized GPCR engineering strategies and yeast selection protocols better suited to GPCR antibody discovery. These modifications have resulted in selection campaigns that have a higher success rate with molecules that have higher affinity and potency and better biophysical properties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we continue to evolve and modify aspects of the platform, which we believe will lead to even better results.</w:t>
      </w:r>
    </w:p>
    <w:p>
      <w:pPr>
        <w:spacing w:after="0" w:line="20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lead asset TX000045, referred to as TX45, is an Fc-relaxin fusion molecule that activates the RXFP1 receptor, the GPCR target of the hormone, relaxin. Relaxin is an endogenous protein that is expressed at low levels in both men and women. In normal human physiology, relaxin is upregulated during pregnancy where it exerts vasodilatory effects, reduces systemic and pulmonary vascular resistance and increases cardiac output to</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01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accommodate the increased demand for oxygen and nutrients from the developing fetus. Relaxin also exerts anti-fibrotic effects on pelvic ligaments to facilitate delivery of the baby. Scientists have hypothesized that these unique dual aspects of relaxin biology may offer therapeutic potential in the treatment of cardiovascular disease. Unfortunately, the development of a viable therapeutic targeting relaxin has been challenging, primarily because of relaxin’s very short half-life.</w:t>
      </w:r>
    </w:p>
    <w:p>
      <w:pPr>
        <w:spacing w:after="0" w:line="180"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ongoing to confirm this hypothesis.</w:t>
      </w:r>
    </w:p>
    <w:p>
      <w:pPr>
        <w:spacing w:after="0" w:line="18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Our second program, TX2100,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GPCR target for our HHT program is a receptor for an angiogenic factor known to be upregulated in HHT animal models. By blocking the signaling of this receptor, we anticipate the potential for decreased bleeding resulting from the abnormal angiogenesis seen in HHT. We selected TX2100 as a development candidate. TX2100 is a VHH-Fc fusion antagonist to an undisclosed GPCR target (“GPCR3”). We intend to start IND enabling toxicology studies in the second quarter of 2025 and expect to initiate a Phase 1 clinical trial for TX2100 in the fourth quarter of 2025 or the first quarter of 2026, subject to the results of IND-enabling studies.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On February 3, 2025, we entered into a Securities Purchase Agreement (the “Purchase Agreement”) with certain accredited investors, pursuant to which we issued and sold 3,689,465 shares (the “Shares”) of our common stock, $0.0001 par value per share, at a price of $50.00 per Share to certain institutional accredited investors and $54.14 per Share to individual accredited investors that are either an officer or director of the Company (the “Private Placement”). Our total gross proceeds from the sale of the Shares in the Private Placement were approximately $185.0 million. The closing of the Private Placement occurred on February 5, 2025.</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(the “Registration Rights Agreement”) with the selling stockholders, pursuant to which we agreed to register the Shares for resale. Under the Registration Rights Agreement, we agreed, among other things, to prepare and file with the SEC a registration statement on Form S-1 to register for resale the Shares within 54 calendar days of the closing of the Private Placement, and to use reasonable best efforts to have the registration statement declared effective at the earliest possible date, but in any event no later than the earlier of (a) the 90th calendar day following the initial filing date or (b) the fifth business day after the date we are notified (orally or in writing, whichever is earlier) by the SEC that the registration statement will not be “reviewed” or will not be subject to further review. We also agreed to use reasonable best efforts to keep such registration statement effective until the earlier of the date the Shares covered by such registration statement have been sold or may be resold pursuant to Rule 144 without restriction. We agreed to be responsible for all fees and expenses incurred in connection with the registration of the Shares.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56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following this prospectus summary. These risks include the following, among others:</w:t>
      </w:r>
    </w:p>
    <w:p>
      <w:pPr>
        <w:spacing w:after="0" w:line="81" w:lineRule="exact"/>
        <w:rPr>
          <w:sz w:val="20"/>
          <w:szCs w:val="20"/>
          <w:color w:val="auto"/>
        </w:rPr>
      </w:pPr>
    </w:p>
    <w:p>
      <w:pPr>
        <w:ind w:left="1240" w:right="3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Times New Roman" w:cs="Times New Roman" w:eastAsia="Times New Roman" w:hAnsi="Times New Roman"/>
          <w:sz w:val="18"/>
          <w:szCs w:val="18"/>
          <w:color w:val="auto"/>
        </w:rPr>
      </w:pPr>
    </w:p>
    <w:p>
      <w:pPr>
        <w:ind w:left="1240" w:right="140" w:hanging="415"/>
        <w:spacing w:after="0" w:line="213"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04"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82"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538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153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82"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64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164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320" w:top="482"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Tectonic Therapeutic, Inc.</w:t>
      </w:r>
    </w:p>
    <w:p>
      <w:pPr>
        <w:spacing w:after="0" w:line="200"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Offered by the Selling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an aggregate of 2,969,583 shares of common stock.</w:t>
      </w:r>
    </w:p>
    <w:p>
      <w:pPr>
        <w:spacing w:after="0" w:line="434" w:lineRule="exact"/>
        <w:rPr>
          <w:sz w:val="20"/>
          <w:szCs w:val="20"/>
          <w:color w:val="auto"/>
        </w:rPr>
      </w:pPr>
    </w:p>
    <w:p>
      <w:pPr>
        <w:sectPr>
          <w:pgSz w:w="11900" w:h="16838" w:orient="portrait"/>
          <w:cols w:equalWidth="0" w:num="2">
            <w:col w:w="3780" w:space="560"/>
            <w:col w:w="6600"/>
          </w:cols>
          <w:pgMar w:left="320" w:top="482" w:right="639" w:bottom="1440" w:gutter="0" w:footer="0" w:header="0"/>
          <w:type w:val="continuous"/>
        </w:sectPr>
      </w:pP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18,662,672 shares of common stock as of February 28, 2025.</w:t>
      </w:r>
    </w:p>
    <w:p>
      <w:pPr>
        <w:spacing w:after="0" w:line="200"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the sale of the shares of common stock covered by this prospectus.</w:t>
      </w:r>
    </w:p>
    <w:p>
      <w:pPr>
        <w:spacing w:after="0" w:line="200"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TECX.</w:t>
      </w:r>
    </w:p>
    <w:p>
      <w:pPr>
        <w:spacing w:after="0" w:line="200"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189"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 consider carefully before deciding to invest in shares of our common stock.</w:t>
      </w:r>
    </w:p>
    <w:p>
      <w:pPr>
        <w:spacing w:after="0" w:line="160" w:lineRule="exact"/>
        <w:rPr>
          <w:sz w:val="20"/>
          <w:szCs w:val="20"/>
          <w:color w:val="auto"/>
        </w:rPr>
      </w:pPr>
    </w:p>
    <w:p>
      <w:pPr>
        <w:sectPr>
          <w:pgSz w:w="11900" w:h="16838" w:orient="portrait"/>
          <w:cols w:equalWidth="0" w:num="2">
            <w:col w:w="3620" w:space="720"/>
            <w:col w:w="6600"/>
          </w:cols>
          <w:pgMar w:left="320" w:top="482"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148.</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issued and outstanding shares of common stock as of February 28, 2025 excludes the following:</w:t>
      </w:r>
    </w:p>
    <w:p>
      <w:pPr>
        <w:spacing w:after="0" w:line="131" w:lineRule="exact"/>
        <w:rPr>
          <w:sz w:val="20"/>
          <w:szCs w:val="20"/>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1,795,648 shares of common stock issuable upon the exercise of outstanding stock options at a weighted average exercise price of $19.10 under our 2019 and 2024 Equity Incentive Plans;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31,891 shares of common stock issuable upon the exercise of outstanding options at a weighted average exercise price of $40.80 under the AVROBIO, Inc. 2018 Equity Incentive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180,487 shares of common stock issuable upon the settlement of outstanding restricted stock units;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1,245,659 shares of common stock reserved for future issuance under our 2024 Equity Incentive Plan;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295,906 shares of common stock reserved for future issuance under our 2024 Employee Stock Purchase Plan.</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82"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a reverse merger with AVROBIO, Inc. in June 2024 and have been operating under this structure for only a short time (for additional information concerning the merger, 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beginning on page 71).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years ended December 31, 2024 and 2023, we reported a net loss of $58.0 million and $42.8 million, respectively. As of December 31, 2024, we had an accumulated deficit of $148.6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16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we had $141.2 million in cash and cash equivalents. Although we believe that our available cash and cash equivalents will be sufficient to fund our planned operations for at least 12 months following the date of our consolidated financial statements included in this prospectus, this belief is based on assumptions that may prove to be wrong, and we could use our available capital resources sooner than we currently expect.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capital requirements for TX45 or our preclinical programs will depend on many factors, including:</w:t>
      </w:r>
    </w:p>
    <w:p>
      <w:pPr>
        <w:spacing w:after="0" w:line="131" w:lineRule="exact"/>
        <w:rPr>
          <w:sz w:val="20"/>
          <w:szCs w:val="20"/>
          <w:color w:val="auto"/>
        </w:rPr>
      </w:pPr>
    </w:p>
    <w:p>
      <w:pPr>
        <w:ind w:left="1080" w:right="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Harvard and other license agreements, as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28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120" w:right="24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9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30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94" w:lineRule="exact"/>
        <w:rPr>
          <w:sz w:val="20"/>
          <w:szCs w:val="20"/>
          <w:color w:val="auto"/>
        </w:rPr>
      </w:pPr>
    </w:p>
    <w:p>
      <w:pPr>
        <w:ind w:left="1080" w:right="6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date, we have completed only one clinical trial (Phase 1a trial in normal healthy volunteer with TX45) required for the approval of any of our product candidates. Enrollment in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time, need to be redesigned, enroll patients on time, have sufficient drug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296" w:lineRule="exact"/>
        <w:rPr>
          <w:sz w:val="20"/>
          <w:szCs w:val="20"/>
          <w:color w:val="auto"/>
        </w:rPr>
      </w:pPr>
    </w:p>
    <w:p>
      <w:pPr>
        <w:jc w:val="both"/>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2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29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72"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w:t>
      </w:r>
    </w:p>
    <w:p>
      <w:pPr>
        <w:spacing w:after="0" w:line="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1b study in patients with Group 2 PH to date, the results from future preclinical studies and clinical trials, including of our other product candidates, may identify safety concerns or other undesirable properties of our product candidates.</w:t>
      </w:r>
    </w:p>
    <w:p>
      <w:pPr>
        <w:spacing w:after="0" w:line="1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sufficient number of patients, or those with the required or desired characteristics, to complete our clinical trials in a timely manner. Patient enrollment and trial completion is affected by many factors, including the:</w:t>
      </w:r>
    </w:p>
    <w:p>
      <w:pPr>
        <w:spacing w:after="0" w:line="67" w:lineRule="exact"/>
        <w:rPr>
          <w:sz w:val="20"/>
          <w:szCs w:val="20"/>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trial sites in Moldova and Georgia for the Phase 1b trial and Phase II with its proximity to the conflict between Russia and the Ukraine;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IRBs and ethics committees or other governing entities at clinical trial sites selected for participation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clinical trial sites on clinical budgets and/or clinical trial agreements;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failures to conduct the trial in accordance with regulatory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298"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w:t>
      </w:r>
    </w:p>
    <w:p>
      <w:pPr>
        <w:spacing w:after="0" w:line="2" w:lineRule="exact"/>
        <w:rPr>
          <w:sz w:val="20"/>
          <w:szCs w:val="20"/>
          <w:color w:val="auto"/>
        </w:rPr>
      </w:pPr>
    </w:p>
    <w:p>
      <w:pPr>
        <w:ind w:left="120" w:right="80" w:hanging="4"/>
        <w:spacing w:after="0" w:line="252" w:lineRule="auto"/>
        <w:tabs>
          <w:tab w:leader="none" w:pos="4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1080" w:right="4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100"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266"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our success in:</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93"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5540" w:right="280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 26</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28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187"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89" w:lineRule="exact"/>
        <w:rPr>
          <w:sz w:val="20"/>
          <w:szCs w:val="20"/>
          <w:color w:val="auto"/>
        </w:rPr>
      </w:pPr>
    </w:p>
    <w:p>
      <w:pPr>
        <w:ind w:left="1080" w:right="180" w:hanging="424"/>
        <w:spacing w:after="0" w:line="25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certain circumstances, many of which differ from each other in significant ways and may not have the same effect, thus complicating compliance efforts;</w:t>
      </w:r>
    </w:p>
    <w:p>
      <w:pPr>
        <w:spacing w:after="0" w:line="67" w:lineRule="exact"/>
        <w:rPr>
          <w:sz w:val="20"/>
          <w:szCs w:val="20"/>
          <w:color w:val="auto"/>
        </w:rPr>
      </w:pPr>
    </w:p>
    <w:p>
      <w:pPr>
        <w:ind w:left="1080" w:right="20" w:hanging="424"/>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TX45, TX2100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187"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on February 1, 2025, President Donald Trump signed executive orders imposing a 25% tariff on certain imports from Mexico and Canada, and a 10% tariff on certain imports from China, which were to take effect on February 4, 2025. A 30-day pause was granted to Canada and Mexico. However,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It is unclear whether the current Congress (the 119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302"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291"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192"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9"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right="5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82"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the proprietary rights of third parties. There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82"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9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related to our patents or the patents of our licensors, which could be expensive, time-consuming and unsuccessful.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 xml:space="preserve">directed to a genus of antibodies that are solely defined by function; and in the case of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8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90"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It is unclear whether the current Congress (the 119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284" w:lineRule="exact"/>
        <w:rPr>
          <w:sz w:val="20"/>
          <w:szCs w:val="20"/>
          <w:color w:val="auto"/>
        </w:rPr>
      </w:pPr>
    </w:p>
    <w:p>
      <w:pPr>
        <w:jc w:val="both"/>
        <w:ind w:left="12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4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9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consulting or advisory contracts with other entities that may limit their availability to us. If we are unable to continue to attract and retain high-quality personnel, our ability to pursue our growth strategy will be limited.</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health-related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p>
    <w:p>
      <w:pPr>
        <w:spacing w:after="0" w:line="7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spacing w:after="0" w:line="192"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color w:val="auto"/>
        </w:rPr>
        <w:t>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20" w:top="482"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284"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18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contains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19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laws and regulations, export and import controls, sanctions and embargoes. We could face liability and other serious consequences for violations which can harm our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current service providers, manufacturers and other partners may not survive an economic downturn, which could directly affect our ability to attain our operating goals on schedule and on budget.</w:t>
      </w:r>
    </w:p>
    <w:p>
      <w:pPr>
        <w:spacing w:after="0" w:line="162"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26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96"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9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previously filed lawsuits, which were subsequently dismissed, relating to the Merger; however, additional lawsuits could be filed.</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xml:space="preserve">, No. 652555/2024 (filed May 17, 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Keller </w:t>
      </w:r>
      <w:r>
        <w:rPr>
          <w:rFonts w:ascii="Times New Roman" w:cs="Times New Roman" w:eastAsia="Times New Roman" w:hAnsi="Times New Roman"/>
          <w:sz w:val="18"/>
          <w:szCs w:val="18"/>
          <w:color w:val="auto"/>
        </w:rPr>
        <w:t>actions assert claims for breach of fiduciary duty against all defendants. The Merger Actions seek, among other things, an injunction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enjoining the consummation of the Merger, rescission of the Merger if consummated, costs of the action, including plaintiff’s attorneys’ fees and experts’ fees and other relief the court may deem just and proper.</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the selling stockholders pursuant to this prospectus, in the public market or otherwise, could cause the market price for our securities to decline, even though the selling stockholders would still realize a profit on sales at lower prices. Resales of the securities offered may cause the market price of such securities to drop significantly, even if our business is doing well.</w:t>
      </w:r>
    </w:p>
    <w:p>
      <w:pPr>
        <w:spacing w:after="0" w:line="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including sales pursuant to this prospectus,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named in this prospectus acquired securities at prices that are significantly less than the current trading price of our common stock. Accordingly, certain of the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named in this prospectus hold a large portion of our outstanding common stock. The shares being offered for resale pursuant to this prospectus by the selling stockholders and our other similar prospectus represent approximately 35.7% of our outstanding common stock as of February 28, 2025. Given the substantial number of shares of common stock being registered for potential resale by selling stockholders pursuant to this prospectus and our other similar prospectus, the sale of shares by the selling stockholders of a large number of shares, or the perception in the market that the selling stockholders of a large number of shares intend to sell shares, could increase the volatility of the market price of our common stock or result in a significant decline in the public trading price of our common stock. While certain of the selling stockholders may experience a positive rate of return on their investment in our common stock as a result, the public stockholders may not experience a similar rate of return on the securities they purchased due to differences in their purchase prices and the trading price.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in connection with the Private Placement.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being registered for sale is significant in relation to the number of outstanding shares of our common stock. Future sales of shares by existing stockholders could cause our stock price to decline.</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February 28, 2025, we had approximately 18,662,672 shares of common stock outstanding. This prospectus is a part of a registration statement on Form S-1 that registers 2,969,583 shares of common stock for sale into the public market by the selling stockholders. These shares represent a significant number of our outstanding common stock, and if sold in the market all at once or at about the same time, such transactions could depress the market price of our common stock during the period the registration statement remains effective. Any such transaction could also adversely affect our ability to raise equity capital.</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December 31, 2024, our executive officers, directors and principal stockholders, in the aggregate, beneficially own approximately 72%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112" w:lineRule="exact"/>
        <w:rPr>
          <w:sz w:val="20"/>
          <w:szCs w:val="20"/>
          <w:color w:val="auto"/>
        </w:rPr>
      </w:pPr>
    </w:p>
    <w:p>
      <w:pPr>
        <w:ind w:left="1080" w:right="1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(the “Board”)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8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hanging="4"/>
        <w:spacing w:after="0" w:line="253"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any sales of shares of our common stock by the selling stockholders.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“TECX.”</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February 28, 2025, we had approximately 18,662,672 shares of common stock issued and outstanding, held by approximately 37 registered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320" w:top="482"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audited consolidated financial statements as of and for the fiscal year ended December 31, 2024 and the related notes appearing elsewhere or incorporated by reference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prospectus.</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Legacy Tectonic and its consolidated subsidiaries prior to the business combination with AVROBIO, Inc. completed on June 20, 2024 (such business combination, the “Merger”), and the business and operations of Tectonic Therapeutic, Inc. (previously AVROBIO, Inc., referred to as “AVROBIO”) and its consolidated subsidiaries following the Merger.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is expected to start in the second quarter of 2025.We expect to initiate a Phase 1 clinical trial for TX2100 in the fourth quarter of 2025 or the first quarter of 2026, subject to the results of IND enabling studies.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pacing w:after="0" w:line="19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Legacy Tectonic stockholders received 10,956,614 shares of AVROBIO common stock in connection with the Merger, including 11,447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 stock pursuant to the Subscription Agreement for an aggregate purchase price of $96.6 million. The shares of Legacy Tectonic common stock that were issued pursuant to the Subscription Agreement were converted into 4,163,606 shares of our common stock upon the closing of the Merger based on the exchange ratio, pursuant to the Merger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67" w:lineRule="exact"/>
        <w:rPr>
          <w:sz w:val="20"/>
          <w:szCs w:val="20"/>
          <w:color w:val="auto"/>
        </w:rPr>
      </w:pPr>
    </w:p>
    <w:p>
      <w:pPr>
        <w:ind w:left="1080" w:right="6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stock-based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fees paid to contract research organizations (“CROs”);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development and manufacturing organizations (“CDMOs”);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82"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9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30" w:lineRule="exact"/>
        <w:rPr>
          <w:rFonts w:ascii="Times New Roman" w:cs="Times New Roman" w:eastAsia="Times New Roman" w:hAnsi="Times New Roman"/>
          <w:sz w:val="18"/>
          <w:szCs w:val="18"/>
          <w:color w:val="auto"/>
        </w:rPr>
      </w:pPr>
    </w:p>
    <w:p>
      <w:pPr>
        <w:jc w:val="both"/>
        <w:ind w:left="1080" w:right="7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expect to incur increased accounting, audit, legal, regulatory, compliance, director and officer insurance, and investor and public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on Issuance of SAFE Liabilities and Change in Fair Value of SAFE Liabilities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 which are included in cash and cash equivalents in the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6"/>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4,398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8,969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(58,015)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(44,648)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(13,367)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(4,865)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3,680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 other income, net</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(57,982)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(42,823)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(15,159)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6"/>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$15,324</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$15,870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TX2100</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4,032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and unallocated 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12,317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1,549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 supplies and related expenses</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(1,559)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platform development and unallocated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41,364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36,966</w:t>
            </w:r>
          </w:p>
        </w:tc>
        <w:tc>
          <w:tcPr>
            <w:tcW w:w="2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Total research and development expenses increased $4.4 million for the year ended December 31, 2024 compared to the year ended December 31,</w:t>
      </w:r>
    </w:p>
    <w:p>
      <w:pPr>
        <w:spacing w:after="0" w:line="39" w:lineRule="exact"/>
        <w:rPr>
          <w:sz w:val="20"/>
          <w:szCs w:val="20"/>
          <w:color w:val="auto"/>
        </w:rPr>
      </w:pPr>
    </w:p>
    <w:p>
      <w:pPr>
        <w:jc w:val="both"/>
        <w:ind w:left="120" w:right="460"/>
        <w:spacing w:after="0" w:line="260" w:lineRule="auto"/>
        <w:rPr>
          <w:sz w:val="20"/>
          <w:szCs w:val="20"/>
          <w:color w:val="auto"/>
        </w:rPr>
      </w:pPr>
      <w:r>
        <w:rPr>
          <w:rFonts w:ascii="Times New Roman" w:cs="Times New Roman" w:eastAsia="Times New Roman" w:hAnsi="Times New Roman"/>
          <w:sz w:val="18"/>
          <w:szCs w:val="18"/>
          <w:color w:val="auto"/>
        </w:rPr>
        <w:t>2023. The increase in research and development expense was primarily the result of increased CRO and CDMO costs related to the discovery and development of TX2100.</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7,862</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3,918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7,009</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4,822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16,651</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7,682</w:t>
            </w:r>
          </w:p>
        </w:tc>
        <w:tc>
          <w:tcPr>
            <w:tcW w:w="420" w:type="dxa"/>
            <w:vAlign w:val="bottom"/>
            <w:vMerge w:val="continue"/>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42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increased $9.0 million for the year ended December 31, 2024 compared to the year ended December 31, 2023. The increase is primarily attributable to an increase in employee-related expenses and professional and consulting expenses. Employee-related expenses increased $3.9 million for the year ended December 31, 2024 compared to the year ended December 31, 2023 due to an increase in stock-based compensation for stock-based awards, the expense for the modification of certain stock options and severance costs related the reduction in force that occurred during the year ended December 31, 2024. Professional and consulting expenses increased $4.8 million for the year ended December 31, 2024 compared to the year ended December 31, 2023. The increase in professional and consulting expenses was due to an increase in services fees to support Merger-related activities and an increase in audit, legal and administrative services to support our operations as a public company.</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$3.6 million resulted from the remeasurement of the SAFE liabilities to fair value during the year ended December 31, 2024.</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82"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$3.7 million for the year ended December 31, 2024 compared to the year ended December 31, 2023 primarily due to an increase in cash and cash equivalents as a result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$185 million. As of December 31, 2024, we had $141.2 million in cash and cash equivalents and an accumulated deficit of $148.6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our Annual Report on Form 10-K for the year ended December 31, 2024. We have based this estimate on assumptions that may prove to be wrong, and we could exhaust our capital resources sooner than we expect.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2024 and 2023:</w:t>
      </w:r>
    </w:p>
    <w:p>
      <w:pPr>
        <w:spacing w:after="0" w:line="24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1920" w:type="dxa"/>
            <w:vAlign w:val="bottom"/>
            <w:gridSpan w:val="5"/>
          </w:tcPr>
          <w:p>
            <w:pPr>
              <w:jc w:val="right"/>
              <w:ind w:right="42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w w:val="95"/>
              </w:rPr>
              <w:t>$ (59,080)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w w:val="99"/>
              </w:rPr>
              <w:t>(40,681)</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(279)</w:t>
            </w: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171,714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33,747</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w:t>
            </w:r>
          </w:p>
        </w:tc>
      </w:tr>
      <w:tr>
        <w:trPr>
          <w:trHeight w:val="27"/>
        </w:trPr>
        <w:tc>
          <w:tcPr>
            <w:tcW w:w="6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u w:val="single" w:color="auto"/>
                <w:color w:val="auto"/>
                <w:w w:val="92"/>
              </w:rPr>
              <w:t>$</w:t>
            </w:r>
            <w:r>
              <w:rPr>
                <w:rFonts w:ascii="Times New Roman" w:cs="Times New Roman" w:eastAsia="Times New Roman" w:hAnsi="Times New Roman"/>
                <w:sz w:val="20"/>
                <w:szCs w:val="20"/>
                <w:color w:val="auto"/>
                <w:w w:val="92"/>
              </w:rPr>
              <w:t xml:space="preserve"> 112,470</w:t>
            </w:r>
          </w:p>
        </w:tc>
        <w:tc>
          <w:tcPr>
            <w:tcW w:w="2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(7,197)</w:t>
            </w:r>
          </w:p>
        </w:tc>
      </w:tr>
      <w:tr>
        <w:trPr>
          <w:trHeight w:val="20"/>
        </w:trPr>
        <w:tc>
          <w:tcPr>
            <w:tcW w:w="6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cash used in operating activities was $59.1 million. Cash used in operating activities was primarily used to fund our operations to develop our product candidates, resulting in a net loss of $58.0 million and changes in our operating assets and liabilities of $10.3 million, partially offset by non-cash charges of $9.2 million related to the change in the fair value of the SAFE liabilities, stock-based compensation expense, depreciation and amortization expense and lease expense. The increase in operating assets and liabilities relates to accrued expenses for the Merger and prepayments to the CRO.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cash used in operating activities was $40.7 million. Cash used in operating activities was primarily used to fund our operations to development our product candidates, resulting in a net loss of $42.8 million and changes in our operating assets and liabilities of $0.6 million, partially offset by non-cash charges of $2.7 million related to the change in the fair value of the SAFE liabilities, stock-based compensation expense, depreciation and amortization expense and lease expense. The increase in operating assets and liabilities relates to accrued expenses, timing of vendor payments, and timing of lease repayments.</w:t>
      </w:r>
    </w:p>
    <w:p>
      <w:pPr>
        <w:spacing w:after="0" w:line="2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and 2023, net cash used in investing activities was $0.2 million and $0.3 million, respectively, related to purchases of property and equipment.</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$171.7 million, primarily due to net proceeds of $94.6 million from the sale of shares pursuant to the Subscription Agreement, $76.0 million in net proceeds and $1.6 million in proceeds from the exercise of stock options. Net cash provided by financing activities during the year ended December 31, 2023 was primarily due to the receipt of $34.1 million of proceeds from the issuance of SAFEs.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and to our consolidated financial statements included in this prospectus.</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lease obligations including amounts due on leases of certain laboratory equipment and office and laboratory space under the terms of non-cancelable operating and finance leases. The leases expire at various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times through 2027. Minimum lease payments are $3.0 million in 2025, $0.4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the consolidated financial statements requires us to make estimates and assumptions that affect the reported amounts of assets and liabilities, the disclosures of contingent assets and liabilities in our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17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judgments and estimates of our prepaid and accrued research and development expenses as of each balance sheet date in the consolidated financial statements based on facts and circumstances known to us at that time, which includes corroboration of these estimates with the service providers. If the actual timing of the performance of services or the level of effort varies from the estimate, we adjust accrued expenses or prepaid expenses accordingly, which impact research and development expenses. To date, we have not experienced any material adjustments to our prior estimates of prepaid and accrued research and development expenses. Changes in these estimates that result in material changes to our accrued costs could materially affect our results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use the Black-Scholes-Merton (“BSM”) option pricing model. Prior to being publicly traded, the fair value of the Company’s common stock underlying the stock options was determined by the Board with assistance from management and, in part, on input from an independent third-party valuation firm. The Board determined the fair value of common stock by considering a number of objective and subjective factors, including valuations of comparable companies, sales of convertible preferred stock, operating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82"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fair value of the Company’s stock, the estimated fair value of options granted to employees and non-employees requires a subjective estimate for the following input:</w:t>
      </w:r>
    </w:p>
    <w:p>
      <w:pPr>
        <w:spacing w:after="0" w:line="67" w:lineRule="exact"/>
        <w:rPr>
          <w:sz w:val="20"/>
          <w:szCs w:val="20"/>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Volatility—The estimated volatility is determined by evaluating the average historical volatility of a peer group of companies for the period preceding the stock option grant for a term that is approximately equal to the stock options’ expected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Recent accounting pronouncements are addressed in Note 2, </w:t>
      </w:r>
      <w:r>
        <w:rPr>
          <w:rFonts w:ascii="Times New Roman" w:cs="Times New Roman" w:eastAsia="Times New Roman" w:hAnsi="Times New Roman"/>
          <w:sz w:val="18"/>
          <w:szCs w:val="18"/>
          <w:i w:val="1"/>
          <w:iCs w:val="1"/>
          <w:color w:val="auto"/>
        </w:rPr>
        <w:t>Summary of Significant Accounting Policies and Basis of Presentation</w:t>
      </w:r>
      <w:r>
        <w:rPr>
          <w:rFonts w:ascii="Times New Roman" w:cs="Times New Roman" w:eastAsia="Times New Roman" w:hAnsi="Times New Roman"/>
          <w:sz w:val="18"/>
          <w:szCs w:val="18"/>
          <w:color w:val="auto"/>
        </w:rPr>
        <w:t>, in the Notes to the Consolidated Financial Statements included herein.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related to interest rate sensitivity, which is affected by changes in the general level of U.S. interest rates. As of December 31, 2024, we had cash and cash equivalents of $141.2 million, which consisted of cash and money market funds. As of December 31, 2024, we had an operating lease liability and a finance lease liability of $2.4 million and $0.9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jc w:val="both"/>
        <w:ind w:left="120" w:right="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In connection with the completion of the Merger, we changed our name from “AVROBIO, Inc.” to “Tectonic Therapeutic, Inc.,” and our business became primarily the business conducted by Legacy Tectonic. We are now a clinical stage biotechnology company focused on developing novel GPCR-targeted biologics to effectively and safely treat patients with serious medical conditions where there are currently limited or no medical options.</w:t>
      </w:r>
    </w:p>
    <w:p>
      <w:pPr>
        <w:spacing w:after="0" w:line="26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Business Section, the words “Company,” “we,” “our,” “us” and “Tectonic” refer, collectively to Tectonic Therapeutic, Inc. and its consolidated subsidiaries following completion of the Merger.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 protein-coupled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and to enable the discovery and development of GPCR-targeted biologic medicines that can modify the course of disease. We focus on areas of significant unmet medical need, often where therapeutic options are poor or nonexistent, and where new medicines have the potential to improve patient quality of life or extend duration of life.</w:t>
      </w:r>
    </w:p>
    <w:p>
      <w:pPr>
        <w:spacing w:after="0" w:line="20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198"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color w:val="auto"/>
        </w:rPr>
        <w:t>The initial components of the platform, its first generation yeast library design and initial yeast selection protocols, were developed at the Harvard Medical School. However, over the last few years we have improved and modified all aspects of the platform including second and third generation library designs, optimized GPCR engineering strategies and yeast selection protocols better suited to GPCR antibody discovery. These modifications have resulted in selection campaigns that have a higher success rate with molecules that have higher affinity and potency and better biophysical properties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biology capabilities. While the current libraries, receptor engineering and selection strategies are producing GPCR-targeted antibodies, we continue to evolve and modify aspects of the platform, which we believe will lead to even better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and Pipeline Programs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0645" cy="2760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606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TX000045</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lead asset TX000045, referred to as TX45, is an Fc-relaxin fusion molecule that activates the RXFP1 receptor, the GPCR target of the hormone, relaxin. Relaxin is an endogenous protein that is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of the baby. Scientists have hypothesized that these unique dual aspects of relaxin biology may offer therapeutic potential in the treatment of cardiovascular disease. Unfortunately, the development of a viable therapeutic targeting Fc-relaxin has been challenging, primarily because of relaxin’s very short half-life.</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ongoing to confirm this hypothesis. Despite this belief, our business carries substantial risks, including our limited experience in therapeutic discovery and development, and the risk that the platform may never result in the regulatory approval</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60"/>
          </w:cols>
          <w:pgMar w:left="320" w:top="482"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24" w:lineRule="auto"/>
        <w:rPr>
          <w:sz w:val="20"/>
          <w:szCs w:val="20"/>
          <w:color w:val="auto"/>
        </w:rPr>
      </w:pPr>
      <w:r>
        <w:rPr>
          <w:rFonts w:ascii="Times New Roman" w:cs="Times New Roman" w:eastAsia="Times New Roman" w:hAnsi="Times New Roman"/>
          <w:sz w:val="18"/>
          <w:szCs w:val="18"/>
          <w:color w:val="auto"/>
        </w:rPr>
        <w:t>of a product candidate. See “Risk Factors—Risks Related to the Discovery, Development and Regulatory Approval of Our Product Candidates—We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9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Group 2 PH is a subtype of PH which develops secondary to left heart disease (“LHD”). This is a common, chronic, life-threatening condition with complex causality for which there are presently no FDA-approved medications. PH-HFpEF is characterized by declining cardiac function, fibrotic tissue remodeling in the heart, and in some patients, fibrotic remodeling in the pulmonary vasculature as well. We have elected to prioritize development of TX45 in PH-HFpEF because of the high unmet medical need in this population and the specific physiological actions of relaxin that suggest that it could address the key pathophysiology of the disease which involves both impairment of left ventricular function and high pressures in the pulmonary arteries, and in some patients, high resistance in the pulmonary vasculature. There are no FDA approved therapies in Group 2 PH including PH-HFpEF. Furthermore, prior clinical data in patients with acute and chronic heart failure treated with a continuous infusion of a short half-life relaxin is supportive of the potential utility of relaxin administration in these patients. Clinical trials are ongoing to evaluate the hypothesis that relaxin could provide efficacy in patients with PH-HFpEF. Beyond PH-HFpEF, we believe there are additional areas where TX45 could provide benefit to patients, such as pulmonary hypertension in the setting of heart failure with reduced ejection fraction (“PH-HFrEF”), as well as with diseases that result in the chronic deterioration of lung and/or kidney function due to vasoconstriction and fibrotic remodeling.</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September 2024, we announced favorable results from a Phase 1a trial evaluating safety, tolerability and pharmacokinetic (“PK”) and pharmacodynamic (“PD”) properties for TX45. In this trial, TX45 was well tolerated after intravenous (IV) doses ranging from 0.3mg/kg to 3 mg/kg and subcutaneous (“SC”) doses ranging from 150mg to 600mg. PK profile revealed dose proportional PK and a half-life of 14-20 days. PD response of TX45 on renal plasma flow (“RPF”) was assessed in each dose cohort at multiple timepoints post dose. From the multiple PK/PD measurements a robust exposure-response Emax model was developed to enable dose selection for our Phase 2 trial. Based on this exposure-response model the doses of 300 mg SC every 2 weeks and 300 mg SC every 4 weeks were chosen for the TX45 Phase 2 trial in PH-HFpEF. Both of these doses are expected to result in steady state trough exposures yielding near maximal (300mg Q4W) or maximal (300mg Q2W) pharmacodynamic effects throughout the dosing interval.</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Phase 1b acute hemodynamic trial (TX000045-002) has completed enrollment in Part A which included 19 patients with PH-HFpEF. Part A included participants with both combined pre- and post-capillary PH (“CpcPH”) and isolated post-capillary PH (“IpcPH”). Top line data of Day1 hemodynamics and accumulated safety revealed that TX45 was well tolerated in this patient population after single IV doses ranging from 0.3mg/kg to 3mg/kg. There have been no serious or severe adverse events, no evidence of an immune related reaction, and no trial discontinuations. Data from an interim analysis of 16 of 19 patients reported in January 2025, showed that IV administration of TX45 resulted in significant improvements in various hemodynamic measures as assessed by right heart catheterization over the first 8 hours post dose. These improvements included the reduction in pulmonary capillary wedge pressure (“PCWP”) in the whole population and a reduction in pulmonary vascular resistance (“PVR”) in patients with CpcPH. Additionally, TX45 produced a reduction in mean pulmonary artery pressure (“mPAP”) and an increase in cardiac output and stroke volume. Part B of this trial is ongoing and plans to evaluate single IV safety and hemodynamic effects of TX45 in patients with PH-HFrEF.</w:t>
      </w:r>
    </w:p>
    <w:p>
      <w:pPr>
        <w:spacing w:after="0" w:line="188"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Our Phase 2 clinical trial, which we refer to as the APEX trial (TX000045-003), was initiated early in the fourth quarter of 2024. This trial is a Phase 2, randomized, double-blind, placebo-controlled 24-week trial in PH-HFpEF patients, enriched for patients with CpcPH. In this trial, approximately 180 participants will be randomized in a 1:1:1 manner to either placebo, 300mg every 2 weeks or 300mg every 4 weeks. The primary endpoint for the Phase 2 trial is the change from baseline in PVR and a key secondary endpoint is change from baseline in PCWP. Other secondary endpoints include additional hemodynamic endpoints, change from baseline in 6 minute walk distance and change in symptoms as assessed by the Kansas City Cardiomyopathy Questionnaire (“KCCQ”).</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TX2100: GPCR Antagonist for Hereditary Hemorrhagic Telangiectasia (“HHT”)</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second program, TX2100, is aimed at the discovery and development of a GPCR targeting biotherapeutic as a potential treatment for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GPCR target for our HHT program is a receptor for an angiogenic factor known to be upregulated in HHT animal models. By blocking the signaling of this receptor, we anticipate the potential for decreased bleeding resulting from the abnormal angiogenesis seen in HHT. We selected TX2100 as a development candidate. TX2100 is a VHH-Fc fusion antagonist to an undisclosed GPCR target (“GPCR3”). We intend to start IND enabling toxicology studies in the second quarter of 2025 and expect to initiate a Phase 1 clinical trial for TX2100 in the fourth quarter of 2025 or the first quarter of 2026, subject to the results of IND-enabling studies.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GPCR Modulator Bispecific for Fibrosis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third program is aimed at the discovery and development of a potential therapy for fibrotic diseases and employs a bispecific format for the construction of a molecule with a differentiated mechanism of action. The strategy leverages two targets, one with previous human proof of concept and one novel target. Both targets are expressed on overlapping cell types with complementary and nonoverlapping modes of action that simultaneously could enhance the therapeutic potential over modulating either target on its own.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Milestones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Over the next few years, we anticipate that several significant milestones could be achieved for our lead asset TX45. This includes presentation of the final data from Part A of our Phase 1b acute hemodynamic trial at a medical meeting later this year, data from Part B of the Phase 1b trial in patients with PH-HFrEF in the second half of 2025, and data from the randomized Phase 2 trial in patients with PH-HFpEF in 2026. A development candidate from our HHT program may also advance into clinical trials in the fourth quarter of 2025 or the first quarter of 2026 and could progress into efficacy trials in patients in late 2026 or early 2027.</w:t>
      </w:r>
    </w:p>
    <w:p>
      <w:pPr>
        <w:spacing w:after="0" w:line="183" w:lineRule="exact"/>
        <w:rPr>
          <w:sz w:val="20"/>
          <w:szCs w:val="20"/>
          <w:color w:val="auto"/>
        </w:rPr>
      </w:pPr>
    </w:p>
    <w:p>
      <w:pPr>
        <w:jc w:val="both"/>
        <w:ind w:left="120" w:right="480" w:firstLine="440"/>
        <w:spacing w:after="0" w:line="198" w:lineRule="auto"/>
        <w:rPr>
          <w:sz w:val="20"/>
          <w:szCs w:val="20"/>
          <w:color w:val="auto"/>
        </w:rPr>
      </w:pPr>
      <w:r>
        <w:rPr>
          <w:rFonts w:ascii="Times New Roman" w:cs="Times New Roman" w:eastAsia="Times New Roman" w:hAnsi="Times New Roman"/>
          <w:sz w:val="18"/>
          <w:szCs w:val="18"/>
          <w:color w:val="auto"/>
        </w:rPr>
        <w:t>Our 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has been optimized over the last three years and is being used to discover biologic drugs targeting GPCRs. We are deploying our 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generate additional pipeline assets by identifying and optimizing new GPCR targeted biologics that have the potential to address areas of substantial unmet need.</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GPCRs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Relaxin / RXFP1 Biology</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Relaxin is a naturally occurring peptide hormone that was first identified in 1926 in the setting of pregnancy. Relaxin is upregulated during pregnancy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Notably, activation of the RXFP1 receptor by relaxin does not result in internalization of the receptor, as is observed with many other GPCRs, which suggests there would be no receptor desensitization with chronic therapy using a relaxin-based agent.</w:t>
      </w:r>
    </w:p>
    <w:p>
      <w:pPr>
        <w:spacing w:after="0" w:line="183"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necessitated continuous IV or subcutaneous administration to establish and maintain target therapeutic levels of the compound in circulation. Previous efforts to develop recombinant native human relaxin (“serelaxin”) to treat acute heart failure (“AHF”) have shown signs of clinical benefit.</w:t>
      </w:r>
    </w:p>
    <w:p>
      <w:pPr>
        <w:spacing w:after="0" w:line="16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address the pharmacological limitations of the native relaxin hormone and enable its development beyond AHF, we have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we have identified PH-HFpEF as the initial indication with an emphasis on the CpCPH subpopulation and have started to explore its potential in PH-HFrEF as well. We believe that in these settings, treatment with relaxin could improve hemodynamics and promote beneficial remodeling in both the pulmonary vessels and the heart, making it potentially ideally suited for this indication. Clinical trials are ongoing to confirm this hypothesis.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Group 2 PH</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World Health Organization has specified 5 different groups of PH.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and is the largest group of PH. Although several Group 1 PH medications have been explored in Group 2 PH, no medications have yet been approved by the FDA for its treatment.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Pathophysiology and Epidemiology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Group 2 PH is caused by left-sided heart disease, including heart failure with HFpEF, heart failure with reduced ejection fraction (“HFrEF”), and valvular heart disease (“VHD”). Group 2 PH itself consists of two disease subtypes, isolated IpcPH or CpcPH.</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patients with left-sided heart disease, whether HFpEF, HFrEF or VHD, the development of PH is associated with a much worse prognosis. In the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pressure during the relaxation phase. PH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PH places a great strain on the right ventricle which is unable to compensate for this increased workload. Eventually, PH causes the right ventricle to dilate and fail, ultimately leading to death.</w:t>
      </w:r>
    </w:p>
    <w:p>
      <w:pPr>
        <w:spacing w:after="0" w:line="194"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There are an estimated 7.3 million patients with heart failure in the United States, with HFpEF and HFrEF representing approximately 50% each of heart failure cases. We estimate the combined Group 2 PH population with HFpEF or HFmrEF (Left Ventricular Ejection Fraction between 40-50%) who are NYHA Class II or III is approximately 1.4 million and the prevalences of IpcPH of approximately 1 million and CpcPH of approximately</w:t>
      </w:r>
    </w:p>
    <w:p>
      <w:pPr>
        <w:spacing w:after="0" w:line="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0.4 million using a PVR cutoff of &gt;3 Wood units. We estimate the combined Group 2 PH population, class II and III patients, with HFrEF (LVEF</w:t>
      </w:r>
      <w:r>
        <w:rPr>
          <w:rFonts w:ascii="Times New Roman" w:cs="Times New Roman" w:eastAsia="Times New Roman" w:hAnsi="Times New Roman"/>
          <w:sz w:val="18"/>
          <w:szCs w:val="18"/>
          <w:u w:val="single" w:color="auto"/>
          <w:color w:val="auto"/>
        </w:rPr>
        <w:t>&lt;</w:t>
      </w:r>
      <w:r>
        <w:rPr>
          <w:rFonts w:ascii="Times New Roman" w:cs="Times New Roman" w:eastAsia="Times New Roman" w:hAnsi="Times New Roman"/>
          <w:sz w:val="18"/>
          <w:szCs w:val="18"/>
          <w:color w:val="auto"/>
        </w:rPr>
        <w:t>40%) at approximately 1.1 million and the prevalences of IpcPH of approximately 0.8 million and CpcPH of approximately 0.3 million using a PVR cutoff of &gt;3 Wood units.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Pathophysiology of PH-HFpEF and Therapeutic Potential of Relaxin</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Patients suffering from CpcPH typically face worse outcomes than those with IpcPH (23% survival at five years vs. 40%-50%, respectively). Optimal treatment of heart failure may improve IpcPH to some extent. However, because of the specific pulmonary vascular pathology in CpcPH, treatment of heart failure alone is often insufficient to have a meaningful impact on this form of the disease.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Several of the drugs used to treat pulmonary arterial hypertension (PAH, Group 1 PH) failed to demonstrate benefits in Group 2 PH-HFpEF. Most of these agents act as vasodilators in the lung, thereby increasing blood flow to the left side of the heart. However, pulmonary vasodilators have limited effect on left sided heart function especially diastolic function, or systemic circulation, and therefore, do not increase the ability of the left side of the heart to pump blood. This could worsen heart failure without improving exercise function. Relaxin’s hemodynamic effects are mediated both by inhibition of endothelin-1 as well as activation of the nitric oxide signaling pathway. Relaxin also serves as a lusitropic agent via inhibition of SERCA2 in cardiomyocytes, which enables the heart to actively relax and fill adequately during diastole. In addition, relaxin exerts anti-fibrotic and anti-inflammatory effects via activation of metalloproteinases, inhibition of the TGF-beta pathway and inhibition of IL-1beta and IL-6.</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support of TX45 is based upon our hypothesis that relaxin’s activities, through its pulmonary vasodilatory,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Lastly, relaxin’s ability to relax the heart muscle could improve diastolic filling in HFpEF where cardiac hypertrophy and fibrosis lead to diastolic dysfunction and heart failure. While we believe these benefits are most likely to be greatest in the CpCPH population, these benefits could also extend to IpcPH patients and thus to the entire PH-HFpEF population.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82"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depicted in the table below, we hypothesize that the inherent vasodilatory, anti-fibrotic, and anti-inflammatory activities of relaxin could be well suited to address both the pulmonary and cardiac pathologies of PH-HFpEF.</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8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Characteristics of Group 2 PH</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IpcPH</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CpcPH</w:t>
            </w:r>
          </w:p>
        </w:tc>
        <w:tc>
          <w:tcPr>
            <w:tcW w:w="4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Anticipated Relaxin Effects</w:t>
            </w:r>
          </w:p>
        </w:tc>
      </w:tr>
      <w:tr>
        <w:trPr>
          <w:trHeight w:val="191"/>
        </w:trPr>
        <w:tc>
          <w:tcPr>
            <w:tcW w:w="4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Pulmonary artery narrowing, thickening, stiffening, fibrotic</w:t>
            </w:r>
          </w:p>
        </w:tc>
        <w:tc>
          <w:tcPr>
            <w:tcW w:w="3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top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Pulmonary vasodilation anti-inflammatory, anti-fibrotic</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remodeling</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5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ventricular dysfunction</w:t>
            </w:r>
          </w:p>
        </w:tc>
        <w:tc>
          <w:tcPr>
            <w:tcW w:w="7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Right ventricular remodeling</w:t>
            </w:r>
          </w:p>
        </w:tc>
      </w:tr>
      <w:tr>
        <w:trPr>
          <w:trHeight w:val="27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Thickening and stiffening of left ventricle</w:t>
            </w:r>
          </w:p>
        </w:tc>
        <w:tc>
          <w:tcPr>
            <w:tcW w:w="7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Peripheral vasodilation, cardiac relaxation, left ventricular</w:t>
            </w:r>
          </w:p>
        </w:tc>
      </w:tr>
      <w:tr>
        <w:trPr>
          <w:trHeight w:val="234"/>
        </w:trPr>
        <w:tc>
          <w:tcPr>
            <w:tcW w:w="4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remodeling</w:t>
            </w:r>
          </w:p>
        </w:tc>
      </w:tr>
      <w:tr>
        <w:trPr>
          <w:trHeight w:val="35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Compromised kidney function</w:t>
            </w:r>
          </w:p>
        </w:tc>
        <w:tc>
          <w:tcPr>
            <w:tcW w:w="7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Improvement in kidney function</w:t>
            </w:r>
          </w:p>
        </w:tc>
      </w:tr>
    </w:tbl>
    <w:p>
      <w:pPr>
        <w:spacing w:after="0" w:line="17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Relaxin’s numerous physiologic activities, promoting vasodilation in both the systemic and pulmonary vasculature, increasing cardiac output and decreasing pulmonary capillary wedge pressure (PCWP, a measure of left ventricular diastolic function) have previously been demonstrated with serelaxin (recombinant native human relaxin-2). As reported by Ponikowski P. et al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in 2014, patients with acute heart failure who had a right heart catheterization exhibited improved hemodynamics with relaxin treatment.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TX45</w:t>
      </w:r>
    </w:p>
    <w:p>
      <w:pPr>
        <w:spacing w:after="0" w:line="121" w:lineRule="exact"/>
        <w:rPr>
          <w:sz w:val="20"/>
          <w:szCs w:val="20"/>
          <w:color w:val="auto"/>
        </w:rPr>
      </w:pPr>
    </w:p>
    <w:p>
      <w:pPr>
        <w:jc w:val="both"/>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TX45 is a recombinant protein consisting of an engineered single chain human relaxin domain fused to the Fc domain of human immunoglobulin 1 (IgG1) using a peptide chain linker. The Fc portion of TX45 was modified to reduce Fcg receptor activation, and to increase binding to the neonatal Fc receptor (FcRn) with the goal of significantly increasing the half-life of the molecule in circulation, relative to the half-life of native human relaxin.</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immediately following administration as a result of binding to negatively charged heparin proteoglycans on the blood vessel wall. This effect can dramatically reduce the amount of bioavailable drug to exert pharmacologic 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Pharmacology Studies</w:t>
      </w:r>
    </w:p>
    <w:p>
      <w:pPr>
        <w:spacing w:after="0" w:line="119" w:lineRule="exact"/>
        <w:rPr>
          <w:sz w:val="20"/>
          <w:szCs w:val="20"/>
          <w:color w:val="auto"/>
        </w:rPr>
      </w:pPr>
    </w:p>
    <w:p>
      <w:pPr>
        <w:ind w:left="120" w:right="20" w:firstLine="440"/>
        <w:spacing w:after="0"/>
        <w:rPr>
          <w:sz w:val="20"/>
          <w:szCs w:val="20"/>
          <w:color w:val="auto"/>
        </w:rPr>
      </w:pPr>
      <w:r>
        <w:rPr>
          <w:rFonts w:ascii="Times New Roman" w:cs="Times New Roman" w:eastAsia="Times New Roman" w:hAnsi="Times New Roman"/>
          <w:sz w:val="18"/>
          <w:szCs w:val="18"/>
          <w:color w:val="auto"/>
        </w:rPr>
        <w:t xml:space="preserve">TX45 has been tested in several non-clinical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PK and pharmacology studies. These include a rat renal blood flow model that is used as a PD endpoint that demonstrates the vasodilatory effects of relaxin. TX45 administration shows a dose-response and exposure-response relationship on increasing rat renal blood flow. TX45 also demonstrated a significant effect on a number of clinically relevant parameters in the rat monocrotaline-induced (MCT) model of PH. Significant reductions in pulmonary artery pressure, right ventricular hypertrophy, NT-proBNP, and pulmonary artery muscularization were demonstrated along with improvement in survival compared with control animals. The trough exposure corrected for human potency that is associated with maximal efficacy in this chronic rat model was approximately 2ug/ml. The trough exposure for maximal efficacy in this chronic model corresponds to a near maximal effect in our acute renal blood flow assay. This exposure is on the order of EC</w:t>
      </w:r>
      <w:r>
        <w:rPr>
          <w:rFonts w:ascii="Times New Roman" w:cs="Times New Roman" w:eastAsia="Times New Roman" w:hAnsi="Times New Roman"/>
          <w:sz w:val="26"/>
          <w:szCs w:val="26"/>
          <w:color w:val="auto"/>
          <w:vertAlign w:val="subscript"/>
        </w:rPr>
        <w:t>70</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Non-clinical Toxicology Studies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TX45 has been tested in rat and non-human primate (NHP) 1-month GLP toxicology and 6-month GLP toxicology studies at ITR in Canada. There is relatively low sequence homology between the active portion of TX45 and rat relaxin (approximately 50%) or NHP relaxin (approximately 73%). In the 1-month GLP toxicology studies, there were no specific toxicities identified and no observable adverse effect level (NOAEL), which is the greatest dose of a drug at which no detectable adverse effects occur in an exposed population, was 100 mg/kg for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both species. Administration of TX45 resulted in the development of anti-drug antibodies (ADAs) in some rats and monkeys, but the ADA response was most prevalent in rats receiving TX45 by subcutaneous injection.</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We believe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The preclinical data for TX45 have not yet been published.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Clinical Development Studies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173990</wp:posOffset>
            </wp:positionV>
            <wp:extent cx="5160645" cy="2751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606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TX45 clinical development program was designed to provide data supporting key inflection points. TX000045-001, a first in human, single ascending dose trial, was completed in third quarter of 2024. This trial was designed to provide data on safety and tolerability, and immunogenicity as well as define the PK and PD profile of TX45 after single doses in healthy volunteers.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Part A of the Phase 1b single dose acute hemodynamic trial in PH-HFpEF patients completed dosing of the 19 patients in this part of the trial. In January 2025, we reported interim data on the safety and day 1 hemodynamic effects of TX45 in 16 out of the total 19 participants in Part A. The final data is expected to be presented at an upcoming medical conference. Data from Part B of the Phase 1b trial in PH-HFrEF patients is anticipated to be reported in the second half of 2025.</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first patient was enrolled in the Phase 2 proof-of-concept randomized, double-blind, placebo-controlled trial in PH-HFpEF in October 2024 and data from this trial is expected to be available in 2026.</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pre-IND consultation between us and the FDA occurred in early 2024. No significant issues were identified by the FDA with our planned clinical development strategy for TX45. The agency agreed that demonstration of an improvement in exercise capacity would be a suitable pivotal endpoint for regulatory approval. They confirmed that an appropriate endpoint for an assessment of exercise capacity would be six-minute walk distance (6MWD). Provided the Phase 1 and 2 trials result in sufficient safety and efficacy data to justify proceeding to Phase 3, the conduct of global Phase 3 pivotal trials including sites in the United States, and additional non-clinical development work including scale-up of GMP manufacturing to commercial scale would also be needed to generate the data package necessary to support regulatory approval for marketing authorization in the United States. through the submission of a Biologic License Application (“BLA”) to the FDA. We would also seek similar regulatory approvals through equivalent submissions to regulatory bodies in territories outside of the United States.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Trial, Status</w:t>
            </w:r>
          </w:p>
        </w:tc>
        <w:tc>
          <w:tcPr>
            <w:tcW w:w="2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Trial Design</w:t>
            </w: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Treatments</w:t>
            </w:r>
          </w:p>
        </w:tc>
        <w:tc>
          <w:tcPr>
            <w:tcW w:w="22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Population and</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2760" w:type="dxa"/>
            <w:vAlign w:val="bottom"/>
            <w:gridSpan w:val="2"/>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TX000045-001 Phase 1a (Completed)</w:t>
            </w:r>
          </w:p>
        </w:tc>
        <w:tc>
          <w:tcPr>
            <w:tcW w:w="220" w:type="dxa"/>
            <w:vAlign w:val="bottom"/>
          </w:tcPr>
          <w:p>
            <w:pPr>
              <w:spacing w:after="0"/>
              <w:rPr>
                <w:sz w:val="16"/>
                <w:szCs w:val="16"/>
                <w:color w:val="auto"/>
              </w:rPr>
            </w:pPr>
          </w:p>
        </w:tc>
        <w:tc>
          <w:tcPr>
            <w:tcW w:w="2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Randomized, double- blind, SAD</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TX000045 or placebo</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47 Healthy male and female</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Single ascending IV and SC doses</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subjects</w:t>
            </w:r>
          </w:p>
        </w:tc>
        <w:tc>
          <w:tcPr>
            <w:tcW w:w="0" w:type="dxa"/>
            <w:vAlign w:val="bottom"/>
          </w:tcPr>
          <w:p>
            <w:pPr>
              <w:spacing w:after="0"/>
              <w:rPr>
                <w:sz w:val="1"/>
                <w:szCs w:val="1"/>
                <w:color w:val="auto"/>
              </w:rPr>
            </w:pPr>
          </w:p>
        </w:tc>
      </w:tr>
      <w:tr>
        <w:trPr>
          <w:trHeight w:val="103"/>
        </w:trPr>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per clinical trial protocol: IV:</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Each cohort had up to 8 subjects,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0.3mg/kg, 1mg/kg, 3mg/kg SC:</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 on TX45 and 2 on placebo</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150mg, 300mg, 600mg</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TX000045-002 Phase 1b, Part A</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Open-label single dose</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TX000045 0.3, 1, or 3 mg/kg IV</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 patients with PH-HFpEF</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(Dosing Completed)</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dosed</w:t>
            </w:r>
          </w:p>
        </w:tc>
        <w:tc>
          <w:tcPr>
            <w:tcW w:w="0" w:type="dxa"/>
            <w:vAlign w:val="bottom"/>
          </w:tcPr>
          <w:p>
            <w:pPr>
              <w:spacing w:after="0"/>
              <w:rPr>
                <w:sz w:val="1"/>
                <w:szCs w:val="1"/>
                <w:color w:val="auto"/>
              </w:rPr>
            </w:pPr>
          </w:p>
        </w:tc>
      </w:tr>
      <w:tr>
        <w:trPr>
          <w:trHeight w:val="30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TX000045-002 Phase 1b, Part B</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Open-label single dose</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TX000045 3 mg/kg IV</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Approximately 10 patients with</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(Ongoing)</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PH-HFrEF to be dosed</w:t>
            </w:r>
          </w:p>
        </w:tc>
        <w:tc>
          <w:tcPr>
            <w:tcW w:w="0" w:type="dxa"/>
            <w:vAlign w:val="bottom"/>
          </w:tcPr>
          <w:p>
            <w:pPr>
              <w:spacing w:after="0"/>
              <w:rPr>
                <w:sz w:val="1"/>
                <w:szCs w:val="1"/>
                <w:color w:val="auto"/>
              </w:rPr>
            </w:pPr>
          </w:p>
        </w:tc>
      </w:tr>
      <w:tr>
        <w:trPr>
          <w:trHeight w:val="30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TX000045-003 Phase 2</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Randomized, placebo-controlled,</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TX000045 300 mg SC Q2W, 300</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180 patients with PH-HFpEF to</w:t>
            </w: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(Ongoing)</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double-blind, repeated dose</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mg SC Q4W, or placebo</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 randomized</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Completed Phase 1a Single Ascending Dose Trial (TX000045-001)</w:t>
      </w:r>
    </w:p>
    <w:p>
      <w:pPr>
        <w:spacing w:after="0" w:line="121" w:lineRule="exact"/>
        <w:rPr>
          <w:sz w:val="20"/>
          <w:szCs w:val="20"/>
          <w:color w:val="auto"/>
        </w:rPr>
      </w:pPr>
    </w:p>
    <w:p>
      <w:pPr>
        <w:ind w:left="120" w:right="200" w:firstLine="440"/>
        <w:spacing w:after="0" w:line="271" w:lineRule="auto"/>
        <w:rPr>
          <w:sz w:val="20"/>
          <w:szCs w:val="20"/>
          <w:color w:val="auto"/>
        </w:rPr>
      </w:pPr>
      <w:r>
        <w:rPr>
          <w:rFonts w:ascii="Times New Roman" w:cs="Times New Roman" w:eastAsia="Times New Roman" w:hAnsi="Times New Roman"/>
          <w:sz w:val="17"/>
          <w:szCs w:val="17"/>
          <w:color w:val="auto"/>
        </w:rPr>
        <w:t>TX000045-001 was a randomized, placebo-controlled, double-blind single ascending dose (SAD) trial in healthy volunteers which completed in the third quarter of 2024. In this trial, TX45 was well-tolerated after single IV doses ranging from 0.3mg/kg to 3 mg/kg and SC doses ranging from 150mg to 600mg. PK profile revealed dose proportional PK and a half-life of 14-20 days. The PD response of TX45 on RPF was assessed at multiple time points post dose for all dose cohorts. From these multiple PK/PD measurements we developed a robust exposure-response Emax model to enable dose selection for our Phase 2 study. We found the Emax effect of TX45 on RPF to be a 33% increase consistent with reported effect of relaxin from other relaxin compounds, such as Serelaxin (Voors, 2014) and Volenrelaxin (Tham, 2024). Based on our exposure-response model we selected TX45 doses for our Phase 2 trial as follows: 300mg SC every 4 weeks which is predicted to provide steady state trough exposure of approximately 2.6 ug/ml and near maximal effect on RPF at trough, and 300 mg SC every 2 weeks which is predicted to provide a trough exposure of approximately 8.7 ug/ml with maximal pharmacodynamic effects throughout the dosing interval. There was no evidence of immunogenicity or anti-drug antibodies in this trial.</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A of the Acute Hemodynamic Phase 1b Trial (TX000045-002A)</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TX000045-002 is an open-label, single dose trial in patients with PH associated with heart failure designed to evaluate the safety, tolerability and acute hemodynamic effects of TX45 as assessed by right heart catheterization. Part A of this trial enrolled 19 patients with PH-HFpEF, including both CpcPH and IpcPH. The doses of TX45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administered in this trial were 0.3 mg/kg IV, 1 mg/kg IV, and 3 mg/kg IV. The study evaluated safety and tolerability as well as the change from baseline in hemodynamic parameters including pulmonary capillary wedge pressure (“PCWP”) and PVR, mPAP, cardiac output (“CO”), and systemic vascular resistance (“SVR”) and additional hemodynamic measures. Notably, exposures over the first 8 hours after dosing were anticipated to be within the therapeutic range for all doses tested, therefore, it was prespecified that efficacy analyses would be done with pooling of patient data across doses.</w:t>
      </w:r>
    </w:p>
    <w:p>
      <w:pPr>
        <w:spacing w:after="0" w:line="180" w:lineRule="exact"/>
        <w:rPr>
          <w:sz w:val="20"/>
          <w:szCs w:val="20"/>
          <w:color w:val="auto"/>
        </w:rPr>
      </w:pPr>
    </w:p>
    <w:p>
      <w:pPr>
        <w:jc w:val="both"/>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Interim data of 16 out of the total 19 patients, released in January 2025, revealed that TX45 administration was well-tolerated in PH-HFpEF patients. No serious adverse events or severe adverse events were reported in this cohort. The interim data analysis from the first 16 (of 19 in total) patients TX45 administration significantly reduced PCWP in the overall group, and significantly reduced PVR in patients with CpcPH. In addition, TX45 administration raised CO and stroke volume and reduced Total Pulmonary Resistance (TPR) and mPAP in the overall group. The chart below summarizes our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77790" cy="2828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777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Part B of the Phase 1b Acute Hemodynamic Trial (TX000045-002B)</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Part B of the Phase 1b acute hemodynamic open-label trial in patients with PH-HFrEF, including both IpcPH and CpcPH, is currently being conducted. In this trial, approximately 10 patients with PH-HFrEF will receive a single IV dose of TX45 and hemodynamics will be monitored by right heart catheterization for 8 hours after dosing. We enrolled the first patient in the Part B Phase 1b trial in March 2025, and expect topline trial results in the second half of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2 Proof of Concept, Randomized, Placebo-Controlled, Double-Blind Trial in PH-HFpEF (TX000045-003)</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ongoing Phase 2 randomized, placebo-controlled, double-blind proof-of-concept (POC) clinical trial in patients with PH-HFpEF is being conducted globally. In this trial, patients with PH-HFpEF are randomized to receive TX45 or placebo for 6 months. Two dose regimens of TX45 will be administered: 300 mg SC Q2W or 300 mg SC Q4W. Prior to dosing, right heart catheterization will be performed to determine baseline hemodynamics. After 6 months of treatment, patients will undergo a second right heart catheterization.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82"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primary endpoint is change from baseline in PVR in patients with CpcPH. The key secondary endpoint is change from baseline in PCWP in all subjects. Additional endpoints will include change from baseline in 6MWD, change from baseline in the Kansas City Cardiomyopathy Questionnaire score and change from baseline in additional hemodynamic parameters including cardiac output, mean pulmonary pressure, systemic vascular resistance and stroke volume and biomarkers such as NT-proBNP. Changes in relevant echocardiographic endpoints will also be explored. This trial enriches for patients with CpcPH based on baseline right heart catheterization with the goal of evaluating efficacy in both CpcPH as well as the whole population with PH-HFpEF. We currently expect that approximately 180 subjects will be enrolled in this trial.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with HFpEF Anticipated Pivotal Development Pathway</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Subject to the results of our Phase 2 trials and feedback received during the End of Phase 2 meeting with the FDA, we expect to initiate a randomized, placebo-controlled, double-blind Phase 3 clinical trial in Group 2 PH patients with HFpEF, as well as long term, open label extension trial for safety evaluation. Based on historical precedent across multiple PH subtypes and our Pre-IND consultation with the FDA regarding the specific requirements for approval in Group 2 PH with HFpEF, we believe that the achievement of a clinically significant change in a functional endpoint, such as 6-minute walk distance could be sufficient for approval. The secondary endpoints may also include change from baseline to week 24 in: KCCQ-12 score, and the percentage who improve in WHO functional class. An additional secondary endpoint may be the time to the first occurrence of a clinical worsening event or death and changes in relevant echocardiographic endpoints and biomarker endpoints such as NTproBNP. At this time, we do not anticipate that an assessment of TX45’s impact on long-term cardiovascular outcomes will be a requirement for approval. Commercialization in the United States and other countries will be contingent on approval by the regulatory authorities (the FDA in the United States) and an assessment by the regulators that the studies were conducted in accordance with accepted guidance and the data demonstrated that there was a positive benefit risk for patients.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HHT Opportunity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Hereditary Hemorrhagic Telangiectasia (HHT), also known as Osler-Weber-Rendu syndrome, is the second most common genetic bleeding disorder. It has been estimated that there are approximately 70,000-75,000 HHT patients in the USA and it has also been estimated that up to 15-20%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w:t>
      </w:r>
    </w:p>
    <w:p>
      <w:pPr>
        <w:spacing w:after="0" w:line="19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there are no approved medical therapies for HHT, anti-VEGF therapies including bevacizumab have been used on an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basis with results demonstrating that anti-angiogenic therapy has the potential to be an efficacious treatment. These therapies reduce angiogenesis and bleeding in mouse models of HHT. Importantly, these data have translated to the clinic: small investigator-sponsored trials in HHT patients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preliminary evidence of clinical benefit.</w:t>
      </w:r>
    </w:p>
    <w:p>
      <w:pPr>
        <w:spacing w:after="0" w:line="18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HHT is a genetic disorder due to loss-of-function mutations in proteins in the BMP9/10-Endoglin-ALK1- SMAD4 signaling pathway. BMP9 is a member of the TGF-beta family of growth factors that regulate blood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82"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Candidate for the Treatment of HHT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identified TX2100 as a development candidate for the treatment of HHT. TX2100 is a VHH-Fc fusion antagonist antibody that binds to “GPCR3”. The Fc portion of TX2100 was modified to reduce Fcgreceptor activation and to increase binding to FcRn, in order to extend the half-life of the molecule.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Pharmacology Studies with Animal Models of HHT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Several murine models of HHT have been established. These include both genetic loss-of-function models that disrupt the BMP9/10-Endoglin-ALK1-SMAD4 signaling pathway at different points, and the BMP9/10 immunoblocked model. In these murine models of HHT, anti-VEGF or anti-VEGF receptor agents reduce AVM formation and bleeding. As referenced above, since bevacizumab, an anti-VEGF 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We established a pharmacodynamic model of neonatal murine retinal angiogenesis. In this model, treatment with a potent mouse “GPCR3” Nanobody-Fc antagonist reduces neo-angiogenesis and the vascularized area in the neonatal mouse retina. We have also established the BMP9/10-immunoblocked mouse model of HHT. This model reliably leads to the development of hypervascularization, AVMs and bleeding in organs including the eye, GI tract and brain.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this model, our “GPCR3” antagonist significantly reduces both arteriovenous malformations formation (AVM) and retinal hypervascularization induced by BMP9/BMP10 blockade to a similar degree as a VEGF antagonist. In addition, “GPCR3” antagonism significantly reduced bleeding as measured by reduced drop in hemoglobin compared to an isotype control antibody. This demonstrates that pharmacologic inhibition of “GPCR3” provides significant effects on endpoints relevant to HHT patients.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characterizing the effects of “GPCR3” antagonism on additional HHT relevant vascular pathology endpoints in mice are planned.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Phase 1 program for TX2100 would consist of a randomized, placebo-controlled, double-blind ascending-dose trial performed in healthy volunteers. Likely primary endpoints would be the safety and tolerability of TX2100 in these subjects, and likely secondary endpoints would be the pharmacokinetic properties of TX2100. Assuming adequate PK and safety are established in Phase 1, we intend to conduct efficacy trial(s) including a Phase 2 randomized, placebo-controlled, double-blind 6-month proof of concept (POC) trial in HHT patients with frequent epistaxis and anemia.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GEODe</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Platform</w:t>
      </w:r>
    </w:p>
    <w:p>
      <w:pPr>
        <w:spacing w:after="0" w:line="49" w:lineRule="exact"/>
        <w:rPr>
          <w:sz w:val="20"/>
          <w:szCs w:val="20"/>
          <w:color w:val="auto"/>
        </w:rPr>
      </w:pPr>
    </w:p>
    <w:p>
      <w:pPr>
        <w:ind w:left="120" w:right="20" w:firstLine="440"/>
        <w:spacing w:after="0" w:line="225" w:lineRule="auto"/>
        <w:rPr>
          <w:sz w:val="20"/>
          <w:szCs w:val="20"/>
          <w:color w:val="auto"/>
        </w:rPr>
      </w:pPr>
      <w:r>
        <w:rPr>
          <w:rFonts w:ascii="Times New Roman" w:cs="Times New Roman" w:eastAsia="Times New Roman" w:hAnsi="Times New Roman"/>
          <w:sz w:val="18"/>
          <w:szCs w:val="18"/>
          <w:color w:val="auto"/>
        </w:rPr>
        <w:t>We believe that our 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w:t>
      </w:r>
    </w:p>
    <w:p>
      <w:pPr>
        <w:spacing w:after="0" w:line="198"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majority of successful GPCR targeted therapeutics to date are small molecules, however, the success of this modality has been largely confined to just 6 GPCR subfamilies, many of which have a natural ligand that is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82"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w:t>
      </w:r>
    </w:p>
    <w:p>
      <w:pPr>
        <w:spacing w:after="0" w:line="140"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8"/>
          <w:szCs w:val="18"/>
          <w:color w:val="auto"/>
        </w:rPr>
        <w:t>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developed with the aim of addressing the challenges of GPCR targeted biologics via a combination of (1) GPCR protein engineering strategies that stabilize the pharmacologically relevant forms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Our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Our Expertise in GPCRs and mAb Discovery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optimized GPCR-targeted antibody discovery process comprises the following steps:</w:t>
      </w:r>
    </w:p>
    <w:p>
      <w:pPr>
        <w:spacing w:after="0" w:line="221" w:lineRule="exact"/>
        <w:rPr>
          <w:sz w:val="20"/>
          <w:szCs w:val="20"/>
          <w:color w:val="auto"/>
        </w:rPr>
      </w:pPr>
    </w:p>
    <w:p>
      <w:pPr>
        <w:ind w:left="120" w:firstLine="436"/>
        <w:spacing w:after="0" w:line="25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Optimization, stabilization, and formulation of GPCRs </w:t>
      </w:r>
      <w:r>
        <w:rPr>
          <w:rFonts w:ascii="Times New Roman" w:cs="Times New Roman" w:eastAsia="Times New Roman" w:hAnsi="Times New Roman"/>
          <w:sz w:val="18"/>
          <w:szCs w:val="18"/>
          <w:color w:val="auto"/>
        </w:rPr>
        <w:t>using proprietary protein engineering and biochemistry techniques, to produce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target material in the correct conformation, as a reagent for discovery campaigns. We use structure-based homology modeling and prediction to engineer changes to the receptor that can bias it into an active or inactive state. These changes can also increase receptor cell surface expression and stability. Also, because the lipid bilayer surrounding a receptor can strongly affect its activation, we have developed techniques to present our targets in a variety of different membrane mimetics that recapitulate the lipid bilayer environment that the receptor is embedded in. We have also taken a machine learning guided protein engineering approach to generate G-protein mimetics that can stabilize GPCRs in their active state conformation. This stabilized protein complex can be used to discover agonist antibodies during yeast display selection campaigns.</w:t>
      </w:r>
    </w:p>
    <w:p>
      <w:pPr>
        <w:spacing w:after="0" w:line="182" w:lineRule="exact"/>
        <w:rPr>
          <w:rFonts w:ascii="Times New Roman" w:cs="Times New Roman" w:eastAsia="Times New Roman" w:hAnsi="Times New Roman"/>
          <w:sz w:val="18"/>
          <w:szCs w:val="18"/>
          <w:color w:val="auto"/>
        </w:rPr>
      </w:pPr>
    </w:p>
    <w:p>
      <w:pPr>
        <w:ind w:left="120" w:right="260" w:firstLine="436"/>
        <w:spacing w:after="0" w:line="268"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Optimized and streamlined yeast display antibody selection protocols </w:t>
      </w:r>
      <w:r>
        <w:rPr>
          <w:rFonts w:ascii="Times New Roman" w:cs="Times New Roman" w:eastAsia="Times New Roman" w:hAnsi="Times New Roman"/>
          <w:sz w:val="18"/>
          <w:szCs w:val="18"/>
          <w:color w:val="auto"/>
        </w:rPr>
        <w:t>that minimize false positive hits from non-specific binders and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productively pull initial hits from antibody discovery campaigns. We employ antibody libraries designed and optimized for targeting GPCRs, novel tagging strategies, and make extensive use of automated workflow.</w:t>
      </w:r>
    </w:p>
    <w:p>
      <w:pPr>
        <w:spacing w:after="0" w:line="170" w:lineRule="exact"/>
        <w:rPr>
          <w:rFonts w:ascii="Times New Roman" w:cs="Times New Roman" w:eastAsia="Times New Roman" w:hAnsi="Times New Roman"/>
          <w:sz w:val="18"/>
          <w:szCs w:val="18"/>
          <w:color w:val="auto"/>
        </w:rPr>
      </w:pPr>
    </w:p>
    <w:p>
      <w:pPr>
        <w:ind w:left="120" w:right="620" w:firstLine="436"/>
        <w:spacing w:after="0" w:line="28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throughput GPCR binding assessment </w:t>
      </w:r>
      <w:r>
        <w:rPr>
          <w:rFonts w:ascii="Times New Roman" w:cs="Times New Roman" w:eastAsia="Times New Roman" w:hAnsi="Times New Roman"/>
          <w:sz w:val="18"/>
          <w:szCs w:val="18"/>
          <w:color w:val="auto"/>
        </w:rPr>
        <w:t>to confirm binding of purified antibodies to the target of interest. This step enables rapid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narrowing of the set of initial hits to focus on the best hits merging from the selection.</w:t>
      </w:r>
    </w:p>
    <w:p>
      <w:pPr>
        <w:spacing w:after="0" w:line="154" w:lineRule="exact"/>
        <w:rPr>
          <w:rFonts w:ascii="Times New Roman" w:cs="Times New Roman" w:eastAsia="Times New Roman" w:hAnsi="Times New Roman"/>
          <w:sz w:val="18"/>
          <w:szCs w:val="18"/>
          <w:color w:val="auto"/>
        </w:rPr>
      </w:pPr>
    </w:p>
    <w:p>
      <w:pPr>
        <w:ind w:left="120" w:right="100" w:firstLine="436"/>
        <w:spacing w:after="0" w:line="268"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GPCR signaling assays </w:t>
      </w:r>
      <w:r>
        <w:rPr>
          <w:rFonts w:ascii="Times New Roman" w:cs="Times New Roman" w:eastAsia="Times New Roman" w:hAnsi="Times New Roman"/>
          <w:sz w:val="18"/>
          <w:szCs w:val="18"/>
          <w:color w:val="auto"/>
        </w:rPr>
        <w:t>to confirm that hits which were identified in the selection campaign and confirmed as target selective binders, are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functionally active to modulate signaling through the target of interest. We have implemented a wide range of signaling assays that can support characterization of hits against different GPCR targets.</w:t>
      </w:r>
    </w:p>
    <w:p>
      <w:pPr>
        <w:spacing w:after="0" w:line="170" w:lineRule="exact"/>
        <w:rPr>
          <w:rFonts w:ascii="Times New Roman" w:cs="Times New Roman" w:eastAsia="Times New Roman" w:hAnsi="Times New Roman"/>
          <w:sz w:val="18"/>
          <w:szCs w:val="18"/>
          <w:color w:val="auto"/>
        </w:rPr>
      </w:pPr>
    </w:p>
    <w:p>
      <w:pPr>
        <w:ind w:left="120" w:right="220" w:firstLine="436"/>
        <w:spacing w:after="0" w:line="28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Antibody lead optimization </w:t>
      </w:r>
      <w:r>
        <w:rPr>
          <w:rFonts w:ascii="Times New Roman" w:cs="Times New Roman" w:eastAsia="Times New Roman" w:hAnsi="Times New Roman"/>
          <w:sz w:val="18"/>
          <w:szCs w:val="18"/>
          <w:color w:val="auto"/>
        </w:rPr>
        <w:t>via affinity maturation to further improve either potency, selectivity, cross-species reactivity, developability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manufacturability characteristics or any combination of the above.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License and Services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Harvard Option and License Agreement</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we paid Harvard a one-time license fee of $170,000 and issued 227,486 shares of common stock with a fair market value of $0.4 million.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we generate from products that utilize the license technology (“Licensed Products”) and royalty payments as a percentage in the low single digits of the annual net sales that we generate from know-how enabled product licenses (“Know-How Enabled Products”) and (3) a percentage between 10-20% of all non-royalty income received by us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WuXi Master Development and Manufacturing Services Agreement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May 6, 2022, we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us on a project-by-project basis. Such services are performed under agreed-upon work orders. Under the terms of the WuXi Biologics Manufacturing Agreement, we have agreed to pay fees for WuXi Biologics’ performance of services in addition to reimbursing WuXi Biologics for reasonable expenses authorized by us and as provided in each applicable work order.</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term of the WuXi Biologics Manufacturing Agreement will expire on the later of May 6, 2025, or the completion of the services under all work orders executed by the parties prior to May 6, 2025, provided that the term may be extended by us for additional periods. We will have the right to terminate the WuXi Biologics Manufacturing Agreement or any work order upon thirty days’ prior written notice or immediately if, in our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WuXi Biologics Manufacturing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Novotech Master Clinical Contract Services Agreement</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us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us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w:t>
      </w:r>
    </w:p>
    <w:p>
      <w:pPr>
        <w:spacing w:after="0" w:line="1"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secrets, know-how, information, data, documentation, reports, research, creations and all other products and/or materials arising from or made in the performance of Novotech’s service, except for Novotech’s background intellectual property rights as defined under the Agreement.</w:t>
      </w:r>
    </w:p>
    <w:p>
      <w:pPr>
        <w:spacing w:after="0" w:line="18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spacing w:after="0" w:line="187" w:lineRule="exact"/>
        <w:rPr>
          <w:sz w:val="20"/>
          <w:szCs w:val="20"/>
          <w:color w:val="auto"/>
        </w:rPr>
      </w:pPr>
    </w:p>
    <w:p>
      <w:pPr>
        <w:ind w:left="120" w:right="1800" w:firstLine="440"/>
        <w:spacing w:after="0" w:line="282" w:lineRule="auto"/>
        <w:rPr>
          <w:sz w:val="20"/>
          <w:szCs w:val="20"/>
          <w:color w:val="auto"/>
        </w:rPr>
      </w:pPr>
      <w:r>
        <w:rPr>
          <w:rFonts w:ascii="Times New Roman" w:cs="Times New Roman" w:eastAsia="Times New Roman" w:hAnsi="Times New Roman"/>
          <w:sz w:val="18"/>
          <w:szCs w:val="18"/>
          <w:color w:val="auto"/>
        </w:rPr>
        <w:t>The Novotech CSA includes customary terms relating to, among others, indemnification, intellectual property protection, confidentiality, non-solicitation,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ARENSIA Master Agreement for Early Phase Clinical Services</w:t>
      </w:r>
    </w:p>
    <w:p>
      <w:pPr>
        <w:spacing w:after="0" w:line="121" w:lineRule="exact"/>
        <w:rPr>
          <w:sz w:val="20"/>
          <w:szCs w:val="20"/>
          <w:color w:val="auto"/>
        </w:rPr>
      </w:pPr>
    </w:p>
    <w:p>
      <w:pPr>
        <w:jc w:val="both"/>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In October 2023, we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us on a project-by-project basis. Such services are performed under agreed work orders. Under the terms of the Arensia CSA, we have agreed to pay fees for Arensia’s performance of services in addition to reimbursing Arensia</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pre-approved, reasonable expenses actually and necessarily incurred by Arensia as specified in each applicable work order.</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we may terminate a work order if the study governed by such work order is suspended for more than thirty days and either party may terminate a work order for reasonable scientific safety reasons. We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Arensia CSA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QPS Holdings Master Contract Services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of the QPS Agreement will expire on the later of: (i) two years from the effective date of the QPS Agreement, or October 2025, or</w:t>
      </w:r>
    </w:p>
    <w:p>
      <w:pPr>
        <w:spacing w:after="0" w:line="27" w:lineRule="exact"/>
        <w:rPr>
          <w:sz w:val="20"/>
          <w:szCs w:val="20"/>
          <w:color w:val="auto"/>
        </w:rPr>
      </w:pPr>
    </w:p>
    <w:p>
      <w:pPr>
        <w:ind w:left="120" w:hanging="4"/>
        <w:spacing w:after="0" w:line="253" w:lineRule="auto"/>
        <w:tabs>
          <w:tab w:leader="none" w:pos="3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services under all work orders executed prior to the 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has failed to cure a material breach after thirty days’ written notice or may terminate the QPS Agreement for any reason upon sixty days’ prior written notice provided there are no active statements of work outstanding.</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QPS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patent portfolio includes three pending U.S. non-provisional applications, one pending international (Patent Cooperation Treaty) application, and nineteen pending foreign applications relating to Fc-relaxin fusion protein compositions (including TX45) and methods of use thereof. Specifically, we have exclusively in-licensed one patent family from the President and Fellows of Harvard College and wholly own two patents families, relating Fc-relaxin fusion protein compositions (including TX45) and methods of use thereof. The in-licensed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May 2041. The first wholly owned patent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November 2042, and the second family consists of one pending Patent Cooperation Treaty application, one pending U.S. non-provisional patent application, and one pending foreign application in Taiwan, with any patent issuing from</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applications having an expected 20-year expiry date of not earlier than May 2044.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cs="Times New Roman" w:eastAsia="Times New Roman" w:hAnsi="Times New Roman"/>
          <w:sz w:val="17"/>
          <w:szCs w:val="17"/>
          <w:i w:val="1"/>
          <w:iCs w:val="1"/>
          <w:color w:val="auto"/>
        </w:rPr>
        <w:t>Risk Factors — Risks Related to Intellectual Property</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lead product candidate TX45. We currently rely, and expect to continue to rely for the foreseeable future, on third-party contract development and manufacturing organizations (“CDMOs”) to produce our product candidates for preclinical and clinical testing, as well as for future commercial manufacture of any products that we may commercialize.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require our CDMOs to conduct manufacturing activities in compliance with Current Good Manufacturing Practices (“CGMPs”) requirements. We have assembled a team of experienced employees and consultants to provide the necessary technical, quality and regulatory oversight over its CDMOs. Currently, we contract with two third-party manufacturers, including WuXi Biologics, to provide biologics development and manufacturing services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our product candidates. In the future, we may engage additional third-party manufacturers to support any clinical trials for TX45 and TX2100 as well as commercialization of TX45, if approved, in the United States or other jurisdictions or the clinical development and potential commercialization of additional programs from our pipeline.</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rely on WuXi Biologics to perform all chemistry, manufacturing, and controls (“CMC”) activities related to our TX45 program. We require that WuXi Biologics produces bulk drug substances and finished drug products in accordance with CGMPs, and all other applicable laws and 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face competition from companies that are pursuing development of engineered proteins or small molecule agonists of relaxin including AstraZeneca, who is currently conducting Phase 2 trials. To our knowledge, Astra Zeneca is pursuing either the broader Heart Failure population or Group 2 PH in the setting of either HFpEF or HFrEF without enrichment for CpCPH patients.</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HHT space, Vaderis has been pursuing development of an oral AKT inhibitor and Diagonal Therapeutics has been pursuing agonist antibodies for the treatment of this condition. Investigator-initiated studies of nintendanib (Boehringer Ingelheim) and pazopanib (Novartis) are also ongoing to explore the potential utility of these kinase inhibitors to treat this condition.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 based antibody discovery. Specifically, our use of membrane mimetics that help maintain native receptor extra-cellular domain conformations combined with the membrane protein biochemistry expertise that we have built over the last three years is a key point of potential differentiation.</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 steps:</w:t>
      </w:r>
    </w:p>
    <w:p>
      <w:pPr>
        <w:spacing w:after="0" w:line="67" w:lineRule="exact"/>
        <w:rPr>
          <w:sz w:val="20"/>
          <w:szCs w:val="20"/>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performed in accordance with the FDA’s applicable Good Laboratory Practices (“GLP”) regulations;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(“CGMP”) conditions, of the drug substance and drug product that the sponsor intends to use in human clinical trials along with required analytical and stability testing;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for human clinical testing,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representing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(“GCP”) regulations;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a biological product requesting marketing for one or more proposed indications, including submission of detailed information on the manufacture and composition of the product in clinical development and proposed labelling;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Prescription Drug User Fee Act (“PDUFA”) fees, securing FDA approval of the BLA and licensure of the new biological product;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any post-approval studies or other post- marketing commitments required by the FDA.</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0"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w:t>
      </w:r>
    </w:p>
    <w:p>
      <w:pPr>
        <w:spacing w:after="0" w:line="15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3"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Information about applicable clinical trials must be submitted within specific timeframes to the National Institutes of Health (“NIH”) for public dissemination on its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xml:space="preserve"> website.</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87"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43" w:lineRule="exact"/>
        <w:rPr>
          <w:sz w:val="20"/>
          <w:szCs w:val="20"/>
          <w:color w:val="auto"/>
        </w:rPr>
      </w:pPr>
    </w:p>
    <w:p>
      <w:pPr>
        <w:ind w:left="1080" w:right="20" w:hanging="424"/>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right="100" w:hanging="424"/>
        <w:spacing w:after="0" w:line="267"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biological products studied for their safety and effectiveness in treating serious or life-threatening illnesses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several guidance documents outlining an approach to review and approval of biosimilars. Additional guidance is expected to be finalized by the FDA in the near term.</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119"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we have marketed products, include the following:</w:t>
      </w:r>
    </w:p>
    <w:p>
      <w:pPr>
        <w:spacing w:after="0" w:line="89" w:lineRule="exact"/>
        <w:rPr>
          <w:sz w:val="20"/>
          <w:szCs w:val="20"/>
          <w:color w:val="auto"/>
        </w:rPr>
      </w:pPr>
    </w:p>
    <w:p>
      <w:pPr>
        <w:ind w:left="1080" w:right="60" w:hanging="424"/>
        <w:spacing w:after="0" w:line="25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4"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00"/>
        <w:spacing w:after="0" w:line="289" w:lineRule="auto"/>
        <w:rPr>
          <w:sz w:val="20"/>
          <w:szCs w:val="20"/>
          <w:color w:val="auto"/>
        </w:rPr>
      </w:pPr>
      <w:r>
        <w:rPr>
          <w:rFonts w:ascii="Times New Roman" w:cs="Times New Roman" w:eastAsia="Times New Roman" w:hAnsi="Times New Roman"/>
          <w:sz w:val="17"/>
          <w:szCs w:val="17"/>
          <w:color w:val="auto"/>
        </w:rPr>
        <w:t>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63" w:lineRule="exact"/>
        <w:rPr>
          <w:sz w:val="20"/>
          <w:szCs w:val="20"/>
          <w:color w:val="auto"/>
        </w:rPr>
      </w:pPr>
    </w:p>
    <w:p>
      <w:pPr>
        <w:ind w:left="1080" w:right="4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5"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3"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(such as physician assistants and nurse practitioners) and teaching hospitals, as well as ownership and investment interests held by the physicians described above and their immediate family members;</w:t>
      </w:r>
    </w:p>
    <w:p>
      <w:pPr>
        <w:spacing w:after="0" w:line="94"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w:t>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and additional modifications or repeal may occur.</w:t>
      </w:r>
    </w:p>
    <w:p>
      <w:pPr>
        <w:spacing w:after="0" w:line="18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In August 2022, the Inflation Reduction Act of 2022 (“IRA”) was signed into law. The IRA contains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single-source high-cost biologics that have been on the market for at least 11 years without generic or biosimilar competition (the “Medicare Drug Price Negotiation Program”);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15, 2024, HHS announced the agreed-upon price of the first ten drugs that were subject to price negotiations, although there is currently ongoing litigation challenging the constitutionality of the IRA’s Medicare Drug Price Negotiation Program. On January 17, 2025, HHS selected fifteen additional products covered under Part D for price negotiation in 2025. Each year thereafter more Part B and Part D products will become subject to the Medicare Drug Price Negotiation Program. Further, on December 8, 2023, the National Institute of Standards and Technology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pricing regulations, reforms of regulatory approval frameworks may adversely affect our pricing strategy. The current Trump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is pursuing policies to reduce regulations and expenditures across government including at HHS, the FDA, CMS and related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agencies. These actions, presently directed by executive orders or memoranda from the Office of Management and Budget, may propose policy changes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create additional uncertainty for our business. These actions may, for example, include directives to reduce agency workforce, rescinding a Biden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executive order tasking the Center for Medicare and Medicaid Innovation (“CMMI”) to consider new payment and healthcare models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 drug spending and eliminating the Biden administration’s executive order that directed HHS to establishing an AI task force and developing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strategic plan. Additionally, in its June 2024 decision in Loper Bright Enterprises v. Raimondo (“Loper Bright”), the U.S. Supreme Court overturned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longstanding Chevron doctrine, under which courts were required to give deference to regulatory agencies’ reasonable interpretations of ambiguous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statutes. The Loper Bright decision could result in additional legal challenges to current regulations and guidance issued by federal agencies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to our operations, including those issued by the FDA. Congress may introduce and ultimately pass health care related legislation that could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impact the drug approval process and make changes to the Medicare Drug Price Negotiation Program created under the IRA.</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w:t>
      </w: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82"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third-party payor may depend upon a number of factors, including the third-party payor’s determination that use of a product is: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could have a material adverse effect on our operating results, our ability to raise capital needed to commercialize products and our overall financial condition.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Regulation outside of the United States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required to comply with comparable regulations in each jurisdiction outside of the United States in which we choose to manufacture, develop or seek marketing authorization for our product candidates.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European Union drug development</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w:t>
      </w:r>
    </w:p>
    <w:p>
      <w:pPr>
        <w:spacing w:after="0" w:line="27" w:lineRule="exact"/>
        <w:rPr>
          <w:sz w:val="20"/>
          <w:szCs w:val="20"/>
          <w:color w:val="auto"/>
        </w:rPr>
      </w:pPr>
    </w:p>
    <w:p>
      <w:pPr>
        <w:ind w:left="120" w:hanging="4"/>
        <w:spacing w:after="0" w:line="253"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European Union drug review and approval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obtain regulatory approval for our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Data protection regulation</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we had 51 full-time employees, 41 of whom were primarily engaged in research and development activities, and 22 of our employees had an M.D. or Ph.D. degree. None of our employees are represented by a labor union and we consider our employee relations to be good.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82"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“TECX”.</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2015. Legacy Tectonic was incorporated under the laws of the State of Delaware in June 2019. Following the Merger with Tectonic Operating Company, Inc. (formerly Tectonic Therapeutic, Inc.) on June 20, 2024, we changed our name from AVROBIO, Inc. to Tectonic Therapeutic, Inc. Our principal executive office is located at 490 Arsenal Way, Suite 210, Watertown, Massachusetts 02472, and our telephone number is (339) 666-3320.</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headquarters consist of approximately 19,000 square feet of leased research laboratory and office space under a lease that expires in January 2026. We believe that our facilities are adequate to meet our current needs.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website is www.tectonictx.com. We may use our website to comply with disclosure obligations under Regulation FD. Therefore, investors should monitor our website in addition to following its press releases, filings with the SEC, public conference calls, and webcasts. The contents of our website are not intended to be incorporated by reference into this prospectus or in any other report or document we file with the SEC, and any references to our websites are intended to be inactive textual references only.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lists the names and ages, as of December 31, 2024, and positions of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8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280" w:type="dxa"/>
            <w:vAlign w:val="bottom"/>
            <w:tcBorders>
              <w:top w:val="single" w:sz="8" w:color="auto"/>
            </w:tcBorders>
            <w:shd w:val="clear" w:color="auto" w:fill="CCEEFF"/>
          </w:tcPr>
          <w:p>
            <w:pPr>
              <w:spacing w:after="0"/>
              <w:rPr>
                <w:sz w:val="16"/>
                <w:szCs w:val="16"/>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McNamara, Ph.D.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Schwabish, Ph.D.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 M.S., M.B.A.</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Praveen Tipirneni, M.D., M.B.A.</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Alise Reicin, M.D.</w:t>
      </w:r>
      <w:r>
        <w:rPr>
          <w:rFonts w:ascii="Times New Roman" w:cs="Times New Roman" w:eastAsia="Times New Roman" w:hAnsi="Times New Roman"/>
          <w:sz w:val="18"/>
          <w:szCs w:val="18"/>
          <w:color w:val="auto"/>
        </w:rPr>
        <w:t>, has served as our President and Chief Executive Officer and member of our Board since August 2020.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previously served on the board of directors of Homology Medicines, Inc., a public biopharmaceutical company and currently serves on the board of directors of Sana Biotechnology, Inc., a public cell and gene therapy company and Immatics, a company focused on the development of immunotherapies for cancer. She also serves on the board of directors of Sharsheret, a nonprofit devoted to improving the lives of patients and families with or at increased risk of ovarian and breast cancer. Dr. Reicin earned a B.A. in Biochemistry from Barnard College of Columbia University. She earned a M.D. in Medicine from Harvard University. We believe that Dr. Reicin is qualified to serve on our Board due to her clinical expertise and leadership roles in the biotechnology and biopharmaceuticals industry.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Daniel Lochner, M.B.A.</w:t>
      </w:r>
      <w:r>
        <w:rPr>
          <w:rFonts w:ascii="Times New Roman" w:cs="Times New Roman" w:eastAsia="Times New Roman" w:hAnsi="Times New Roman"/>
          <w:sz w:val="18"/>
          <w:szCs w:val="18"/>
          <w:color w:val="auto"/>
        </w:rPr>
        <w:t>, has served as our Chief Financial Officer since June 2024. Mr. Lochner most recently served as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Business Officer for the Eye Care Division of Viatris Inc., a global healthcare company, from 2023 to 2024. Prior to Viatris, Mr. Lochner was the Chief Financial Officer and Chief Business Officer of Oyster Point Pharma, Inc., a biotechnology company that was acquired by Viatris in 2023, from 2019 to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 Mr. Lochner received a B.A. in Economics from the University of Richmond and an M.B.A. from Columbia University.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Peter McNamara, Ph.D.</w:t>
      </w:r>
      <w:r>
        <w:rPr>
          <w:rFonts w:ascii="Times New Roman" w:cs="Times New Roman" w:eastAsia="Times New Roman" w:hAnsi="Times New Roman"/>
          <w:sz w:val="18"/>
          <w:szCs w:val="18"/>
          <w:color w:val="auto"/>
        </w:rPr>
        <w:t>, has served as our Chief Scientific Officer since June 2022. Prior to that, Dr. McNamara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Head of Research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w:t>
      </w:r>
    </w:p>
    <w:p>
      <w:pPr>
        <w:spacing w:after="0" w:line="188"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Marcella K. Ruddy, M.D., </w:t>
      </w:r>
      <w:r>
        <w:rPr>
          <w:rFonts w:ascii="Times New Roman" w:cs="Times New Roman" w:eastAsia="Times New Roman" w:hAnsi="Times New Roman"/>
          <w:sz w:val="18"/>
          <w:szCs w:val="18"/>
          <w:color w:val="auto"/>
        </w:rPr>
        <w:t>has served as our Chief Medical Officer since July 2021. She has over 20 years of experience in drug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all stages of clinical drug development. She currently serves as a member of the board of directors of Upstream Bio since January 2023 and Sionna Therapeutics since January 2025. She previously served on the Board of Directors of Polarean Imaging from August 2022 through August 2024. Prior to joining Tectonic, Dr. Ruddy was the Head of Clinical Development for the Immunology/Inflammation Therapeutic Area at Regeneron Pharmaceuticals. In that role she led the clinical development of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w:t>
      </w:r>
    </w:p>
    <w:p>
      <w:pPr>
        <w:spacing w:after="0" w:line="19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Marc Schwabish, Ph.D.</w:t>
      </w:r>
      <w:r>
        <w:rPr>
          <w:rFonts w:ascii="Times New Roman" w:cs="Times New Roman" w:eastAsia="Times New Roman" w:hAnsi="Times New Roman"/>
          <w:sz w:val="18"/>
          <w:szCs w:val="18"/>
          <w:color w:val="auto"/>
        </w:rPr>
        <w:t>, has served as our Chief Business Officer since March 2021. Prior to joining Tectonic, Dr. Schwabish served as SVP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Phillip B. Donenberg</w:t>
      </w:r>
      <w:r>
        <w:rPr>
          <w:rFonts w:ascii="Times New Roman" w:cs="Times New Roman" w:eastAsia="Times New Roman" w:hAnsi="Times New Roman"/>
          <w:sz w:val="18"/>
          <w:szCs w:val="18"/>
          <w:color w:val="auto"/>
        </w:rPr>
        <w:t>, has served as a member of our Board since June 2024. Mr. Donenberg had served on the board of directors and as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Chairman of AVROBIO, Inc., a publicly traded gene therapy company, since June 2018, prior to AVROBIO’s reverse merger with Tectonic in June 2024. Mr. Donenberg has served on the board of directors and as chairman of the audit committee of Taysha Gene Therapies, Inc., a publicly traded gene therapy company, since August 2020. Mr. Donenberg served as Senior Vice-President and Chief Financial Officer of Jaguar Gene Therapy, LLC, a privately held early-stage gene therapy company, from February 2020 to March 2023. Previously, Mr. Donenberg served as Chief Financial Officer and Senior Vice-President of Assertio Therapeutics, Inc., a pharmaceutical company, from July 2018 to November 2018. He served as Senior Vice-President and Chief Financial Officer of AveXis, Inc., a publicly traded gene therapy company, from 2017 to June 2018 and as Vice-President, Corporate Controller from 2016 to 2017. Mr. Donenberg earned a B.S. in accountancy from the University of Illinois, Champaign-Urbana College of Business and is a Certified Public Accountant. We believe that Mr. Donenberg is qualified to serve as a director of our Board based on his financial expertise and his experience as an audit chair, director and executive of companies in the biotechnology and pharmaceutical industries.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82"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Terrance McGuire M.S., M.B.A</w:t>
      </w:r>
      <w:r>
        <w:rPr>
          <w:rFonts w:ascii="Times New Roman" w:cs="Times New Roman" w:eastAsia="Times New Roman" w:hAnsi="Times New Roman"/>
          <w:sz w:val="18"/>
          <w:szCs w:val="18"/>
          <w:color w:val="auto"/>
        </w:rPr>
        <w:t>, has served as a member of our Board since September 2019. Mr. McGuire was a co-founder and is currently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Polaris Partners. He currently serves on the board of directors of Seer, Inc. and Invivyd, Inc., as well as several private companies, including Adimab, LLC. Mr. McGuire previously served on the boards of directors of Alector, Inc., Acceleron Pharma, Inc., Akamai Technologies, Inc., Cubist, Inc., Cyclerion Therapeutics,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McGuire holds a B.S. in physics and economics from Hobart College, an M.S. in engineering from the Thayer School at Dartmouth College, and an M.B.A. from Harvard Business School. We believe that Mr. McGuire is qualified to serve on our Board because of his extensive experiences as a venture capitalist focused on the biotechnology industry, as well as his many years of experience as a director of biotechnology companies guiding them in the execution of their corporate strategy and objectives.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Timothy A. Springer, Ph.D.</w:t>
      </w:r>
      <w:r>
        <w:rPr>
          <w:rFonts w:ascii="Times New Roman" w:cs="Times New Roman" w:eastAsia="Times New Roman" w:hAnsi="Times New Roman"/>
          <w:sz w:val="18"/>
          <w:szCs w:val="18"/>
          <w:color w:val="auto"/>
        </w:rPr>
        <w:t>, has served as a member of our Board since June 2019. Dr. Springer co-founded our Company in June 2019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a scientific advisor. Dr. Springer served as Chair of our Company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Therapeutic and served as a scientific advisor and as a member of its board of directors from June 2015 to August 2024, when it was acquired by Eli Lilly. He has also served Selecta Biosciences Inc. (now Cartesian Therapeutic) as a scientific advisor since December 2008 and as a member of its board of directors since June 2016. Dr. Springer is also a Founder and Board Member of Seismic Therapeutic, a private company. Dr. Springer is a member of the National Academy of Sciences and his honors include the Crafoord Prize, the American Association of Immunologists Meritorious Career Award, the Stratton Medal from the American Society of Hematology, the Basic Research Prize from the American Heart Association, the Canada International Gairdner Award, the Lasker Basic Medical Research Award and the Robert Koch Prize. Dr. Springer received a B.A. in Biochemistry from the University of California, Berkeley, and a Ph.D. in Biochemistry and Molecular Biology from Harvard University. We believe that Dr. Springer is qualified to serve on our Board because of his extensive knowledge of therapeutically important cell surface molecules and his investment, business and board experience with biopharmaceutical companies.</w:t>
      </w:r>
    </w:p>
    <w:p>
      <w:pPr>
        <w:spacing w:after="0" w:line="18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Praveen Tipirneni, M.D., M.B.A.</w:t>
      </w:r>
      <w:r>
        <w:rPr>
          <w:rFonts w:ascii="Times New Roman" w:cs="Times New Roman" w:eastAsia="Times New Roman" w:hAnsi="Times New Roman"/>
          <w:sz w:val="18"/>
          <w:szCs w:val="18"/>
          <w:color w:val="auto"/>
        </w:rPr>
        <w:t>, has served as a member of our Board since February 2020. Dr. Tipirneni currently serves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The Ras, Inc. d/b/a BridgeBio Oncology Therapeutics. He previously served as Chief Executive Officer and as a member of the board of directors of Morphic Holding, Inc. until its acquisition by Eli Lilly in August 2024. Dr. Tipirneni received a B.A. in Mechanical Engineering from Massachusetts Institute of Technology, an M.D. from McGill University and an M.B.A. from the Wharton School of Business of the University of Pennsylvania. We believe Dr. Tipirneni is qualified to serve on our Board because of his experience with biotechnology companies, including working with and serving in various executive positions in life sciences companies.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Stefan Vitorovic, M.S., M.B.A.</w:t>
      </w:r>
      <w:r>
        <w:rPr>
          <w:rFonts w:ascii="Times New Roman" w:cs="Times New Roman" w:eastAsia="Times New Roman" w:hAnsi="Times New Roman"/>
          <w:sz w:val="18"/>
          <w:szCs w:val="18"/>
          <w:color w:val="auto"/>
        </w:rPr>
        <w:t>, has served as a member of our Board since August 2021. Mr. Vitorovic was the co-founder and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Vida Ventures, a role he served in from January 2017 to December 2024.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Inc.).Prior to TPG, Mr. Vitorovic was an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82"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investment banker at Credit Suisse’s healthcare banking group from 2004 to 2008. Mr. Vitorovic currently serves on the board of directors of Vigil Neuroscience, Inc. He was previously Director or Observer of Oyster Point Pharma, Inc., Dyne Therapeutics, Sutro Biopharma, Inc., Kyverna Therapeutics, Inc., Praxis Precision Medicines, Inc., Volastra Therapeutics, Inc., and Souffle Therapeutics, Inc. He received a B.S. with Honors in Biological Sciences and an M.S. in Biology from Stanford University, where he received the Firestone Award for his research. Mr. Vitorovic received his M.B.A. from Harvard Business School. We believe Mr. Vitorovic is qualified to serve on our Board because of his deep expertise in life sciences research and investing, as well as his extensive experience in new company formation and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the Company or the Company’s subsidiaries or in which any such person has a material interest adverse to the Company or the Company’s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six directors divided into three staggered classes, with one class to be elected at each annual meeting to serve for a three-year term.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certificate of incorporation (the “Certificate of Incorporation”), our Board is divided into three classes, Class I, Class II and Class III, with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 The Board is divided among the following classes:</w:t>
      </w:r>
    </w:p>
    <w:p>
      <w:pPr>
        <w:spacing w:after="0" w:line="85" w:lineRule="exact"/>
        <w:rPr>
          <w:sz w:val="20"/>
          <w:szCs w:val="20"/>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Alise Reicin, M.D. and Praveen Tipirneni, M.D., whose terms will expire at the annual meeting of stockholders to be held in 2025;</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Timothy A. Springer, Ph.D. and Stefan Vitorovic, whose terms will expire at the annual meeting of stockholders to be held in 2026;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Terrance McGuire and Phillip B. Donenberg, whose terms will expire at the annual meeting of stockholders to be held in 2027.</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retirement or death. This classification of the Board may have the effect of delaying or preventing changes in our control or management. Our directors may be removed for cause by the affirmative vote of the holders of at least 66 2/3% of our voting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Our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Dr. Reicin, our president and chief executive officer, all members of the Board are independent, and all members of committees of the Board are independent. To determine independence, the Board reviewed all relevant identified transactions or relationships between each director, or any of such director’s family members, and us, our senior management and our independent auditors. Our Board has affirmatively determined that the following five current directors are independent directors within the meaning of the applicable Nasdaq listing standards: Phillip B. Donenberg, Terrance McGuire, Timothy A. Springer, Ph.D., Praveen Tipirneni, M.D. and Stefan Vitorovic. In making this determination, our Board found that none of these directors or nominees for director had a material or other disqualifying relationship with Tectonic. Dr. Reicin was determined as not being independent by virtue of her executive leadership role with us.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considered the applicable Nasdaq rules and the current and prior relationships that each non-employee director has with our company and all other facts and circumstances our Board deemed relevant in determining their independence, including their beneficial ownership of our share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standing committees of our Board are the following: audit committee, compensation committee and nominating and corporate governance committee, and each operates pursuant to a charter. Our Board may establish other committees from time to time to assist us and our Board.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committee’s oversight responsibilities include:</w:t>
      </w:r>
    </w:p>
    <w:p>
      <w:pPr>
        <w:spacing w:after="0" w:line="67" w:lineRule="exact"/>
        <w:rPr>
          <w:sz w:val="20"/>
          <w:szCs w:val="20"/>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systems of internal control over financial reporting and audits of financial statements, as well as the quality and integrity of our financial statements and reports;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registered public accountant;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including compliance with ethical standards adopted by us;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assessment of our risk management, risk assessment and major risk exposures with respect to financial, accounting, operational, tax, privacy and cybersecurity and information technology risks.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Phillip Donenberg, Terrance McGuire and Stefan Vitorovic. Phillip Donenberg serves as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directors. Among other matters, the compensation committee’s responsibilities include:</w:t>
      </w:r>
    </w:p>
    <w:p>
      <w:pPr>
        <w:spacing w:after="0" w:line="67" w:lineRule="exact"/>
        <w:rPr>
          <w:sz w:val="20"/>
          <w:szCs w:val="20"/>
          <w:color w:val="auto"/>
        </w:rPr>
      </w:pPr>
    </w:p>
    <w:p>
      <w:pPr>
        <w:ind w:left="5500" w:right="2260" w:hanging="4844"/>
        <w:spacing w:after="0" w:line="454" w:lineRule="auto"/>
        <w:tabs>
          <w:tab w:leader="none" w:pos="10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our overall compensation philosophy in light of our specific business objectives; 119</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or recommending to the full Board the compensation, for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for our other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compensation-related disclosures required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strategies relating to human capital management.</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Praveen Tipirneni and Stefan Vitorovic. Praveen Tipirneni serves as the chair of the compensation committee. Each member of the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31" w:lineRule="exact"/>
        <w:rPr>
          <w:sz w:val="20"/>
          <w:szCs w:val="20"/>
          <w:color w:val="auto"/>
        </w:rPr>
      </w:pPr>
    </w:p>
    <w:p>
      <w:pPr>
        <w:ind w:left="1080" w:right="52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adoption the corporate governance guidelines applicable to us, periodically reviewing such guidelines, recommending changes to the same from time to time as appropriate and overseeing and monitoring compliance with such guidelines;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evaluations of the Board, its committees, and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directors qualified to serve on the various committees of the Board and recommending to the Board qualified nominees for membership on each such committee;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Board and key leadership roles on the Board and its committees.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Timothy Springer and Terrance McGuire. Timothy Springer serves as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of Conduct”) that is applicable to all of our employees, executive officers and directors. The Code of Conduct is available on our website at </w:t>
      </w:r>
      <w:r>
        <w:rPr>
          <w:rFonts w:ascii="Times New Roman" w:cs="Times New Roman" w:eastAsia="Times New Roman" w:hAnsi="Times New Roman"/>
          <w:sz w:val="18"/>
          <w:szCs w:val="18"/>
          <w:i w:val="1"/>
          <w:iCs w:val="1"/>
          <w:color w:val="auto"/>
        </w:rPr>
        <w:t>https://investors.tectonictx.com/governance-documents</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 The Board, and audit committee of the Board, will be responsible for overseeing the Code of Conduct and must approve any waivers of the Code of Conduct for employees, executive officers and directors. We plan to disclose any amendments to the Code of Conduct, or any waivers of its requirements, on our website.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82"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(“NEOs”) for the year ended December 31, 2024 who appear in the Summary Compensation Table below are:</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Alise Reicin, M.D., our President, Chief Executive Officer and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Lochner, M.B.A., our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Marcella K. Ruddy, M.D., our Chief Medical Officer.</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our NEOs for services during the fiscal year ended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900" w:type="dxa"/>
            <w:vAlign w:val="bottom"/>
          </w:tcPr>
          <w:p>
            <w:pPr>
              <w:jc w:val="right"/>
              <w:ind w:right="224"/>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2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Alise Reicin, M.D.</w:t>
            </w:r>
            <w:r>
              <w:rPr>
                <w:rFonts w:ascii="Times New Roman" w:cs="Times New Roman" w:eastAsia="Times New Roman" w:hAnsi="Times New Roman"/>
                <w:sz w:val="23"/>
                <w:szCs w:val="23"/>
                <w:b w:val="1"/>
                <w:bCs w:val="1"/>
                <w:color w:val="auto"/>
                <w:vertAlign w:val="superscript"/>
              </w:rPr>
              <w:t>(5)</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606,151</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600,848</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4,291,563</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392,150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10,267</w:t>
            </w:r>
          </w:p>
        </w:tc>
        <w:tc>
          <w:tcPr>
            <w:tcW w:w="42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2"/>
              </w:rPr>
              <w:t>(6)</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5,900,979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Daniel Lochner, M.B.A</w:t>
            </w:r>
          </w:p>
        </w:tc>
        <w:tc>
          <w:tcPr>
            <w:tcW w:w="90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277,083</w:t>
            </w:r>
          </w:p>
        </w:tc>
        <w:tc>
          <w:tcPr>
            <w:tcW w:w="920" w:type="dxa"/>
            <w:vAlign w:val="bottom"/>
            <w:gridSpan w:val="2"/>
          </w:tcPr>
          <w:p>
            <w:pPr>
              <w:ind w:left="38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1,855,869</w:t>
            </w:r>
          </w:p>
        </w:tc>
        <w:tc>
          <w:tcPr>
            <w:tcW w:w="11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126,311</w:t>
            </w:r>
          </w:p>
        </w:tc>
        <w:tc>
          <w:tcPr>
            <w:tcW w:w="1320" w:type="dxa"/>
            <w:vAlign w:val="bottom"/>
            <w:gridSpan w:val="2"/>
          </w:tcPr>
          <w:p>
            <w:pPr>
              <w:jc w:val="right"/>
              <w:ind w:right="193"/>
              <w:spacing w:after="0" w:line="196" w:lineRule="exact"/>
              <w:rPr>
                <w:sz w:val="20"/>
                <w:szCs w:val="20"/>
                <w:color w:val="auto"/>
              </w:rPr>
            </w:pPr>
            <w:r>
              <w:rPr>
                <w:rFonts w:ascii="Times New Roman" w:cs="Times New Roman" w:eastAsia="Times New Roman" w:hAnsi="Times New Roman"/>
                <w:sz w:val="16"/>
                <w:szCs w:val="16"/>
                <w:color w:val="auto"/>
              </w:rPr>
              <w:t>24,744</w:t>
            </w:r>
            <w:r>
              <w:rPr>
                <w:rFonts w:ascii="Times New Roman" w:cs="Times New Roman" w:eastAsia="Times New Roman" w:hAnsi="Times New Roman"/>
                <w:sz w:val="22"/>
                <w:szCs w:val="22"/>
                <w:color w:val="auto"/>
                <w:vertAlign w:val="superscript"/>
              </w:rPr>
              <w:t>(7)</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2,284,007</w:t>
            </w:r>
          </w:p>
        </w:tc>
        <w:tc>
          <w:tcPr>
            <w:tcW w:w="0" w:type="dxa"/>
            <w:vAlign w:val="bottom"/>
          </w:tcPr>
          <w:p>
            <w:pPr>
              <w:spacing w:after="0"/>
              <w:rPr>
                <w:sz w:val="1"/>
                <w:szCs w:val="1"/>
                <w:color w:val="auto"/>
              </w:rPr>
            </w:pPr>
          </w:p>
        </w:tc>
      </w:tr>
      <w:tr>
        <w:trPr>
          <w:trHeight w:val="23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9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476,165</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1,140,034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223,951</w:t>
            </w:r>
          </w:p>
        </w:tc>
        <w:tc>
          <w:tcPr>
            <w:tcW w:w="132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25"/>
                <w:szCs w:val="25"/>
                <w:color w:val="auto"/>
                <w:vertAlign w:val="subscript"/>
              </w:rPr>
              <w:t>742</w:t>
            </w:r>
            <w:r>
              <w:rPr>
                <w:rFonts w:ascii="Times New Roman" w:cs="Times New Roman" w:eastAsia="Times New Roman" w:hAnsi="Times New Roman"/>
                <w:sz w:val="11"/>
                <w:szCs w:val="11"/>
                <w:color w:val="auto"/>
              </w:rPr>
              <w:t>(8)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1,840,892</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57"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amounts represent actual amounts paid during 2024. With respect to Drs. Reicin and Ruddy, the amounts reflect increases to base salary effective April 1, 2024 and further increases to base salary effective June 20, 2024. Mr. Lochner’s base salary was effective June 3, 2024 pursuant to his employment agreement. See “—</w:t>
      </w:r>
      <w:r>
        <w:rPr>
          <w:rFonts w:ascii="Times New Roman" w:cs="Times New Roman" w:eastAsia="Times New Roman" w:hAnsi="Times New Roman"/>
          <w:sz w:val="18"/>
          <w:szCs w:val="18"/>
          <w:i w:val="1"/>
          <w:iCs w:val="1"/>
          <w:color w:val="auto"/>
        </w:rPr>
        <w:t>Narrative to the Summary Compensation Table—Base Salary</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reported represent the aggregate grant date fair value of RSUs granted during the year ended December 31, 2024, calculated in accordance with FASB ASC 718 for share-based compensation transactions. The assumptions used in calculating the grant date fair value of the RSUs reported in this column are set forth in “Note 2. </w:t>
      </w:r>
      <w:r>
        <w:rPr>
          <w:rFonts w:ascii="Times New Roman" w:cs="Times New Roman" w:eastAsia="Times New Roman" w:hAnsi="Times New Roman"/>
          <w:sz w:val="18"/>
          <w:szCs w:val="18"/>
          <w:i w:val="1"/>
          <w:iCs w:val="1"/>
          <w:color w:val="auto"/>
        </w:rPr>
        <w:t>Summary of Significant Accounting Policies and Basis of Presentation—Stock-Based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“Note 8.</w:t>
      </w:r>
      <w:r>
        <w:rPr>
          <w:rFonts w:ascii="Times New Roman" w:cs="Times New Roman" w:eastAsia="Times New Roman" w:hAnsi="Times New Roman"/>
          <w:sz w:val="18"/>
          <w:szCs w:val="18"/>
          <w:i w:val="1"/>
          <w:iCs w:val="1"/>
          <w:color w:val="auto"/>
        </w:rPr>
        <w:t xml:space="preserve"> Equity Incentive Plans</w:t>
      </w:r>
      <w:r>
        <w:rPr>
          <w:rFonts w:ascii="Times New Roman" w:cs="Times New Roman" w:eastAsia="Times New Roman" w:hAnsi="Times New Roman"/>
          <w:sz w:val="18"/>
          <w:szCs w:val="18"/>
          <w:color w:val="auto"/>
        </w:rPr>
        <w:t>” to our consolidated financial statements for the year ended December 31, 2024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registration statement of which this prospectus forms a part. This amount does not reflect the actual economic value that may be realized upon vesting and settlement of the RSUs or any sale of the underlying shares of common stock.</w:t>
      </w:r>
    </w:p>
    <w:p>
      <w:pPr>
        <w:spacing w:after="0" w:line="2" w:lineRule="exact"/>
        <w:rPr>
          <w:rFonts w:ascii="Times New Roman" w:cs="Times New Roman" w:eastAsia="Times New Roman" w:hAnsi="Times New Roman"/>
          <w:sz w:val="18"/>
          <w:szCs w:val="18"/>
          <w:color w:val="auto"/>
        </w:rPr>
      </w:pPr>
    </w:p>
    <w:p>
      <w:pPr>
        <w:ind w:left="540" w:right="160" w:hanging="424"/>
        <w:spacing w:after="0" w:line="25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represent the aggregate grant date fair value of the stock option awards granted during the year ended December 31, 2024, calculated in accordance with FASB ASC 718 for share-based compensation transactions. The assumptions used in calculating the grant date fair value of the stock options reported in this column are set forth in “Note 2. </w:t>
      </w:r>
      <w:r>
        <w:rPr>
          <w:rFonts w:ascii="Times New Roman" w:cs="Times New Roman" w:eastAsia="Times New Roman" w:hAnsi="Times New Roman"/>
          <w:sz w:val="18"/>
          <w:szCs w:val="18"/>
          <w:i w:val="1"/>
          <w:iCs w:val="1"/>
          <w:color w:val="auto"/>
        </w:rPr>
        <w:t>Summary of Significant Accounting Policies and Basis of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and “Note 8.</w:t>
      </w:r>
      <w:r>
        <w:rPr>
          <w:rFonts w:ascii="Times New Roman" w:cs="Times New Roman" w:eastAsia="Times New Roman" w:hAnsi="Times New Roman"/>
          <w:sz w:val="18"/>
          <w:szCs w:val="18"/>
          <w:i w:val="1"/>
          <w:iCs w:val="1"/>
          <w:color w:val="auto"/>
        </w:rPr>
        <w:t xml:space="preserve"> Equity Incentive Plans</w:t>
      </w:r>
      <w:r>
        <w:rPr>
          <w:rFonts w:ascii="Times New Roman" w:cs="Times New Roman" w:eastAsia="Times New Roman" w:hAnsi="Times New Roman"/>
          <w:sz w:val="18"/>
          <w:szCs w:val="18"/>
          <w:color w:val="auto"/>
        </w:rPr>
        <w:t>” to our consolidated financial statements for each of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included elsewhere in this registration statement of which this prospectus forms a part. These amounts do not correspond to the actual economic value that may be received by our NEOs upon the exercise of the stock options or any sale of the underlying shares of common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40" w:right="240" w:hanging="424"/>
        <w:spacing w:after="0" w:line="277" w:lineRule="auto"/>
        <w:tabs>
          <w:tab w:leader="none" w:pos="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disclosed for fiscal year 2024 reflect performance-based cash bonuses earned in 2024 and paid in early 2025. See “—</w:t>
      </w:r>
      <w:r>
        <w:rPr>
          <w:rFonts w:ascii="Times New Roman" w:cs="Times New Roman" w:eastAsia="Times New Roman" w:hAnsi="Times New Roman"/>
          <w:sz w:val="17"/>
          <w:szCs w:val="17"/>
          <w:i w:val="1"/>
          <w:iCs w:val="1"/>
          <w:color w:val="auto"/>
        </w:rPr>
        <w:t>Non-Equity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Incentive Plan Compensation</w:t>
      </w:r>
      <w:r>
        <w:rPr>
          <w:rFonts w:ascii="Times New Roman" w:cs="Times New Roman" w:eastAsia="Times New Roman" w:hAnsi="Times New Roman"/>
          <w:sz w:val="17"/>
          <w:szCs w:val="17"/>
          <w:color w:val="auto"/>
        </w:rPr>
        <w:t>” below for a description of the material terms of the program pursuant to which this compensation was awarded.</w:t>
      </w:r>
    </w:p>
    <w:p>
      <w:pPr>
        <w:spacing w:after="0" w:line="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Reicin also served as a member of our Board but did not receive any additional compensation for her service as a director.</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commuting expenses in the amount of $9,505, and (ii) life insurance premiums in the amount of $762 paid by us on behalf of Dr. Reicin.</w:t>
      </w:r>
    </w:p>
    <w:p>
      <w:pPr>
        <w:ind w:left="540" w:right="48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commuting expenses in the amount of $16,189, (ii) $8,133 in matching employer contributions to a 401(k) plan, and (iii) life insurance premiums in the amount of $422 paid by us on behalf of Mr. Lochner.</w:t>
      </w: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life insurance premiums in the amount of $742 paid by us on behalf of Dr. Ruddy.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2024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NEO’s base salary was a fixed component of annual compensation for performing specific duties and functions, and was established by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taking into account each individual’s role, responsibilities, skills, and expertise. Base salaries are reviewed annually, typically in connection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annual performance review process, approved by our Board, and adjusted from time to time to realign salaries with market levels and internal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benchmarking, after taking into account individual responsibilities, performance and experience. Please see the “Salary” column in the Summary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Compensation Table above for the actual base salary amount received by each NEO during the year ended December 31, 2024. The annual base salaries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Drs. Reicin and Ruddy were $579,251 and $455,260, respectively, for the period from January 1, 2024 through April 1, 2024 and $602,160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$473,200, respectively, for the period from April 1, 2024 to June 20, 2024. In connection with the completion of the Merger, the annual base salaries for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Reicin and Dr. Ruddy were increased to $620,000 and $486,850, respectively. We entered into an employment agreement with Mr. Lochner,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June 3, 2024, pursuant to which Mr. Lochner’s annual base salary for the year ended December 31, 2024 was $475,000.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annual incentive program is intended to reward our NEOs for performance during a fiscal year. From time to time, our compensation committee or our Board, as applicable, in their discretion may have approve annual incentives for our NEOs based on individual performance, company performance, or as otherwise determined appropriate. Each of our NEOs were eligible to receive a target bonus at the discretion of our Board with respect to the year ended December 31, 2024 (as a percentage of base salary) based upon their performance.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540" w:type="dxa"/>
            <w:vAlign w:val="bottom"/>
            <w:vMerge w:val="restart"/>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4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Alise Reicin, M.D.</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January 2025, based on the NEO’s performance, our Board determined that Dr. Reicin, Mr. Lochner and Dr. Ruddy were eligible to receive</w:t>
      </w:r>
    </w:p>
    <w:p>
      <w:pPr>
        <w:spacing w:after="0" w:line="27" w:lineRule="exact"/>
        <w:rPr>
          <w:sz w:val="20"/>
          <w:szCs w:val="20"/>
          <w:color w:val="auto"/>
        </w:rPr>
      </w:pPr>
    </w:p>
    <w:p>
      <w:pPr>
        <w:ind w:left="120" w:right="640"/>
        <w:spacing w:after="0" w:line="255" w:lineRule="auto"/>
        <w:rPr>
          <w:sz w:val="20"/>
          <w:szCs w:val="20"/>
          <w:color w:val="auto"/>
        </w:rPr>
      </w:pPr>
      <w:r>
        <w:rPr>
          <w:rFonts w:ascii="Times New Roman" w:cs="Times New Roman" w:eastAsia="Times New Roman" w:hAnsi="Times New Roman"/>
          <w:sz w:val="18"/>
          <w:szCs w:val="18"/>
          <w:color w:val="auto"/>
        </w:rPr>
        <w:t>115% of their target annual bonus for the year ended December 31, 2024, and as a result, approved annual performance bonuses for Dr. Reicin, Mr. Lochner and Dr. Ruddy in the amounts of $392,150, $126,311 and $223,951, respectively, as reflected in the “Non-Equity Incentive Plan Compensation” column of the Summary Compensation Table above.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82" w:right="5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closing of the Merger, our Compensation Committee approved option grants to certain of our employees, including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Reicin, Mr. Lochner and Dr. Ruddy. As a result, on June 20, 2024, Dr. Reicin received an option grant to purchase 289,600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Mr. Lochner received an option grant to purchase 118,000 shares of our common stock and Dr. Ruddy received an option grant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81,700 shares of our common stock, each with an exercise price per share equal to $16.80, which was the closing price per share of our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reported on the Nasdaq Global Market on the day of closing of the Merger (as adjusted for the reverse stock split). The shares subject to these option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grants will vest 1/4 on the first anniversary of the grant date, and thereafter the remaining 3/4 of the shares will vest in equal monthly installments over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three years, in each case subject to the recipient’s continuous service through the applicable vesting dates, such that the options are vested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full on the four-year anniversary of the grant date. Mr. Lochner also received an option grant to purchase 15,000 shares of our common stock with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price per share equal to $16.80. The shares subject to this option grant will vest 1/2 on June 1, 2026 if we raise $100 million by June 1,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have a minimum of a two year cash runway as of June 1, 2026 (i.e. until June 1, 2028), and 1/2 on June 1, 2028 if we have a minimum of a two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runway as of June 1, 2028 (i.e. until June 1, 2030), in each case, as determined by our Board (or the Compensation Committee) in its sole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in each case subject to the recipient’s continuous service through the applicable vesting dates.</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December 2024, Dr. Reicin received an option grant to purchase 6,000 shares of our common stock with an exercise price per share equal to $51.28. The shares subject to this option grant will vest 1/4 on June 20, 2025, and thereafter the remaining 3/4 of the shares will vest in equal monthly installments over the next 36 months, in each case subject to her continuous service through the applicable vesting dates, such that the options are vested in full on June 20, 2028. In addition, in December 2024, Dr. Reicin received a grant of 11,717 restricted stock units of which 1/4 of the units will vest on each of the first four anniversaries of June 20, 2024, in each case subject to her continuous service through the applicable vesting dates, such that the units are vested in full on June 20, 2028.</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2024 Year-End</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2024. All awards were granted pursuant to the Tectonic 2019 Equity Incentive Plan (the “2019 Plan”) and the Tectonic 2024 Equity Incentive Plan (the “2024 Plan”).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Incentive Plans—Tectonic 2019 Equity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—Equity Incentive Plans—Tectonic 2024 Equity Incentive Plan</w:t>
      </w:r>
      <w:r>
        <w:rPr>
          <w:rFonts w:ascii="Times New Roman" w:cs="Times New Roman" w:eastAsia="Times New Roman" w:hAnsi="Times New Roman"/>
          <w:sz w:val="18"/>
          <w:szCs w:val="18"/>
          <w:color w:val="auto"/>
        </w:rPr>
        <w:t>”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vMerge w:val="restart"/>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80" w:type="dxa"/>
            <w:vAlign w:val="bottom"/>
            <w:gridSpan w:val="2"/>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6/28/2021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320" w:type="dxa"/>
            <w:vAlign w:val="bottom"/>
            <w:tcBorders>
              <w:top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2"/>
              </w:rPr>
              <w:t>(3)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06/27/31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12/1/2023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12/1/2023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3,340</w:t>
            </w: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20,040</w:t>
            </w:r>
            <w:r>
              <w:rPr>
                <w:rFonts w:ascii="Times New Roman" w:cs="Times New Roman" w:eastAsia="Times New Roman" w:hAnsi="Times New Roman"/>
                <w:sz w:val="25"/>
                <w:szCs w:val="25"/>
                <w:color w:val="auto"/>
                <w:vertAlign w:val="superscript"/>
              </w:rPr>
              <w:t>(4)</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11/30/33</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6/20/2024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6/20/2024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289,600</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16.80</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06/19/34</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12/4/2024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6/20/2024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6,000</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12/03/34</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12/4/2024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6/20/2024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7"/>
                <w:szCs w:val="17"/>
                <w:color w:val="auto"/>
              </w:rPr>
              <w:t>11,717</w:t>
            </w:r>
            <w:r>
              <w:rPr>
                <w:rFonts w:ascii="Times New Roman" w:cs="Times New Roman" w:eastAsia="Times New Roman" w:hAnsi="Times New Roman"/>
                <w:sz w:val="25"/>
                <w:szCs w:val="25"/>
                <w:color w:val="auto"/>
                <w:vertAlign w:val="superscript"/>
              </w:rPr>
              <w:t>(5)</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600,848</w:t>
            </w:r>
          </w:p>
        </w:tc>
        <w:tc>
          <w:tcPr>
            <w:tcW w:w="0" w:type="dxa"/>
            <w:vAlign w:val="bottom"/>
          </w:tcPr>
          <w:p>
            <w:pPr>
              <w:spacing w:after="0"/>
              <w:rPr>
                <w:sz w:val="1"/>
                <w:szCs w:val="1"/>
                <w:color w:val="auto"/>
              </w:rPr>
            </w:pPr>
          </w:p>
        </w:tc>
      </w:tr>
      <w:tr>
        <w:trPr>
          <w:trHeight w:val="196"/>
        </w:trPr>
        <w:tc>
          <w:tcPr>
            <w:tcW w:w="3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Daniel Lochner, M.B.A.</w:t>
            </w:r>
          </w:p>
        </w:tc>
        <w:tc>
          <w:tcPr>
            <w:tcW w:w="100" w:type="dxa"/>
            <w:vAlign w:val="bottom"/>
          </w:tcPr>
          <w:p>
            <w:pPr>
              <w:spacing w:after="0"/>
              <w:rPr>
                <w:sz w:val="17"/>
                <w:szCs w:val="17"/>
                <w:color w:val="auto"/>
              </w:rPr>
            </w:pPr>
          </w:p>
        </w:tc>
        <w:tc>
          <w:tcPr>
            <w:tcW w:w="7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w w:val="95"/>
              </w:rPr>
              <w:t>6/20/2024</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5/31/2024</w:t>
            </w:r>
          </w:p>
        </w:tc>
        <w:tc>
          <w:tcPr>
            <w:tcW w:w="9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93"/>
              <w:spacing w:after="0" w:line="196" w:lineRule="exact"/>
              <w:rPr>
                <w:sz w:val="20"/>
                <w:szCs w:val="20"/>
                <w:color w:val="auto"/>
              </w:rPr>
            </w:pPr>
            <w:r>
              <w:rPr>
                <w:rFonts w:ascii="Times New Roman" w:cs="Times New Roman" w:eastAsia="Times New Roman" w:hAnsi="Times New Roman"/>
                <w:sz w:val="16"/>
                <w:szCs w:val="16"/>
                <w:color w:val="auto"/>
              </w:rPr>
              <w:t>118,000</w:t>
            </w:r>
            <w:r>
              <w:rPr>
                <w:rFonts w:ascii="Times New Roman" w:cs="Times New Roman" w:eastAsia="Times New Roman" w:hAnsi="Times New Roman"/>
                <w:sz w:val="22"/>
                <w:szCs w:val="22"/>
                <w:color w:val="auto"/>
                <w:vertAlign w:val="superscript"/>
              </w:rPr>
              <w:t>(3)</w:t>
            </w:r>
          </w:p>
        </w:tc>
        <w:tc>
          <w:tcPr>
            <w:tcW w:w="68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16.80</w:t>
            </w:r>
          </w:p>
        </w:tc>
        <w:tc>
          <w:tcPr>
            <w:tcW w:w="88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06/19/34</w:t>
            </w:r>
          </w:p>
        </w:tc>
        <w:tc>
          <w:tcPr>
            <w:tcW w:w="98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6/20/2024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5/31/2024</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93"/>
              <w:spacing w:after="0" w:line="236" w:lineRule="exact"/>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6"/>
                <w:szCs w:val="26"/>
                <w:color w:val="auto"/>
                <w:vertAlign w:val="superscript"/>
              </w:rPr>
              <w:t>(6)</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16.80</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06/19/34</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9/17/2021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7/19/2021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32,861</w:t>
            </w: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11,085</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09/16/31</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12/1/2023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12/1/2023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4,676</w:t>
            </w: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14,028</w:t>
            </w:r>
            <w:r>
              <w:rPr>
                <w:rFonts w:ascii="Times New Roman" w:cs="Times New Roman" w:eastAsia="Times New Roman" w:hAnsi="Times New Roman"/>
                <w:sz w:val="25"/>
                <w:szCs w:val="25"/>
                <w:color w:val="auto"/>
                <w:vertAlign w:val="superscript"/>
              </w:rPr>
              <w:t>(4)</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11/30/33</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6/20/2024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6/20/2024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87,100</w:t>
            </w:r>
            <w:r>
              <w:rPr>
                <w:rFonts w:ascii="Times New Roman" w:cs="Times New Roman" w:eastAsia="Times New Roman" w:hAnsi="Times New Roman"/>
                <w:sz w:val="25"/>
                <w:szCs w:val="25"/>
                <w:color w:val="auto"/>
                <w:vertAlign w:val="superscript"/>
              </w:rPr>
              <w:t>(3)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16.80</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06/19/34</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560" w:hanging="424"/>
        <w:spacing w:after="0" w:line="276"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option awards have been granted pursuant to the terms of the Legacy Tectonic 2019 Plan or Tectonic 2024 Plan, the terms of which are described below in the subsection titled “</w:t>
      </w:r>
      <w:r>
        <w:rPr>
          <w:rFonts w:ascii="Times New Roman" w:cs="Times New Roman" w:eastAsia="Times New Roman" w:hAnsi="Times New Roman"/>
          <w:sz w:val="17"/>
          <w:szCs w:val="17"/>
          <w:i w:val="1"/>
          <w:iCs w:val="1"/>
          <w:color w:val="auto"/>
        </w:rPr>
        <w:t>—Equity Incentive Plans—Tectonic 2019 Equity Incentive Plan and 2024 Equity Incentive Plan.</w:t>
      </w:r>
      <w:r>
        <w:rPr>
          <w:rFonts w:ascii="Times New Roman" w:cs="Times New Roman" w:eastAsia="Times New Roman" w:hAnsi="Times New Roman"/>
          <w:sz w:val="17"/>
          <w:szCs w:val="17"/>
          <w:color w:val="auto"/>
        </w:rPr>
        <w:t>”</w:t>
      </w:r>
    </w:p>
    <w:p>
      <w:pPr>
        <w:ind w:left="5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granted prior to the Merger have an exercise price per share that is no less than the fair market value of Legacy Tectonic common stock on the date of grant of such award, as determined in good faith by the Legacy Tectonic Board. All option awards listed in the table granted subsequent to the Merger have an exercise price based on the closing price per share of common stock as reported on the Nasdaq Select Market on the date of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option grant vested or will vest 1/4 on the first anniversary of the vesting commencement date, and thereafter the remaining 3/4 of the shares will vest in equal monthly installments over the following three years, in each case subject to the officer’s continuous service through the applicable vesting dates, such that the options are vested in full on the four-year anniversary of the vesting commencement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option vest in equal monthly installments beginning on January 1, 2024 over the following four years, in each case subject to the officer’s continuous service through the applicable vesting dates, such that the options are vested in full on the four-year anniversary of the vesting commencement date.</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vest in equal annual installments beginning on June 20, 2025 over the following three years, in each case subject to the officer’s continuous service through the applicable vesting dates, such that the shares are vested in full on the four-year anniversary of the vesting commencement date.</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3"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option grant will vest 1/2 on June 1, 2026 if we raise $100 million by June 1, 2026 and have a minimum of a two year cash runway as of June 1, 2026 (i.e. until June 1, 2028), and 1/2 on June 1, 2028 if we have a minimum of a two year cash runway as of June 1, 2028 (i.e. until June 1, 2030), in each case, as determined by our Board (or the Compensation Committee) in its sole discretion, and in each case subject to the officer’s continued service through the applicable vesting dates.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Our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descriptions of the material terms of our employment agreement and offer letters with the NEOs.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Alise Reicin, M.D.</w:t>
      </w:r>
    </w:p>
    <w:p>
      <w:pPr>
        <w:spacing w:after="0" w:line="119" w:lineRule="exact"/>
        <w:rPr>
          <w:sz w:val="20"/>
          <w:szCs w:val="20"/>
          <w:color w:val="auto"/>
        </w:rPr>
      </w:pPr>
    </w:p>
    <w:p>
      <w:pPr>
        <w:ind w:left="120" w:right="180" w:firstLine="440"/>
        <w:spacing w:after="0" w:line="242" w:lineRule="auto"/>
        <w:rPr>
          <w:sz w:val="20"/>
          <w:szCs w:val="20"/>
          <w:color w:val="auto"/>
        </w:rPr>
      </w:pPr>
      <w:r>
        <w:rPr>
          <w:rFonts w:ascii="Times New Roman" w:cs="Times New Roman" w:eastAsia="Times New Roman" w:hAnsi="Times New Roman"/>
          <w:sz w:val="18"/>
          <w:szCs w:val="18"/>
          <w:color w:val="auto"/>
        </w:rPr>
        <w:t>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subject to her continuous employment through February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following calendar year;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w:t>
      </w:r>
    </w:p>
    <w:p>
      <w:pPr>
        <w:spacing w:after="0" w:line="19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related agreement for Dr. Reicin does not purport to be complete and is subject to and qualified in its entirety by reference to the copy of the amended and restated employment agreement for Dr. Reicin included as an exhibit to the registration statement of which this prospectus forms a part.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Lochner, M.B.A</w:t>
      </w:r>
    </w:p>
    <w:p>
      <w:pPr>
        <w:spacing w:after="0" w:line="119"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On May 28, 2024, we entered into an employment agreement with Daniel Lochner. The material terms of the employment agreement are as follows: (i) Mr. Lochner shall be employed as Chief Financial Officer of the Company, effective June 3, 2024; (ii) an annual base salary of $475,000;</w:t>
      </w:r>
    </w:p>
    <w:p>
      <w:pPr>
        <w:spacing w:after="0" w:line="1" w:lineRule="exact"/>
        <w:rPr>
          <w:sz w:val="20"/>
          <w:szCs w:val="20"/>
          <w:color w:val="auto"/>
        </w:rPr>
      </w:pPr>
    </w:p>
    <w:p>
      <w:pPr>
        <w:ind w:left="120" w:right="340" w:hanging="4"/>
        <w:spacing w:after="0" w:line="233" w:lineRule="auto"/>
        <w:tabs>
          <w:tab w:leader="none" w:pos="4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performance- based cash bonus with a target bonus percentage of 40% of Mr. Lochner’s base salary subject to his continuous service through the payment of the bonus set to occur no later than April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the following calendar year; (iv) an issuance of an option award to purchase shares of common stock of the Company, representing 0.80% of the combined Company’s post- merger outstanding shares of common stock; (v) a performance-based equity award to purchase a number of shares of common stock equal to 0.10% of the combined Company’s post-merger outstanding shares of common stock; and (vi) eligibility to participate in the Company’s executive severance plan and other employee benefit, welfare and other plans, as may be maintained by the Company from time to time.</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Marcella K. Ruddy, M.D.</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Legacy Tectonic entered into an offer letter with Dr. Ruddy (the “Ruddy Offer Letter”) in June 2021, in connection with her appointment as Legacy Tectonic’s Chief Medical Officer. The Ruddy Offer Letter provides for a base salary and target bonus opportunity, which shall be reviewed and may be adjusted on an annual basis.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qualify for the annual target bonus set at a percentage of her adjusted base salary in respect of any calendar year, Dr. Ruddy must remain employed with Legacy Tectonic through the time the bonus payment was paid by Legacy Tectonic in the following year. Under the Ruddy Offer Letter, Legacy Tectonic granted Dr. Ruddy an option to purchase 142,233 shares of Tectonic common stock pursuant to the terms of Legacy Tectonic’s 2019 Equity Incentive Plan (the “Tectonic 2019 Plan”), at an exercise price of $1.27 per share.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Legacy Tectonic equity compensation plans, as may be granted from time to time. As an NEO, Dr. Ruddy is also eligible to participate in the Company’s executive severance plan and other employee benefit, welfare and other plans, as may be maintained by the Company from time to time.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a Termination or Change in Control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Merger, our Board adopted the Severance Plan pursuant to which certain employees are eligible to participate, including the NEOs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Severance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NEOs,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maintains a tax-qualified 401(k) retirement plan that provides eligible U.S. employees with an opportunity to save for retirement on a tax-advantaged basis. Pursuant to the terms of such 401(k) plan, depending on facts and circumstances of the employee population in any given year, the Company may make a 3% mandatory contribution under and pursuant to the terms of the plan and applicable law. The Company does not maintain any defined benefit pension plan or nonqualified deferred compensation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adopted the 2024 Equity Incentive Plan (the “2024 Plan”) in connection with and effective as of the closing of the Merger, which provides for the grant of nonstatutory stock options, (“NSOs”) stock appreciation rights, restricted stock awards, restricted stock unit awards, performance awards and other forms of awards to employees, directors and consultants, including employees and consultants of our affiliates. Initially, the maximum number of shares of common stock that may be issued under the 2024 Plan will not exceed 12.5% of the Company’s fully diluted shares outstanding determined as of immediately after the Effective Time (the “2024 Plan’s initial share reserve”). In addition, the number of shares of common stock reserved for issuance under the 2024 Plan will automatically increase on January 1 of each year, starting on January 1, 2025, through and including January 1, 2034, in an amount equal to (1) 5% of the total number of shares of common stock outstanding on the last day of the preceding calendar year, or (2) a lesser number of shares of common stock determined by the Board prior to the date of the increase. The maximum number of shares of common stock that may be issued on the exercise of ISOs under the 2024 Plan is three multiplied by the 2024 Plan’s initial share reserve.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the 2024 Employee Stock Purchase Plan (the “2024 ESPP”) in connection with the Merger pursuant to which the Company may provide eligible employees with an opportunity to purchase shares of the common stock through accumulated contributions. The 2024 ESPP is designed to allow eligible U.S. employees to purchase common stock in a manner that may qualify for favorable tax treatment under Section 423 of the Code.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2024 ESPP authorizes the issuance of a number of shares of common stock equal to 1% of the total number of shares of common stock issued and outstanding determined as of immediately after the effective time of the Merger (the “2024 ESPP’s initial share reserve”), pursuant to purchase rights granted to the Company’s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employees or to employees of any of the Company’s designated affiliates. The number of shares of common stock reserved for issuance will automatically increase on January 1 of each year, from January 1, 2025 through and including January 1, 2034, by the lesser of (1) 1% of the total number of shares of common stock outstanding on the last day of the preceding calendar year, and (2) a number of shares of common stock equal to three times the 2024 ESPP’s initial share 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prior to the date of any such increase, the Board may determine that such increase will be less than the amount set forth in clauses (1) and (2). To date the Company has not made any offerings under the 2024 ESPP.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Tectonic 2019 Equity Incentive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Non-Employee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director of our Board during the year ended December 31, 2024. Dr. Reicin, our Chief Executive Officer and President, did not receive any additional compensation for her service on our Board. The compensation received by Dr. Reicin as a NEO, is set forth in “</w:t>
      </w:r>
      <w:r>
        <w:rPr>
          <w:rFonts w:ascii="Times New Roman" w:cs="Times New Roman" w:eastAsia="Times New Roman" w:hAnsi="Times New Roman"/>
          <w:sz w:val="18"/>
          <w:szCs w:val="18"/>
          <w:i w:val="1"/>
          <w:iCs w:val="1"/>
          <w:color w:val="auto"/>
        </w:rPr>
        <w:t>2024 Executive Compensation—2024 Summary Compensation Table.</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4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86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2400" w:type="dxa"/>
            <w:vAlign w:val="bottom"/>
            <w:gridSpan w:val="2"/>
          </w:tcPr>
          <w:p>
            <w:pPr>
              <w:jc w:val="center"/>
              <w:ind w:left="1357"/>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1220" w:type="dxa"/>
            <w:vAlign w:val="bottom"/>
            <w:gridSpan w:val="2"/>
          </w:tcPr>
          <w:p>
            <w:pPr>
              <w:jc w:val="right"/>
              <w:ind w:right="17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(1)(2)</w:t>
            </w:r>
          </w:p>
        </w:tc>
        <w:tc>
          <w:tcPr>
            <w:tcW w:w="640" w:type="dxa"/>
            <w:vAlign w:val="bottom"/>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Phillip B. Donenberg</w:t>
            </w:r>
          </w:p>
        </w:tc>
        <w:tc>
          <w:tcPr>
            <w:tcW w:w="1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96"/>
              </w:rPr>
              <w:t>27,500</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197,568</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225,068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 M.S., M.B.A.</w:t>
            </w:r>
          </w:p>
        </w:tc>
        <w:tc>
          <w:tcPr>
            <w:tcW w:w="24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w w:val="96"/>
              </w:rPr>
              <w:t>40,750</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197,568</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4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96"/>
              </w:rPr>
              <w:t>24,000</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197,568</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Praveen Tipirneni, M.D., M.B.A.</w:t>
            </w:r>
          </w:p>
        </w:tc>
        <w:tc>
          <w:tcPr>
            <w:tcW w:w="24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w w:val="96"/>
              </w:rPr>
              <w:t>25,000</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197,568</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2840" w:type="dxa"/>
            <w:vAlign w:val="bottom"/>
            <w:gridSpan w:val="3"/>
            <w:shd w:val="clear" w:color="auto" w:fill="CCEEFF"/>
          </w:tcPr>
          <w:p>
            <w:pPr>
              <w:ind w:left="1900"/>
              <w:spacing w:after="0" w:line="216" w:lineRule="exact"/>
              <w:rPr>
                <w:sz w:val="20"/>
                <w:szCs w:val="20"/>
                <w:color w:val="auto"/>
              </w:rPr>
            </w:pPr>
            <w:r>
              <w:rPr>
                <w:rFonts w:ascii="Times New Roman" w:cs="Times New Roman" w:eastAsia="Times New Roman" w:hAnsi="Times New Roman"/>
                <w:sz w:val="17"/>
                <w:szCs w:val="17"/>
                <w:color w:val="auto"/>
              </w:rPr>
              <w:t>26,250</w:t>
            </w:r>
            <w:r>
              <w:rPr>
                <w:rFonts w:ascii="Times New Roman" w:cs="Times New Roman" w:eastAsia="Times New Roman" w:hAnsi="Times New Roman"/>
                <w:sz w:val="25"/>
                <w:szCs w:val="25"/>
                <w:color w:val="auto"/>
                <w:vertAlign w:val="superscript"/>
              </w:rPr>
              <w:t>(3)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197,568</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represent the aggregate grant date fair value of the stock option awards granted during the year ended December 31, 2024, calculated in accordance with FASB ASC 718 for share-based compensation transactions. The assumptions used in calculating the grant date fair value of the stock options reported in this column are set forth in “Note 2. </w:t>
      </w:r>
      <w:r>
        <w:rPr>
          <w:rFonts w:ascii="Times New Roman" w:cs="Times New Roman" w:eastAsia="Times New Roman" w:hAnsi="Times New Roman"/>
          <w:sz w:val="18"/>
          <w:szCs w:val="18"/>
          <w:i w:val="1"/>
          <w:iCs w:val="1"/>
          <w:color w:val="auto"/>
        </w:rPr>
        <w:t>Summary of Significant Accounting Policies and Basis of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and “Note 8.</w:t>
      </w:r>
      <w:r>
        <w:rPr>
          <w:rFonts w:ascii="Times New Roman" w:cs="Times New Roman" w:eastAsia="Times New Roman" w:hAnsi="Times New Roman"/>
          <w:sz w:val="18"/>
          <w:szCs w:val="18"/>
          <w:i w:val="1"/>
          <w:iCs w:val="1"/>
          <w:color w:val="auto"/>
        </w:rPr>
        <w:t xml:space="preserve"> Equity Incentive Plans</w:t>
      </w:r>
      <w:r>
        <w:rPr>
          <w:rFonts w:ascii="Times New Roman" w:cs="Times New Roman" w:eastAsia="Times New Roman" w:hAnsi="Times New Roman"/>
          <w:sz w:val="18"/>
          <w:szCs w:val="18"/>
          <w:color w:val="auto"/>
        </w:rPr>
        <w:t>” to our consolidated financial statements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included elsewhere in this registration statement of which this prospectus forms a part. These amounts do not correspond to the actual economic value that may be received by our non-employee directors upon the exercise of the stock options or any sale of the underlying shares of common stock.</w:t>
      </w:r>
    </w:p>
    <w:p>
      <w:pPr>
        <w:spacing w:after="0" w:line="2"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options held by our non-employee directors that were outstanding as of December 31, 2024:</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r>
      <w:tr>
        <w:trPr>
          <w:trHeight w:val="149"/>
        </w:trPr>
        <w:tc>
          <w:tcPr>
            <w:tcW w:w="30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r>
      <w:tr>
        <w:trPr>
          <w:trHeight w:val="173"/>
        </w:trPr>
        <w:tc>
          <w:tcPr>
            <w:tcW w:w="30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Year-End</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3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21,132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 M.S., M.B.A.</w:t>
            </w:r>
          </w:p>
        </w:tc>
        <w:tc>
          <w:tcPr>
            <w:tcW w:w="4480" w:type="dxa"/>
            <w:vAlign w:val="bottom"/>
            <w:gridSpan w:val="3"/>
          </w:tcPr>
          <w:p>
            <w:pPr>
              <w:ind w:left="3940"/>
              <w:spacing w:after="0"/>
              <w:rPr>
                <w:sz w:val="20"/>
                <w:szCs w:val="20"/>
                <w:color w:val="auto"/>
              </w:rPr>
            </w:pPr>
            <w:r>
              <w:rPr>
                <w:rFonts w:ascii="Times New Roman" w:cs="Times New Roman" w:eastAsia="Times New Roman" w:hAnsi="Times New Roman"/>
                <w:sz w:val="18"/>
                <w:szCs w:val="18"/>
                <w:color w:val="auto"/>
              </w:rPr>
              <w:t>11,760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4480" w:type="dxa"/>
            <w:vAlign w:val="bottom"/>
            <w:gridSpan w:val="3"/>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11,760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Praveen Tipirneni, M.D., M.B.A.</w:t>
            </w:r>
          </w:p>
        </w:tc>
        <w:tc>
          <w:tcPr>
            <w:tcW w:w="4480" w:type="dxa"/>
            <w:vAlign w:val="bottom"/>
            <w:gridSpan w:val="3"/>
          </w:tcPr>
          <w:p>
            <w:pPr>
              <w:ind w:left="3940"/>
              <w:spacing w:after="0"/>
              <w:rPr>
                <w:sz w:val="20"/>
                <w:szCs w:val="20"/>
                <w:color w:val="auto"/>
              </w:rPr>
            </w:pPr>
            <w:r>
              <w:rPr>
                <w:rFonts w:ascii="Times New Roman" w:cs="Times New Roman" w:eastAsia="Times New Roman" w:hAnsi="Times New Roman"/>
                <w:sz w:val="18"/>
                <w:szCs w:val="18"/>
                <w:color w:val="auto"/>
              </w:rPr>
              <w:t>23,926</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4480" w:type="dxa"/>
            <w:vAlign w:val="bottom"/>
            <w:gridSpan w:val="3"/>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11,760</w:t>
            </w:r>
          </w:p>
        </w:tc>
      </w:tr>
      <w:tr>
        <w:trPr>
          <w:trHeight w:val="365"/>
        </w:trPr>
        <w:tc>
          <w:tcPr>
            <w:tcW w:w="3000" w:type="dxa"/>
            <w:vAlign w:val="bottom"/>
          </w:tcPr>
          <w:p>
            <w:pPr>
              <w:spacing w:after="0"/>
              <w:rPr>
                <w:sz w:val="24"/>
                <w:szCs w:val="24"/>
                <w:color w:val="auto"/>
              </w:rPr>
            </w:pPr>
          </w:p>
        </w:tc>
        <w:tc>
          <w:tcPr>
            <w:tcW w:w="35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127</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$13,125 of fees earned by Mr. Vitorovic were paid to Vida Ventures and $13,125 of fees earned were paid to Mr. Vitorovic.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After the Merger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 Legacy Tectonic did not have a formal compensation policy with respect to service on its board of directors. Legacy Tectonic reimbursed its non-employee directors for their reasonable out-of-pocket expenses incurred in attending board and committee meetings, and occasionally granted stock options and restricted stock awards as compensation for service.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Merger, our Board approved certain option grants to our directors, other than Dr. Reicin. As a result, on June 20, 2024, each of Phillip B. Donenberg, Terrance McGuire, Timothy A. Springer, Ph.D., Praveen Tipirneni, M.D. and Stefan Vitorovic received an option grant to purchase 11,760 shares of our common stock, in each case, with an exercise price per share equal to $16.80, which was the closing price per share of our common stock as reported on the Nasdaq Global Market on the closing date of the Merger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w:t>
      </w:r>
    </w:p>
    <w:p>
      <w:pPr>
        <w:spacing w:after="0" w:line="18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Under our Non-Employee Director Compensation Policy, which was established in connection with the Merger, each of our non-employee directors is eligible to receive compensation for service on our Board and committees of our Board as set forth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Non-Employee Director Compensation Policy provides our non-employee directors with the following cash compensation for their services:</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each non-employee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per year for the non-executive chairperson (if applicable) in lieu of the annual amount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chair of the audit committee or $7,500 per year for each other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chair of the compensation committee or $5,000 per year for each other member of the compensation committee; and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per year for chair of the nominating and corporate governance committee or $4,000 per year for each other member of the nominating and corporate governance committee.</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cash compensation above is payable to our eligible non-employee directors in equal quarterly installments in arrears, prorated for any partial quarter of service.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cash compensation structure described above, the Non-Employee Director Compensation Policy provides for the following equity incentive compensation program for non-employee directors. All such equity compensation will be granted under the 2024 Plan or any successor equity plan.</w:t>
      </w:r>
    </w:p>
    <w:p>
      <w:pPr>
        <w:spacing w:after="0" w:line="174"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 Each non-employee director who joins our Board will automatically, upon the date of his or her initial election or appointment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non-employee director (or, if such date is not a business day, on the first business day thereafter), be granted a one-time, initial equity award of options (the “initial grant”)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82"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purchase 14,800 shares of common stock with a cash value not to exceed $800,000. One-third of the initial grant will vest on the first anniversary of the date of grant, with the remainder vesting in equal monthly installments thereafter until the third anniversary of the date of grant, subject to continuous service through each applicable vesting date.</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 On the first business day following each annual meeting of our stockholders, each person who is then a non-employee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ours will automatically be granted an option to purchase 7,400 shares of common stock with a cash value not to exceed $400,000 (the “annual grant”). Each annual grant will vest on the earlier of the one-year anniversary of the annual award’s grant date or the date of our next annual stockholder meeting following the annual award’s grant date, subject to continuous service through the vesting date.</w:t>
      </w:r>
    </w:p>
    <w:p>
      <w:pPr>
        <w:spacing w:after="0" w:line="18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our initial public offering) will become fully vested upon a change in control (as defined in our 2024 Plan), subject to the non-employee director remaining in continuous service until immediately prior to the closing of the change in control.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agreements and other arrangements with the Company and the Company’s directors and executive officers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elsewhere in this prospectus, the following is a description of each transaction involving the Company or Legacy Tectonic since January 1, 2023 in which:</w:t>
      </w:r>
    </w:p>
    <w:p>
      <w:pPr>
        <w:spacing w:after="0" w:line="81" w:lineRule="exact"/>
        <w:rPr>
          <w:sz w:val="20"/>
          <w:szCs w:val="20"/>
          <w:color w:val="auto"/>
        </w:rPr>
      </w:pPr>
    </w:p>
    <w:p>
      <w:pPr>
        <w:ind w:left="1080" w:right="1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the average of Legacy Tectonic’s or the Company’s total assets at year-end for the last two completed fiscal years, as applicable;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Legacy Tectonic’s Transactions and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Tectonic Subscription Agreement and SAFEs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January 30, 2024, concurrently with the execution and delivery of the Merger Agreement, Legacy Tectonic entered into a subscription agreement with certain investors named therein, pursuant to which such investors agreed to purchase shares of Legacy Tectonic common stock, at a purchase price of $12.39908 per share (the “Subscription Agreement”),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purchase of Legacy Tectonic common stock pursuant to the Subscription Agreement and the entry into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SAFEs by Legacy Tectonic’s related persons: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8,999,989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7,499,987</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II, L.P.</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Kruse, Ph.D.</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62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Dr. Timothy A. Springer served as a director on the Legacy Tectonic Board and serves as a director of the Board.</w:t>
      </w:r>
    </w:p>
    <w:p>
      <w:pPr>
        <w:ind w:left="540" w:right="2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PP IX owned more than five percent of Legacy Tectonic’s outstanding capital stock and owns more than five percent of the Company’s outstanding capital stock. Terrance McGuire served as a director of the Legacy Tectonic Board, serves as a director on the Board and holds an interest in Polaris Partners GP IX, L.L.C., the general partner of PP IX.</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Stefan Vitorovic served as a director on the Legacy Tectonic Board, serves as a director of the Board and was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7"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purchase of Legacy Tectonic common stock pursuant to the Subscription Agreement. Terrance McGuire served as a director on the Legacy Tectonic Board, serves as a director of the Board and is a managing member of Polaris Founders Capital Management Co. II, L.L.C., the general partner of Polaris Founders Capital Fund II, L.P.</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Dr. Andrew Kruse served as a director on the Legacy Tectonic Board.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 Under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February 2025 Private Placement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Entities affiliated with Deep Track Capital, LP, entities affiliated with FMR LLC, TAS Partners, LLC, entities affiliated with EcoR1, Dr. Springer and Mr. Lochner purchased shares of our common stock in the Private Placement. The following table summarizes the purchase of shares of our common stock by such parties: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Deep Track Capital, LP</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34,527,700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TAS Partners,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33,000,000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6,999,977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Private Placement, we also entered into a registration rights agreement with investors thereto, including the purchasers listed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its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82"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82"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February 28, 2025, by:</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Company’s outstanding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February 28, 2025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lists applicable percentage ownership based on 18,662,672 shares of common stock outstanding as of February 28, 2025.</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760" w:type="dxa"/>
            <w:vAlign w:val="bottom"/>
            <w:vMerge w:val="restart"/>
          </w:tcPr>
          <w:p>
            <w:pPr>
              <w:spacing w:after="0"/>
              <w:rPr>
                <w:sz w:val="15"/>
                <w:szCs w:val="15"/>
                <w:color w:val="auto"/>
              </w:rPr>
            </w:pPr>
          </w:p>
        </w:tc>
        <w:tc>
          <w:tcPr>
            <w:tcW w:w="22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2340" w:type="dxa"/>
            <w:vAlign w:val="bottom"/>
            <w:tcBorders>
              <w:bottom w:val="single" w:sz="8" w:color="auto"/>
            </w:tcBorders>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7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Persons and entities affiliated with Timothy A. Springer, Ph.D.</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5,382,415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FMR LLC</w:t>
            </w:r>
            <w:r>
              <w:rPr>
                <w:rFonts w:ascii="Times New Roman" w:cs="Times New Roman" w:eastAsia="Times New Roman" w:hAnsi="Times New Roman"/>
                <w:sz w:val="25"/>
                <w:szCs w:val="25"/>
                <w:color w:val="auto"/>
                <w:vertAlign w:val="superscript"/>
              </w:rPr>
              <w:t>(2)</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1,516,335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Deep Track Capital, LP</w:t>
            </w:r>
            <w:r>
              <w:rPr>
                <w:rFonts w:ascii="Times New Roman" w:cs="Times New Roman" w:eastAsia="Times New Roman" w:hAnsi="Times New Roman"/>
                <w:sz w:val="25"/>
                <w:szCs w:val="25"/>
                <w:color w:val="auto"/>
                <w:vertAlign w:val="superscript"/>
              </w:rPr>
              <w:t>(3)</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1,401,938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Polaris Partners IX, L.P.</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1,157,977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(5)</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1,028,674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Timothy A. Springer, Ph.D.</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5,382,415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Terrance McGuire, M.S., M.B.A.</w:t>
            </w:r>
            <w:r>
              <w:rPr>
                <w:rFonts w:ascii="Times New Roman" w:cs="Times New Roman" w:eastAsia="Times New Roman" w:hAnsi="Times New Roman"/>
                <w:sz w:val="25"/>
                <w:szCs w:val="25"/>
                <w:color w:val="auto"/>
                <w:vertAlign w:val="superscript"/>
              </w:rPr>
              <w:t>(6)</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1,157,977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Alise Reicin, M.D.</w:t>
            </w:r>
            <w:r>
              <w:rPr>
                <w:rFonts w:ascii="Times New Roman" w:cs="Times New Roman" w:eastAsia="Times New Roman" w:hAnsi="Times New Roman"/>
                <w:sz w:val="25"/>
                <w:szCs w:val="25"/>
                <w:color w:val="auto"/>
                <w:vertAlign w:val="superscript"/>
              </w:rPr>
              <w:t>(7)</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334,848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Marcella K. Ruddy, M.D.</w:t>
            </w:r>
            <w:r>
              <w:rPr>
                <w:rFonts w:ascii="Times New Roman" w:cs="Times New Roman" w:eastAsia="Times New Roman" w:hAnsi="Times New Roman"/>
                <w:sz w:val="25"/>
                <w:szCs w:val="25"/>
                <w:color w:val="auto"/>
                <w:vertAlign w:val="superscript"/>
              </w:rPr>
              <w:t>(8)</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110,914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Praveen Tipirneni, M.D., M.B.A.</w:t>
            </w:r>
            <w:r>
              <w:rPr>
                <w:rFonts w:ascii="Times New Roman" w:cs="Times New Roman" w:eastAsia="Times New Roman" w:hAnsi="Times New Roman"/>
                <w:sz w:val="25"/>
                <w:szCs w:val="25"/>
                <w:color w:val="auto"/>
                <w:vertAlign w:val="superscript"/>
              </w:rPr>
              <w:t>(9)</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15,203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Daniel Lochner, M.B.A.</w:t>
            </w:r>
            <w:r>
              <w:rPr>
                <w:rFonts w:ascii="Times New Roman" w:cs="Times New Roman" w:eastAsia="Times New Roman" w:hAnsi="Times New Roman"/>
                <w:sz w:val="25"/>
                <w:szCs w:val="25"/>
                <w:color w:val="auto"/>
                <w:vertAlign w:val="superscript"/>
              </w:rPr>
              <w:t>(10)</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5,986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(11)</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62,693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w:t>
            </w:r>
            <w:r>
              <w:rPr>
                <w:rFonts w:ascii="Times New Roman" w:cs="Times New Roman" w:eastAsia="Times New Roman" w:hAnsi="Times New Roman"/>
                <w:sz w:val="26"/>
                <w:szCs w:val="26"/>
                <w:b w:val="1"/>
                <w:bCs w:val="1"/>
                <w:color w:val="auto"/>
                <w:vertAlign w:val="superscript"/>
              </w:rPr>
              <w:t>(12)</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7,241,698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160" w:hanging="424"/>
        <w:spacing w:after="0" w:line="253"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4,226,058 shares of common stock held by Dr. Springer, (ii) 186,134 shares held by Dr. Chafen Lu and (iii) 970,223 shares of common stock held by TAS Partners, LLC (“TAS”). Dr. Lu is the spouse of Dr. Springer.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Dr. Lu and TAS is 36 Woodman Road, Newton, MA 02467.</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53"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ind w:left="540" w:right="140" w:hanging="424"/>
        <w:spacing w:after="0" w:line="225"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1,401,938 shares of common stock held by Deep Track Biotechnology Master Fund, Ltd. (“Deep Track Master”). David Kroin is the managing member of Deep Track Capital GP, LLC, the General Partner of Deep Track Capital, LP. Deep Track Capital, LP is the Investment Manager of Deep Track Biotechnology Master Fund. Ltd. The address of the above persons and entities is 200 Greenwich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Greenwich, CT 06830.</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are held of record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Helen Kim, Rajul Jain, and Joshua Kazam are the members of the investment committee of VV Manager II (the “Investment Committee”).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 02109.</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held by Polaris Founders Capital Fund I, L.P. (“PF I”), (ii) consists of 64,652 shares of common stock held by Polaris Founders Capital Fund II, L.P. (“PF II”) and (iii) 1,073,063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 02210.</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82"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166,580 shares of common stock held by Dr. Reicin, 11,372 of which are subject to repurchase as of February 28, 2025,</w:t>
      </w:r>
    </w:p>
    <w:p>
      <w:pPr>
        <w:spacing w:after="0" w:line="27"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124,530 shares of common stock held by the 2020 Reicin-Boiarsky Family Trust (the “2020 Reicin Trust”) and (iii) 43,738 shares of common stock issuable upon exercise of options granted to Dr. Reicin that are exercisable within 60 days of February 28, 2025. Robert Boiarsky is a co-trustee of the 2020 Reicin Trust and the spouse of Dr. Reicin. Dr. Reicin may be deemed to have shared voting and dispositive power over the securities held by the 2020 Reicin Trust.</w:t>
      </w:r>
    </w:p>
    <w:p>
      <w:pPr>
        <w:spacing w:after="0" w:line="1"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32,065 shares of common stock held by Dr. Ruddy and (ii) 46,784 shares of common stock issuable upon exercise of options granted to Dr. Ruddy that are exercisable within 60 days of February 28, 2025.</w:t>
      </w:r>
    </w:p>
    <w:p>
      <w:pPr>
        <w:ind w:left="540" w:right="34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3,037 shares of common stock held by Dr. Tipirneni and (ii) 12,166 shares of common stock issuable upon exercise of options granted to Dr. Tipirneni that are exercisable within 60 days of February 28, 2025.</w:t>
      </w:r>
    </w:p>
    <w:p>
      <w:pPr>
        <w:ind w:left="540" w:right="46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4,617 shares of common stock held by Mr. Lochner and (ii) 1,369 shares of common stock issuable upon exercise of options granted to Mr. Lochner that are exercisable within 60 days of February 28, 2025.</w:t>
      </w:r>
    </w:p>
    <w:p>
      <w:pPr>
        <w:ind w:left="540" w:right="40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 shares of common stock held by Mr. Donenberg and (ii) 9,372 shares of common stock issuable upon exercise of options granted to Mr. Donenberg that are exercisable within 60 days of February 28, 2025.</w:t>
      </w:r>
    </w:p>
    <w:p>
      <w:pPr>
        <w:ind w:left="540" w:right="60" w:hanging="424"/>
        <w:spacing w:after="0" w:line="26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6,766,837 shares of common stock and (ii) 113,429 shares of common stock issuable upon exercise of options that are exercisable within 60 days of February 28, 2025.</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40"/>
          </w:cols>
          <w:pgMar w:left="320" w:top="482" w:right="5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Tectonic acquired from Legacy Tectonic immediately prior to the Merger pursuant to an exemption from registration under Section 4(a)(2) of the Securities Act. Under the Subscription Agreement that we assumed in the Merger,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June 6, 2024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14,734,325 shares of common stock outstanding as of July 6, 2024.</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120" w:type="dxa"/>
            <w:vAlign w:val="bottom"/>
            <w:gridSpan w:val="5"/>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0" w:type="dxa"/>
            <w:vAlign w:val="bottom"/>
          </w:tcPr>
          <w:p>
            <w:pPr>
              <w:spacing w:after="0"/>
              <w:rPr>
                <w:sz w:val="1"/>
                <w:szCs w:val="1"/>
                <w:color w:val="auto"/>
              </w:rPr>
            </w:pPr>
          </w:p>
        </w:tc>
      </w:tr>
      <w:tr>
        <w:trPr>
          <w:trHeight w:val="162"/>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2040" w:type="dxa"/>
            <w:vAlign w:val="bottom"/>
            <w:vMerge w:val="restart"/>
          </w:tcPr>
          <w:p>
            <w:pPr>
              <w:spacing w:after="0"/>
              <w:rPr>
                <w:sz w:val="14"/>
                <w:szCs w:val="14"/>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that May Be</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262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72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Before the Offering</w:t>
            </w:r>
          </w:p>
        </w:tc>
        <w:tc>
          <w:tcPr>
            <w:tcW w:w="162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Offered Hereby</w:t>
            </w:r>
          </w:p>
        </w:tc>
        <w:tc>
          <w:tcPr>
            <w:tcW w:w="6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Fidelity Advisor Series VII: Fidelity Advisor</w:t>
            </w:r>
          </w:p>
        </w:tc>
        <w:tc>
          <w:tcPr>
            <w:tcW w:w="1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Biotechnology Fund</w:t>
            </w:r>
            <w:r>
              <w:rPr>
                <w:rFonts w:ascii="Times New Roman" w:cs="Times New Roman" w:eastAsia="Times New Roman" w:hAnsi="Times New Roman"/>
                <w:sz w:val="26"/>
                <w:szCs w:val="26"/>
                <w:color w:val="auto"/>
                <w:vertAlign w:val="superscript"/>
              </w:rPr>
              <w:t>(1)</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72,841</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72,841</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Fidelity Growth Company Commingled Pool</w:t>
            </w:r>
            <w:r>
              <w:rPr>
                <w:rFonts w:ascii="Times New Roman" w:cs="Times New Roman" w:eastAsia="Times New Roman" w:hAnsi="Times New Roman"/>
                <w:sz w:val="25"/>
                <w:szCs w:val="25"/>
                <w:color w:val="auto"/>
                <w:vertAlign w:val="superscript"/>
              </w:rPr>
              <w:t>(1)</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400,394</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400,394</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Fund</w:t>
            </w:r>
            <w:r>
              <w:rPr>
                <w:rFonts w:ascii="Times New Roman" w:cs="Times New Roman" w:eastAsia="Times New Roman" w:hAnsi="Times New Roman"/>
                <w:sz w:val="26"/>
                <w:szCs w:val="26"/>
                <w:color w:val="auto"/>
                <w:vertAlign w:val="superscript"/>
              </w:rPr>
              <w:t>(1)</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230,656</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230,656</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K6 Fund</w:t>
            </w:r>
            <w:r>
              <w:rPr>
                <w:rFonts w:ascii="Times New Roman" w:cs="Times New Roman" w:eastAsia="Times New Roman" w:hAnsi="Times New Roman"/>
                <w:sz w:val="26"/>
                <w:szCs w:val="26"/>
                <w:color w:val="auto"/>
                <w:vertAlign w:val="superscript"/>
              </w:rPr>
              <w:t>(1)</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94,586</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94,586</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Series Growth</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Company Fund</w:t>
            </w:r>
            <w:r>
              <w:rPr>
                <w:rFonts w:ascii="Times New Roman" w:cs="Times New Roman" w:eastAsia="Times New Roman" w:hAnsi="Times New Roman"/>
                <w:sz w:val="26"/>
                <w:szCs w:val="26"/>
                <w:color w:val="auto"/>
                <w:vertAlign w:val="superscript"/>
              </w:rPr>
              <w:t>(1)</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63,553</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63,553</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Fidelity Select Portfolios: Biotechnology Portfolio</w:t>
            </w:r>
            <w:r>
              <w:rPr>
                <w:rFonts w:ascii="Times New Roman" w:cs="Times New Roman" w:eastAsia="Times New Roman" w:hAnsi="Times New Roman"/>
                <w:sz w:val="25"/>
                <w:szCs w:val="25"/>
                <w:color w:val="auto"/>
                <w:vertAlign w:val="superscript"/>
              </w:rPr>
              <w:t>(1)</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215,508</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215,508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5AM Opportunities II, L.P.</w:t>
            </w:r>
            <w:r>
              <w:rPr>
                <w:rFonts w:ascii="Times New Roman" w:cs="Times New Roman" w:eastAsia="Times New Roman" w:hAnsi="Times New Roman"/>
                <w:sz w:val="25"/>
                <w:szCs w:val="25"/>
                <w:color w:val="auto"/>
                <w:vertAlign w:val="superscript"/>
              </w:rPr>
              <w:t>(2)</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646,524</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646,524</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w:t>
            </w:r>
            <w:r>
              <w:rPr>
                <w:rFonts w:ascii="Times New Roman" w:cs="Times New Roman" w:eastAsia="Times New Roman" w:hAnsi="Times New Roman"/>
                <w:sz w:val="25"/>
                <w:szCs w:val="25"/>
                <w:color w:val="auto"/>
                <w:vertAlign w:val="superscript"/>
              </w:rPr>
              <w:t>(3)</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838,749</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573,139</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265,610</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Farallon</w:t>
            </w:r>
            <w:r>
              <w:rPr>
                <w:rFonts w:ascii="Times New Roman" w:cs="Times New Roman" w:eastAsia="Times New Roman" w:hAnsi="Times New Roman"/>
                <w:sz w:val="25"/>
                <w:szCs w:val="25"/>
                <w:color w:val="auto"/>
                <w:vertAlign w:val="superscript"/>
              </w:rPr>
              <w:t>(4)</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431,014</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431,014</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The Stuart Partners, LLC</w:t>
            </w:r>
            <w:r>
              <w:rPr>
                <w:rFonts w:ascii="Times New Roman" w:cs="Times New Roman" w:eastAsia="Times New Roman" w:hAnsi="Times New Roman"/>
                <w:sz w:val="25"/>
                <w:szCs w:val="25"/>
                <w:color w:val="auto"/>
                <w:vertAlign w:val="superscript"/>
              </w:rPr>
              <w:t>(5)</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215,508</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215,508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GC&amp;H Investments</w:t>
            </w:r>
            <w:r>
              <w:rPr>
                <w:rFonts w:ascii="Times New Roman" w:cs="Times New Roman" w:eastAsia="Times New Roman" w:hAnsi="Times New Roman"/>
                <w:sz w:val="25"/>
                <w:szCs w:val="25"/>
                <w:color w:val="auto"/>
                <w:vertAlign w:val="superscript"/>
              </w:rPr>
              <w:t>(6)</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25,860</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25,860</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jc w:val="both"/>
        <w:ind w:left="540" w:right="380" w:hanging="424"/>
        <w:spacing w:after="0" w:line="255"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3" w:lineRule="exact"/>
        <w:rPr>
          <w:sz w:val="20"/>
          <w:szCs w:val="20"/>
          <w:color w:val="auto"/>
        </w:rPr>
      </w:pPr>
    </w:p>
    <w:p>
      <w:pPr>
        <w:ind w:left="540" w:right="10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646,524 shares of common stock held by 5AM Opportunities II, L.P. (“Opportunities II”). 5AM Opportunities II (GP), LLC (“Opportunities II GP”) is the sole general partner of Opportunities II. Dr. Kush M. Parmar and Andrew J. Schwab are the managing members of Opportunities II GP and may be deemed to have shared voting and investment power over the securities beneficially owned by Opportunities II. Each of Opportunities II GP, Dr. Parmar, and Mr. Schwab disclaims beneficial ownership of such securities except to the extent of its or his respective pecuniary interest therein. The address of the above persons and entities is 4 Embarcadero Center, Suite 3110, San Francisco, CA 94111.</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and (ii) 783,214 shares of common stock held by EcoR1 Capital Fund Qualified, L.P. (“Qualified Fund”). EcoR1 Capital LLC (“EcoR1”) is the general partner of Capital Fund and Qualified Fund. Oleg Nodelman is the control person of EcoR1 and may be deemed to share dispositive voting power over the shares held by Qualified Fund and Capital Fund. Mr. Nodelman and EcoR1 each disclaim beneficial ownership of all shares except to the extent of their pecuniary interest. The address of the above person and entities is 357 Tehama Street #3, San Francisco, CA 94103.</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88,961 shares of common stock held by Farallon Capital Partners, L.P. (“FCP”), (ii) 66,937 shares of common stock held by Farallon Capital Institutional Partners, L.P. (“FCIP”), (iii) 23,835 shares of common stock held by Farallon Capital Institutional Partners II, L.P. (“FCIP II”), (iv) 8,706 shares of common stock held by Farallon Capital Institutional Partners III, L.P. (“FCIP III”), (v) 14,870 shares of common stock held by Four Crossings Institutional Partners V, L.P. (“FCIP V”), (vi) 167,622 shares of common stock held by Farallon Capital Offshore Investors II, L.P. (“FCOI II”), (vii) 11,508 shares of common stock held by Farallon Capital (AM) Investors, L.P. (“FCAMI”), and (viii) 48,575 shares of common stock held by Farallon Capital F5 Master I, L.P. (“F5 MI” and, together with FCP, FCIP, FCIP II, FCIP III, FCIP V, FCOI II, and FCAMI, the “Farallon Funds”). Farallon Partners, L.L.C. (the “Farallon General Partner”), as the general partner of each of FCP, FCIP, FCIP II, FCIP III, FCOI II and FCAMI, may be deemed a beneficial owner of the shares held by FCP, FCIP, FCIP II, FCIP III, FCOI II and FCAMI. Farallon Institutional (GP) V, L.L.C. (the “FCIP V General Partner”), as the general partner of FCIP V, may be deemed a beneficial owner of the shares held by FCIP V. Farallon F5 (GP), L.L.C. (the “F5MI General Partner”), as the general partner of F5 MI, may be deemed a beneficial owner of the shares held by F5 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such shares. The address of the above persons and entities is One Maritime Plaza, Suite 2100, San Francisco, CA 94111.</w:t>
      </w:r>
    </w:p>
    <w:p>
      <w:pPr>
        <w:spacing w:after="0" w:line="7" w:lineRule="exact"/>
        <w:rPr>
          <w:rFonts w:ascii="Times New Roman" w:cs="Times New Roman" w:eastAsia="Times New Roman" w:hAnsi="Times New Roman"/>
          <w:sz w:val="18"/>
          <w:szCs w:val="18"/>
          <w:color w:val="auto"/>
        </w:rPr>
      </w:pPr>
    </w:p>
    <w:p>
      <w:pPr>
        <w:ind w:left="540" w:right="320" w:hanging="424"/>
        <w:spacing w:after="0" w:line="265" w:lineRule="auto"/>
        <w:tabs>
          <w:tab w:leader="none" w:pos="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215,508 shares of common stock held by The Stuart Partners, LLC (“Stuart Partners”). Anastasios Parafestas is the sole managing member of Stuart Partners and exercises sole voting and dispositive power over the securities beneficially owned by Stuart Partners.</w:t>
      </w:r>
    </w:p>
    <w:p>
      <w:pPr>
        <w:ind w:left="540" w:right="2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Parafestas disclaims beneficial ownership of such securities except to the extent of his pecuniary interest therein. The address of the above person and entity is One Joy Street, Boston, MA 02108.</w:t>
      </w:r>
    </w:p>
    <w:p>
      <w:pPr>
        <w:ind w:left="540" w:right="440" w:hanging="424"/>
        <w:spacing w:after="0" w:line="26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10,775 shares of common stock held by GC&amp;H Investments, L.P. (“GC&amp;H”) and (ii) 15,085 shares of common stock held by GC&amp;H Investments A5, L.P. (“GC&amp;H A5”). Jordan Silber, Mark Tanoury,</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82"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Peter Werner, Derek Colla, Kenneth Guernsey are the control persons of GC&amp;H and GC&amp;H A5 and may be deemed to share dispositive voting power over the shares held by GC&amp;H and GC&amp;H A5. The address of the above persons and entities is 3 Embarcadero Center, 20th Floor, San Francisco, CA 94111.</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860"/>
          </w:cols>
          <w:pgMar w:left="320" w:top="482" w:right="7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$0.0001 per share, and 10,000,000 shares of preferred stock,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ratably, if any, as may be declared by our Board out of legally available funds, subject to any preferential dividend rights of any our preferred stock then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our common stock held of record for the election of directors of the Company and on all matters submitted to a vote of the stockholders. The holders of our common stock do not have any cumulative voting rights.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subscription, redemption or conversion rights, and no sinking fund provisions are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82"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the Company’s Charter and Bylaws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the Board.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right="5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by any direct or indirect majority-owned subsidiary of the corporation of any stock of the corporation or any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 owned subsidiary of the corporation that has the effect of increasing the proportionate share of the stock of any class or series of the corporation or of any subsidiary beneficially owned by the interested stockholder; and</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 TO NON-U.S. HOLDERS OF OUR COMMON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w:t>
      </w:r>
    </w:p>
    <w:p>
      <w:pPr>
        <w:spacing w:after="0" w:line="93"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certain electing traders in securities who mark their securities positions to market for U.S.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corporations organized outside of the United States, any state thereof or the District of Columbia that are nonetheless treated as U.S. income taxpayers for U.S. federal tax purposes,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“conversion transaction,” “synthetic security,”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the federal Medicare contribution tax on net investment income or the special tax accounting rules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or arrangements, and investors in such pass-through entities or arrangements.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Such Non-U.S. Holders are urged to consult their tax advisors to determine the U.S. federal, state, local and other tax consequences that may be relevant to them.</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82"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discussed below. We have not requested a ruling from the U.S. Internal Revenue Service, or the IRS, with respect to the statements made and the conclusions reached in the following summary, and there can be no assurance that the IRS will agree with such statements and conclusions.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w:t>
      </w:r>
    </w:p>
    <w:p>
      <w:pPr>
        <w:spacing w:after="0" w:line="8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w:t>
      </w:r>
    </w:p>
    <w:p>
      <w:pPr>
        <w:spacing w:after="0" w:line="1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Distributions, if any, made on our common stock to a Non-U.S. Holder to the extent made out of our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other applicable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on Disposition of Our Common Stock</w:t>
      </w:r>
      <w:r>
        <w:rPr>
          <w:rFonts w:ascii="Times New Roman" w:cs="Times New Roman" w:eastAsia="Times New Roman" w:hAnsi="Times New Roman"/>
          <w:sz w:val="18"/>
          <w:szCs w:val="18"/>
          <w:color w:val="auto"/>
        </w:rPr>
        <w:t>. Subject to the discussions below regarding backup withholding and foreign accounts, a Non-U.S.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generally will not be subject to U.S. federal income tax with respect to gain realized on a sale or other disposition of our common stock unless:</w:t>
      </w:r>
    </w:p>
    <w:p>
      <w:pPr>
        <w:spacing w:after="0" w:line="112" w:lineRule="exact"/>
        <w:rPr>
          <w:sz w:val="20"/>
          <w:szCs w:val="20"/>
          <w:color w:val="auto"/>
        </w:rPr>
      </w:pPr>
    </w:p>
    <w:p>
      <w:pPr>
        <w:jc w:val="both"/>
        <w:ind w:left="1080" w:right="340" w:hanging="532"/>
        <w:spacing w:after="0" w:line="312" w:lineRule="auto"/>
        <w:tabs>
          <w:tab w:leader="none" w:pos="10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required by an applicable income tax treaty, is attributable to a permanent establishment or fixed base that such Non-U.S. Holder maintains in the United States),</w:t>
      </w:r>
    </w:p>
    <w:p>
      <w:pPr>
        <w:spacing w:after="0" w:line="45" w:lineRule="exact"/>
        <w:rPr>
          <w:rFonts w:ascii="Times New Roman" w:cs="Times New Roman" w:eastAsia="Times New Roman" w:hAnsi="Times New Roman"/>
          <w:sz w:val="17"/>
          <w:szCs w:val="17"/>
          <w:color w:val="auto"/>
        </w:rPr>
      </w:pPr>
    </w:p>
    <w:p>
      <w:pPr>
        <w:ind w:left="1080" w:right="34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and is present in the United States for 183 or more days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USRPHC, within the meaning of Code Section 897(c)(2) at any time within the shorter of the five-year period preceding such disposition and such Non-U.S. Holder’s holding period.</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Requirements and Backup Withholding. </w:t>
      </w:r>
      <w:r>
        <w:rPr>
          <w:rFonts w:ascii="Times New Roman" w:cs="Times New Roman" w:eastAsia="Times New Roman" w:hAnsi="Times New Roman"/>
          <w:sz w:val="18"/>
          <w:szCs w:val="18"/>
          <w:color w:val="auto"/>
        </w:rPr>
        <w:t>Generally, we or an applicable withholding agent will be required to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 the Non-U.S. Holder to whom any such distributions are paid. Pursuant to tax treaties or certain other agreements, the IRS may make its reports available to tax authorities in the recipient’s country of residence.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Distributions to a Non-U.S. Holder that are classified as dividends paid by us may also be subject to U.S. backup withholding currently at a rate of</w:t>
      </w:r>
    </w:p>
    <w:p>
      <w:pPr>
        <w:spacing w:after="0" w:line="27" w:lineRule="exact"/>
        <w:rPr>
          <w:sz w:val="20"/>
          <w:szCs w:val="20"/>
          <w:color w:val="auto"/>
        </w:rPr>
      </w:pPr>
    </w:p>
    <w:p>
      <w:pPr>
        <w:jc w:val="both"/>
        <w:ind w:left="120" w:right="660"/>
        <w:spacing w:after="0" w:line="277" w:lineRule="auto"/>
        <w:rPr>
          <w:sz w:val="20"/>
          <w:szCs w:val="20"/>
          <w:color w:val="auto"/>
        </w:rPr>
      </w:pPr>
      <w:r>
        <w:rPr>
          <w:rFonts w:ascii="Times New Roman" w:cs="Times New Roman" w:eastAsia="Times New Roman" w:hAnsi="Times New Roman"/>
          <w:sz w:val="17"/>
          <w:szCs w:val="17"/>
          <w:color w:val="auto"/>
        </w:rPr>
        <w:t>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w:t>
      </w:r>
    </w:p>
    <w:p>
      <w:pPr>
        <w:spacing w:after="0" w:line="16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w:t>
      </w:r>
    </w:p>
    <w:p>
      <w:pPr>
        <w:spacing w:after="0" w:line="188"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w:t>
      </w:r>
    </w:p>
    <w:p>
      <w:pPr>
        <w:spacing w:after="0" w:line="174"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Foreign Accounts</w:t>
      </w:r>
      <w:r>
        <w:rPr>
          <w:rFonts w:ascii="Times New Roman" w:cs="Times New Roman" w:eastAsia="Times New Roman" w:hAnsi="Times New Roman"/>
          <w:sz w:val="17"/>
          <w:szCs w:val="17"/>
          <w:color w:val="auto"/>
        </w:rPr>
        <w:t>. Sections 1471 through 1474 of the Code and the related Treasury regulations, together with other U.S. Treasury and IRS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issued thereunder and intergovernmental agreements, legislation, 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w:t>
      </w:r>
    </w:p>
    <w:p>
      <w:pPr>
        <w:spacing w:after="0" w:line="1" w:lineRule="exact"/>
        <w:rPr>
          <w:sz w:val="20"/>
          <w:szCs w:val="20"/>
          <w:color w:val="auto"/>
        </w:rPr>
      </w:pPr>
    </w:p>
    <w:p>
      <w:pPr>
        <w:ind w:left="120" w:hanging="4"/>
        <w:spacing w:after="0" w:line="251" w:lineRule="auto"/>
        <w:tabs>
          <w:tab w:leader="none" w:pos="3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w:t>
      </w:r>
    </w:p>
    <w:p>
      <w:pPr>
        <w:spacing w:after="0" w:line="19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EACH PROSPECTIVE INVESTOR SHOULD CONSULT ITS OWN TAX ADVISOR REGARDING THE TAX CONSEQUENCES OF PURCHASING, HOLDING AND DISPOSING OF OUR COMMON STOCK, INCLUDING THE CONSEQUENCES OF ANY CHANGES IN APPLICABLE LAW SUBSEQUENT TO THE DATE HEREOF.</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240"/>
          </w:cols>
          <w:pgMar w:left="320" w:top="482" w:right="1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148</w:t>
      </w:r>
    </w:p>
    <w:p>
      <w:pPr>
        <w:sectPr>
          <w:pgSz w:w="11900" w:h="16838" w:orient="portrait"/>
          <w:cols w:equalWidth="0" w:num="1">
            <w:col w:w="11140"/>
          </w:cols>
          <w:pgMar w:left="320" w:top="482"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Cooley LLP, New York, New York.</w:t>
      </w:r>
    </w:p>
    <w:p>
      <w:pPr>
        <w:spacing w:after="0" w:line="200" w:lineRule="exact"/>
        <w:rPr>
          <w:sz w:val="20"/>
          <w:szCs w:val="20"/>
          <w:color w:val="auto"/>
        </w:rPr>
      </w:pPr>
    </w:p>
    <w:p>
      <w:pPr>
        <w:spacing w:after="0" w:line="23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Tectonic Therapeutic, Inc. as of December 31, 2024 and 2023,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0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720"/>
          </w:cols>
          <w:pgMar w:left="320" w:top="482" w:right="8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would like to request documents, please send a request in writing or by telephone to the following address: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490 Arsenal 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210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Daniel Lochner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(339) 666-3320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investor@tectonictx.com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2024 and 2023</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64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6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Independent Auditor’s Report .</w:t>
            </w:r>
          </w:p>
        </w:tc>
        <w:tc>
          <w:tcPr>
            <w:tcW w:w="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22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8400" w:type="dxa"/>
            <w:vAlign w:val="bottom"/>
            <w:gridSpan w:val="5"/>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Other Comprehensive Income (Loss)</w:t>
            </w:r>
          </w:p>
        </w:tc>
        <w:tc>
          <w:tcPr>
            <w:tcW w:w="480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Deficit .</w:t>
            </w: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w:t>
            </w:r>
          </w:p>
        </w:tc>
        <w:tc>
          <w:tcPr>
            <w:tcW w:w="3060" w:type="dxa"/>
            <w:vAlign w:val="bottom"/>
            <w:tcBorders>
              <w:top w:val="single" w:sz="8" w:color="0000EE"/>
            </w:tcBorders>
            <w:gridSpan w:val="3"/>
          </w:tcPr>
          <w:p>
            <w:pPr>
              <w:spacing w:after="0"/>
              <w:rPr>
                <w:sz w:val="17"/>
                <w:szCs w:val="17"/>
                <w:color w:val="auto"/>
              </w:rPr>
            </w:pPr>
          </w:p>
        </w:tc>
        <w:tc>
          <w:tcPr>
            <w:tcW w:w="462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50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57" w:name="page158"/>
    <w:bookmarkEnd w:id="157"/>
    <w:p>
      <w:pPr>
        <w:ind w:left="2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shareholders and the Board of Directors of Tectonic Therapeutic, Inc.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Tectonic Therapeutic, Inc. and subsidiaries (the “Company”) as of December 31, 2024 and 2023,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w:t>
      </w:r>
    </w:p>
    <w:p>
      <w:pPr>
        <w:ind w:left="4" w:right="20" w:hanging="4"/>
        <w:spacing w:after="0" w:line="255"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90" w:lineRule="exact"/>
        <w:rPr>
          <w:sz w:val="20"/>
          <w:szCs w:val="20"/>
          <w:color w:val="auto"/>
        </w:rPr>
      </w:pPr>
    </w:p>
    <w:p>
      <w:pPr>
        <w:ind w:left="4" w:right="6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Accrued and prepaid contract research and development, and manufacturing expenses — Refer to Notes 2 and 6 to the financial statements </w:t>
      </w:r>
      <w:r>
        <w:rPr>
          <w:rFonts w:ascii="Times New Roman" w:cs="Times New Roman" w:eastAsia="Times New Roman" w:hAnsi="Times New Roman"/>
          <w:sz w:val="18"/>
          <w:szCs w:val="18"/>
          <w:i w:val="1"/>
          <w:iCs w:val="1"/>
          <w:color w:val="auto"/>
        </w:rPr>
        <w:t>Critical Audit Matter Description</w:t>
      </w: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As disclosed in Note 2 to the financial statements, the Company records accrued and prepaid research and development and manufacturing expenses for third-party contract research organizations (“CROs”) and contract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984"/>
          </w:cols>
          <w:pgMar w:left="436" w:top="293" w:right="479" w:bottom="1440" w:gutter="0" w:footer="0" w:header="0"/>
        </w:sectPr>
      </w:pPr>
    </w:p>
    <w:bookmarkStart w:id="158" w:name="page159"/>
    <w:bookmarkEnd w:id="158"/>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development and manufacturing organizations (“CDMOs”). Estimates of expenses incurred are determined by reviewing information provided to the Company by its service providers and through discussions with both internal personnel and external service providers as to the status of specific tasks within arrangements. Expenses incurred in excess of amounts invoices are recorded as accrued expenses. Payments made in excess of costs incurred are recorded as prepaid expenses.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identified auditing the estimates of the progress to completion of specific tasks performed by CROs and CDMOs as a critical audit matter due to the</w:t>
      </w:r>
    </w:p>
    <w:p>
      <w:pPr>
        <w:spacing w:after="0" w:line="27" w:lineRule="exact"/>
        <w:rPr>
          <w:sz w:val="20"/>
          <w:szCs w:val="20"/>
          <w:color w:val="auto"/>
        </w:rPr>
      </w:pPr>
    </w:p>
    <w:p>
      <w:pPr>
        <w:ind w:left="4" w:right="700" w:hanging="4"/>
        <w:spacing w:after="0" w:line="255" w:lineRule="auto"/>
        <w:tabs>
          <w:tab w:leader="none" w:pos="2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judgment required by management and the volume of such estimates made by management and (ii) the degree of auditor judgment, subjectivity, and increased extent of effort in performing procedures to evaluate the reasonableness of management’s estimates of progress to completion.</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audit procedures related to accrued and prepaid research and development expenses and manufacturing costs included the following, among others:</w:t>
      </w:r>
    </w:p>
    <w:p>
      <w:pPr>
        <w:spacing w:after="0" w:line="131" w:lineRule="exact"/>
        <w:rPr>
          <w:sz w:val="20"/>
          <w:szCs w:val="20"/>
          <w:color w:val="auto"/>
        </w:rPr>
      </w:pPr>
    </w:p>
    <w:p>
      <w:pPr>
        <w:ind w:left="964" w:right="180" w:hanging="424"/>
        <w:spacing w:after="0" w:line="282"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controls over the estimation of accrued and prepaid research and development expenses and manufacturing costs.</w:t>
      </w:r>
    </w:p>
    <w:p>
      <w:pPr>
        <w:spacing w:after="0" w:line="67"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contracts with service providers performing research and development and manufacturing activities, we performed the following:</w:t>
      </w:r>
    </w:p>
    <w:p>
      <w:pPr>
        <w:spacing w:after="0" w:line="67" w:lineRule="exact"/>
        <w:rPr>
          <w:rFonts w:ascii="Times New Roman" w:cs="Times New Roman" w:eastAsia="Times New Roman" w:hAnsi="Times New Roman"/>
          <w:sz w:val="18"/>
          <w:szCs w:val="18"/>
          <w:color w:val="auto"/>
        </w:rPr>
      </w:pPr>
    </w:p>
    <w:p>
      <w:pPr>
        <w:ind w:left="1424" w:right="360" w:hanging="331"/>
        <w:spacing w:after="0" w:line="282" w:lineRule="auto"/>
        <w:tabs>
          <w:tab w:leader="none" w:pos="142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method used by management to develop its estimates of progress to completion of specific tasks.</w:t>
      </w:r>
    </w:p>
    <w:p>
      <w:pPr>
        <w:spacing w:after="0" w:line="67" w:lineRule="exact"/>
        <w:rPr>
          <w:rFonts w:ascii="Times New Roman" w:cs="Times New Roman" w:eastAsia="Times New Roman" w:hAnsi="Times New Roman"/>
          <w:sz w:val="18"/>
          <w:szCs w:val="18"/>
          <w:color w:val="auto"/>
        </w:rPr>
      </w:pPr>
    </w:p>
    <w:p>
      <w:pPr>
        <w:jc w:val="both"/>
        <w:ind w:left="1424" w:right="180" w:hanging="331"/>
        <w:spacing w:after="0" w:line="266" w:lineRule="auto"/>
        <w:tabs>
          <w:tab w:leader="none" w:pos="142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completeness and accuracy of the underlying data used in the estimates of progress to completion through inspection of the terms of contracts and statements of work between the Company and its service providers and testing of actual billed expenses under the contracts.</w:t>
      </w:r>
    </w:p>
    <w:p>
      <w:pPr>
        <w:spacing w:after="0" w:line="81" w:lineRule="exact"/>
        <w:rPr>
          <w:rFonts w:ascii="Times New Roman" w:cs="Times New Roman" w:eastAsia="Times New Roman" w:hAnsi="Times New Roman"/>
          <w:sz w:val="18"/>
          <w:szCs w:val="18"/>
          <w:color w:val="auto"/>
        </w:rPr>
      </w:pPr>
    </w:p>
    <w:p>
      <w:pPr>
        <w:jc w:val="both"/>
        <w:ind w:left="1424" w:right="160" w:hanging="331"/>
        <w:spacing w:after="0" w:line="266" w:lineRule="auto"/>
        <w:tabs>
          <w:tab w:leader="none" w:pos="142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corroborating inquiries with Company personnel responsible for overseeing the activities performed by the Company’s CRO and CDMO, which may include the service providers’ estimate of completed tasks or progress of completion of certain tasks within the arrangement.</w:t>
      </w:r>
    </w:p>
    <w:p>
      <w:pPr>
        <w:spacing w:after="0" w:line="280" w:lineRule="exact"/>
        <w:rPr>
          <w:sz w:val="20"/>
          <w:szCs w:val="20"/>
          <w:color w:val="auto"/>
        </w:rPr>
      </w:pPr>
    </w:p>
    <w:p>
      <w:pPr>
        <w:ind w:left="4" w:right="50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for the Merger — Refer to Notes 1 and 3 to the financial statements </w:t>
      </w:r>
      <w:r>
        <w:rPr>
          <w:rFonts w:ascii="Times New Roman" w:cs="Times New Roman" w:eastAsia="Times New Roman" w:hAnsi="Times New Roman"/>
          <w:sz w:val="18"/>
          <w:szCs w:val="18"/>
          <w:i w:val="1"/>
          <w:iCs w:val="1"/>
          <w:color w:val="auto"/>
        </w:rPr>
        <w:t>Critical Audit Matter Description</w:t>
      </w:r>
    </w:p>
    <w:p>
      <w:pPr>
        <w:ind w:left="4"/>
        <w:spacing w:after="0" w:line="282" w:lineRule="auto"/>
        <w:rPr>
          <w:sz w:val="20"/>
          <w:szCs w:val="20"/>
          <w:color w:val="auto"/>
        </w:rPr>
      </w:pPr>
      <w:r>
        <w:rPr>
          <w:rFonts w:ascii="Times New Roman" w:cs="Times New Roman" w:eastAsia="Times New Roman" w:hAnsi="Times New Roman"/>
          <w:sz w:val="18"/>
          <w:szCs w:val="18"/>
          <w:color w:val="auto"/>
        </w:rPr>
        <w:t>As disclosed in Notes 1 and 3 to the financial statements, on June 20, 2024, the Company completed a merger with AVROBIO, Inc. (“AVROBIO”). The merger was accounted for as a reverse recapitalization in accordance with U.S. GAAP with the Company as the accounting acquirer of AVROBIO.</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accounting for the merger with AVROBIO, Inc. as a critical audit matter due to the (i) level of judgment required by management related to the determination of the accounting acquirer and the assessment of the transaction as a reverse recapitalization and (ii) the moderate degree of auditor judgment and extensive audit effort in evaluating the Company’s determination of the accounting acquirer and assessment of the transaction as a reverse recapitalization.</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audit procedures related to the reverse merger included the following, among others:</w:t>
      </w:r>
    </w:p>
    <w:p>
      <w:pPr>
        <w:spacing w:after="0" w:line="131" w:lineRule="exact"/>
        <w:rPr>
          <w:sz w:val="20"/>
          <w:szCs w:val="20"/>
          <w:color w:val="auto"/>
        </w:rPr>
      </w:pPr>
    </w:p>
    <w:p>
      <w:pPr>
        <w:ind w:left="964" w:hanging="424"/>
        <w:spacing w:after="0"/>
        <w:tabs>
          <w:tab w:leader="none" w:pos="9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controls related to the transaction, including controls over management’s determination of the</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accounting acquirer and (ii) accounting model as a reverse recapitalization.</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964"/>
          </w:cols>
          <w:pgMar w:left="436" w:top="297" w:right="499" w:bottom="1440" w:gutter="0" w:footer="0" w:header="0"/>
        </w:sectPr>
      </w:pPr>
    </w:p>
    <w:bookmarkStart w:id="159" w:name="page160"/>
    <w:bookmarkEnd w:id="159"/>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evaluated the Company’s determination of the (i) accounting acquirer and (ii) accounting model as a reverse recapitalization.</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retrospective application of the reverse recapitalization to all outstanding common shares, convertible preferred shares, stock options, and restricted stock.</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minutes of Board of Directors’ meetings, executed merger transaction agreements, and other information to assess the nature and structure of the reverse merger in evaluating management’s conclusions.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60"/>
          </w:cols>
          <w:pgMar w:left="440" w:top="297" w:right="499" w:bottom="1440" w:gutter="0" w:footer="0" w:header="0"/>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141,239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9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no shares authorized, issued 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3,647,675 shares authorized as of December 31, 2023; 3,647,675 shares issued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2023; aggregate liquidation preference of $87,459 as of December 31, 2023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9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and no shares authorized as of December 31, 2024 and 31, 2023, respectively; no</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2023,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as of December 31, 2024 and 2023, respectively;</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14,856,309 and 1,407,753 shares issued and outstanding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(148,586)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(90,604)</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(84,636)</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152,905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39,399</w:t>
            </w: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93" w:right="439" w:bottom="1440" w:gutter="0" w:footer="0" w:header="0"/>
        </w:sectPr>
      </w:pPr>
    </w:p>
    <w:bookmarkStart w:id="161" w:name="page162"/>
    <w:bookmarkEnd w:id="1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7"/>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41,364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36,966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7,682</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of SAFEs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(42,823)</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(57,973</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8,490,171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1,268,512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93" w:right="439" w:bottom="1440" w:gutter="0" w:footer="0" w:header="0"/>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900" w:type="dxa"/>
            <w:vAlign w:val="bottom"/>
            <w:gridSpan w:val="7"/>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940" w:type="dxa"/>
            <w:vAlign w:val="bottom"/>
            <w:tcBorders>
              <w:bottom w:val="single" w:sz="8" w:color="auto"/>
            </w:tcBorders>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9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right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1, 2023</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6,825,483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380" w:type="dxa"/>
            <w:vAlign w:val="bottom"/>
            <w:tcBorders>
              <w:top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2,525,771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2,127</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(47,781)</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(45,654)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Retroactive application of reverse recapitalization</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(3,177,808)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(1,175,989)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balance, beginning of period</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3,647,675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1,349,782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(47,781)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(45,654)</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57,971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6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Contribution from related party investors related to</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2,610</w:t>
            </w:r>
          </w:p>
        </w:tc>
        <w:tc>
          <w:tcPr>
            <w:tcW w:w="6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2,610</w:t>
            </w:r>
          </w:p>
        </w:tc>
        <w:tc>
          <w:tcPr>
            <w:tcW w:w="0" w:type="dxa"/>
            <w:vAlign w:val="bottom"/>
          </w:tcPr>
          <w:p>
            <w:pPr>
              <w:spacing w:after="0"/>
              <w:rPr>
                <w:sz w:val="1"/>
                <w:szCs w:val="1"/>
                <w:color w:val="auto"/>
              </w:rPr>
            </w:pPr>
          </w:p>
        </w:tc>
      </w:tr>
      <w:tr>
        <w:trPr>
          <w:trHeight w:val="171"/>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SAFEs</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(42,823)</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(42,823)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January 1, 2024</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3,647,675</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1,407,753</w:t>
            </w:r>
          </w:p>
        </w:tc>
        <w:tc>
          <w:tcPr>
            <w:tcW w:w="380" w:type="dxa"/>
            <w:vAlign w:val="bottom"/>
            <w:gridSpan w:val="2"/>
            <w:shd w:val="clear" w:color="auto" w:fill="CCEEFF"/>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5,979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(90,604)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(84,636)</w:t>
            </w: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 stock into</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(3,647,675)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6"/>
              </w:rPr>
              <w:t>(80,627)</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80,627</w:t>
            </w:r>
          </w:p>
        </w:tc>
        <w:tc>
          <w:tcPr>
            <w:tcW w:w="6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80,627</w:t>
            </w:r>
          </w:p>
        </w:tc>
        <w:tc>
          <w:tcPr>
            <w:tcW w:w="0" w:type="dxa"/>
            <w:vAlign w:val="bottom"/>
          </w:tcPr>
          <w:p>
            <w:pPr>
              <w:spacing w:after="0"/>
              <w:rPr>
                <w:sz w:val="1"/>
                <w:szCs w:val="1"/>
                <w:color w:val="auto"/>
              </w:rPr>
            </w:pPr>
          </w:p>
        </w:tc>
      </w:tr>
      <w:tr>
        <w:trPr>
          <w:trHeight w:val="171"/>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in connection with the Merger</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388,727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3,491</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3,491</w:t>
            </w: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related party investors</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1,470,839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34,125</w:t>
            </w:r>
          </w:p>
        </w:tc>
        <w:tc>
          <w:tcPr>
            <w:tcW w:w="6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34,125</w:t>
            </w:r>
          </w:p>
        </w:tc>
        <w:tc>
          <w:tcPr>
            <w:tcW w:w="0" w:type="dxa"/>
            <w:vAlign w:val="bottom"/>
          </w:tcPr>
          <w:p>
            <w:pPr>
              <w:spacing w:after="0"/>
              <w:rPr>
                <w:sz w:val="1"/>
                <w:szCs w:val="1"/>
                <w:color w:val="auto"/>
              </w:rPr>
            </w:pPr>
          </w:p>
        </w:tc>
      </w:tr>
      <w:tr>
        <w:trPr>
          <w:trHeight w:val="171"/>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upon redemption of the SAFEs</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subscription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4,163,606</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94,600</w:t>
            </w:r>
          </w:p>
        </w:tc>
        <w:tc>
          <w:tcPr>
            <w:tcW w:w="6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94,601</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agreement, net of offering costs of $2,000</w:t>
            </w: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the Merger, net of</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3,777,709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68,890</w:t>
            </w:r>
          </w:p>
        </w:tc>
        <w:tc>
          <w:tcPr>
            <w:tcW w:w="6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68,891</w:t>
            </w:r>
          </w:p>
        </w:tc>
        <w:tc>
          <w:tcPr>
            <w:tcW w:w="0" w:type="dxa"/>
            <w:vAlign w:val="bottom"/>
          </w:tcPr>
          <w:p>
            <w:pPr>
              <w:spacing w:after="0"/>
              <w:rPr>
                <w:sz w:val="1"/>
                <w:szCs w:val="1"/>
                <w:color w:val="auto"/>
              </w:rPr>
            </w:pPr>
          </w:p>
        </w:tc>
      </w:tr>
      <w:tr>
        <w:trPr>
          <w:trHeight w:val="171"/>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costs of $9,300</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(57,982)</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(57,982)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14,856,309</w:t>
            </w:r>
          </w:p>
        </w:tc>
        <w:tc>
          <w:tcPr>
            <w:tcW w:w="380" w:type="dxa"/>
            <w:vAlign w:val="bottom"/>
            <w:gridSpan w:val="2"/>
            <w:shd w:val="clear" w:color="auto" w:fill="CCEEFF"/>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289,351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(148,586)</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140,776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-2742565</wp:posOffset>
            </wp:positionV>
            <wp:extent cx="26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-2365375</wp:posOffset>
            </wp:positionV>
            <wp:extent cx="26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-145415</wp:posOffset>
            </wp:positionV>
            <wp:extent cx="260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-33655</wp:posOffset>
            </wp:positionV>
            <wp:extent cx="260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-16510</wp:posOffset>
            </wp:positionV>
            <wp:extent cx="26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0"/>
          </w:cols>
          <w:pgMar w:left="440" w:top="293" w:right="439"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TECTONIC THERAPEUTIC,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(42,823)</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SAFEs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(40,681)</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SAFEs</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34,125</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in connection with the Merger, net of transaction costs of $9,300</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171,714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33,747</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112,470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141,826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29,356</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141,239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141,826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29,356</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equipment through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440" w:top="293" w:right="43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TECTONIC THERAPEUTIC,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Pre-Merger Financing Transaction not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189"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one-for-one basis immediately prior to the closing of the Merger.</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00"/>
          </w:cols>
          <w:pgMar w:left="440" w:top="293"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Risks and Uncertainties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3"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and expects such losses to continue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as it conducts research and development activities and continues to develop its product candidates. The Company generated net losses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 million and $42.8 million for the years ended December 31, 2024 and 2023, respectively and had an accumulated deficit of $148.6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Company has financed its operations primarily through the sale and issuance of common stock,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promissory notes, SAFEs and the Merger. In February 2025, the Company sold shares of its common stock under a securities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in exchange for gross proceeds of $185 million, as described in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devoted substantially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and efforts to business planning, conducting research and development, recruiting management and technical staff, and raising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$141.2 million as of December 31, 2024. Management believes that the Company’s current cash and cash equivalents will be sufficient to fund its planned operations for at least 12 months from the issuance date of these consolidated financial statements.</w:t>
      </w:r>
    </w:p>
    <w:p>
      <w:pPr>
        <w:spacing w:after="0" w:line="287" w:lineRule="exact"/>
        <w:rPr>
          <w:sz w:val="20"/>
          <w:szCs w:val="20"/>
          <w:color w:val="auto"/>
        </w:rPr>
      </w:pPr>
    </w:p>
    <w:p>
      <w:pPr>
        <w:ind w:right="34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AND BASIS OF PRESENTATION </w:t>
      </w:r>
      <w:r>
        <w:rPr>
          <w:rFonts w:ascii="Times New Roman" w:cs="Times New Roman" w:eastAsia="Times New Roman" w:hAnsi="Times New Roman"/>
          <w:sz w:val="18"/>
          <w:szCs w:val="18"/>
          <w:b w:val="1"/>
          <w:bCs w:val="1"/>
          <w:i w:val="1"/>
          <w:iCs w:val="1"/>
          <w:color w:val="auto"/>
        </w:rPr>
        <w:t>Basis of Presentation</w:t>
      </w: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Any reference in these notes to applicable guidance is meant to refer to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balances and transactions have been eliminated in consolidation.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440" w:top="293"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Reverse Stock Split and Exchange Ratio</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closing of the Merger, each outstanding share of Legacy Tectonic’s common stock, including outstanding and unvested restricted stock, was converted into the right to receive a number of shares of AVROBIO’s common stock based on the Exchange Ratio of 0.53, after giving effect to the 1-for-12 reverse stock split of AVROBIO common stock that was effected on June 20, 2024. The exchange ratio was retroactively applied to all outstanding common shares, convertible preferred shares, stock options and restricted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those related to the valuation of stock-based awards, income taxes, the fair value determination of the SAFEs and certain research and development accruals.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operations of each of the Company’s entities are measured using the currency of the primary economic environment in which the subsidiary operates (“functional currency”). Assets and liabilities of foreign subsidiaries whose functional currency is the local currency are translated into U.S. dollars using period-end exchange rates. Expenses are translated at the average exchange rate in effect during each fiscal month during the year. The effects of foreign currency translation adjustments are included as a component of Accumulated other comprehensive income (loss) in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5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 regarding the Company’s segment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As of December 31, 2024 and 2023, cash equivalents consisted of cash on deposit with banks denominated in U.S. dollars and investment in money market funds.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The Company may not access these funds until after the expiration of the lease term on January 31, 2026. The Company has classified the certificate of deposits collateralizing the letter of credits issued as a security deposit as restricted cash in the noncurrent asset section of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Periodically, the Company maintains deposits in accredited financial institutions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0980"/>
          </w:cols>
          <w:pgMar w:left="440" w:top="293" w:right="479" w:bottom="1440" w:gutter="0" w:footer="0" w:header="0"/>
        </w:sectPr>
      </w:pPr>
    </w:p>
    <w:bookmarkStart w:id="167" w:name="page168"/>
    <w:bookmarkEnd w:id="16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life of each asset, generally three to five years. Leasehold improvements are amortized over the shorter of the assets’ expected useful life or the remaining lease term. Construction-in-progress reflects amounts incurred for property and equipment for use in the research and development process and have not yet been placed in service and are not depreciated or amortized. Expenditures for major renewals and improvements that extend the useful life of the asset are capitalized as part of the asset. Expenditures for repairs and maintenance are expensed as incurred.</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recognized.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 was identified during the years ended December 31, 2024 and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assesses the fair value of financial instruments as the exchange price that would be received for an asset or paid to transfer a liability (an exit price) in the principal or most advantageous market for the asset or liability in an orderly transaction between market participants on the measurement date.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—Unadjusted quoted prices in active markets for identical, unrestricted assets or liabilities that are accessible at the measurement date;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—Quoted prices for similar assets or liabilities in active markets, quoted prices for identical or similar asset or liabilities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valuations with significant inputs other than quoted prices that are observable, either directly or indirectly;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—Prices or valuations that require inputs that are both significant to the fair value measurement and unobservable.</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are categorized in their entirety in the same level of the fair value hierarchy as the lowest level input that is significant to the entire fair value measurement.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costs incurred for research activities, including discovery efforts and the development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00"/>
          </w:cols>
          <w:pgMar w:left="440" w:top="297" w:right="459" w:bottom="1440" w:gutter="0" w:footer="0" w:header="0"/>
        </w:sectPr>
      </w:pPr>
    </w:p>
    <w:bookmarkStart w:id="168" w:name="page169"/>
    <w:bookmarkEnd w:id="16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Company’s programs and platform and include (1) expenses incurred in connection with research and the preclinical and clinical development of the Company’s programs and product candidates, including agreements with third parties and contract research organizations (“CROs”), (2) costs related to manufacturing material for preclinical studies and clinical trials, including fees paid to contract development and manufacturing organizations (“CDMOs”), (3) employee-related expenses, including salaries and bonuses, related benefits and stock-based compensation expense, for employees engaged in research and development functions (4) facilities, depreciation and other expenses related to research and development activities, which include direct or allocated expenses for rent, maintenance of facilities and utilities, (5) licensing and license maintenance fees incurred under license agreements where no alternative future use exists, and (6) costs related to compliance with regulatory requirements.</w:t>
      </w:r>
    </w:p>
    <w:p>
      <w:pPr>
        <w:spacing w:after="0" w:line="189"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The Company’s accruals for research and development activities performed by third parties are estimated based on the level of services performed, progress of the studies, including the phase or completion of events, and contracted costs. The estimated costs of research and development provided, but not yet invoiced, are included in accrued expenses and other current liabilities on the Consolidated Balance Sheets. If the actual timing of the performance of services or the level of effort varies from the original estimates, the Company will adjust the accruals accordingly. These vendors generally bill monthly for services performed, or bill based upon milestone achievement. The Company accrues expenses based upon estimates of percentage of work completed and the contract milestones remaining. Payments made to third parties under these arrangements in advance of the performance of the related services by the third parties are recorded as prepaid expenses until the services are rendered. The Company estimates the period over which such services will be performed based on the terms of the agreements as well as the level of effort to be expended in each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and the classification of that lease at inception of the contract. The Company’s operating and finance lease assets are included</w:t>
      </w:r>
    </w:p>
    <w:p>
      <w:pPr>
        <w:spacing w:after="0" w:line="267" w:lineRule="auto"/>
        <w:rPr>
          <w:sz w:val="20"/>
          <w:szCs w:val="20"/>
          <w:color w:val="auto"/>
        </w:rPr>
      </w:pPr>
      <w:r>
        <w:rPr>
          <w:rFonts w:ascii="Times New Roman" w:cs="Times New Roman" w:eastAsia="Times New Roman" w:hAnsi="Times New Roman"/>
          <w:sz w:val="17"/>
          <w:szCs w:val="17"/>
          <w:color w:val="auto"/>
        </w:rPr>
        <w:t>in right-of-use assets, net, and the current and non-current portions of the finance and operating lease liabilities are included in lease liabilities, and lease liabilities, non-current, respectively, on the balance sheets. Right-of-use assets and lease liabilities are recognized based on the present value of the future minimum lease payments over the lease term at the lease commencement date. Right-of-use assets are based on the corresponding lease liability adjusted for (i) payments made at or before the commencement date, (ii) initial direct costs incurred, and (iii) tenant incentives under the lease. The Company does not account for renewals or early terminations unless it is reasonably certain to exercise these options at commencement. Operating lease expense is recognized on a straight-line basis over the lease term. For finance leases, right of use assets are amortized on a straight-line basis over the shorter of the lease term or the estimated useful life of the leased assets. The Company accounts for lease and non-lease components as a single lease component for operating leases. The discount rate used to calculate the present value of the Company’s lease liabilities is based on either an explicit rate stipulated in the contract for finance leases or the incremental borrowing rate based on the information available at the lease commencement date. The Company’s incremental borrowing rate is estimated to approximate the interest rate on a collateralized basis with similar terms and payments, in an economic environment where the leased asset is located. The Company determines the incremental borrowing rate by considering various factors, such as its credit rating, interest rates of similar debt instruments of entities with comparable credit ratings, the lease term and the currency in which the lease was denominated. The Company has elected the practical expedient to not recognize leases with a lease term of twelve months or less on the balance sheet (“short-term leases”) and will recognize lease payments for such short-term leases as an expense on a straight-line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SAFE instruments do not represent legal form debt (i.e., no creditor rights), but allow for redemption based upon certain triggering events that are outside of the control of the Company. The Company accounts for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0980"/>
          </w:cols>
          <w:pgMar w:left="440" w:top="297" w:right="479" w:bottom="1440" w:gutter="0" w:footer="0" w:header="0"/>
        </w:sectPr>
      </w:pPr>
    </w:p>
    <w:bookmarkStart w:id="169" w:name="page170"/>
    <w:bookmarkEnd w:id="16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SAFE instruments as a liability at fair value on a recurring basis. Triggering events include an equity financing, public listing transaction, change of control or dissolution. Changes in the liability’s fair value are recognized in the Company’s statements of operations and comprehensive loss. The SAFE liabilities were adjusted to fair value upon the closing of the Merger and all SAFE instruments were converted to common stock of AVROBIO pursuant to the Merger Agreement. The SAFEs were redeemed for common stock shares upon closing of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recorded all shares of convertible preferred stock at their respective fair values on the dates of issuance, net of issuance costs. Convertible preferred stock was recorded outside of permanent equity because while it was not mandatorily redeemable, in certain events considered not solely within the Company’s control, such as a merger, acquisition, or sale of all or substantially all of the Company’s assets (each, a “deemed liquidation event”), the convertible preferred stock became redeemable at the option of the holders of at least a majority of the then outstanding preferred shares. The Company did not adjust the carrying value of the convertible preferred stock to its liquidation preference because a deemed liquidation event obligating the Company to pay the liquidation preference to holders of shares of convertible preferred stock was not probable of occurring. All outstanding shares of convertible preferred stock were converted to common stock shares upon the closing of the Merger.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Prior to being publicly traded,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Merger, the fair value of the Company’s common stock is based on the closing quoted market price of its common stock as reported by the NASDAQ Select Market on the date of grant.</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utilizes the Black-Scholes-Merton (“BSM”) option pricing model to determine the estimated fair value of options granted to employees and non-employees, including directors. In addition to the fair value of the Company’s common stock, the BSM mode requires the input of several assumptions. These assumptions include:</w:t>
      </w:r>
    </w:p>
    <w:p>
      <w:pPr>
        <w:spacing w:after="0" w:line="81" w:lineRule="exact"/>
        <w:rPr>
          <w:sz w:val="20"/>
          <w:szCs w:val="20"/>
          <w:color w:val="auto"/>
        </w:rPr>
      </w:pPr>
    </w:p>
    <w:p>
      <w:pPr>
        <w:ind w:left="960" w:right="40" w:hanging="424"/>
        <w:spacing w:after="0" w:line="266"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life represents the period of time that the stock options are expected to be outstanding. Because the Company does not have substantial historical exercise behavior, it determines the expected term in accordance with the simplified method, which is an average of the contractual term of the stock option and its vesting period.</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Volatility—The estimated volatility is determined by evaluating the average historical volatility of a peer group of companies for the period preceding the stock option grant for a term that is approximately equal to the stock options’ expected term.</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implied yield currently available on U.S. Treasury issues with a term that is equal to the stock options’ expected term at the grant date.</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Dividend—The expected dividend yield is assumed to be zero as the Company has not declared or paid dividends to date and does not anticipate declaring dividends for the foreseeable future.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Restricted stock units (RSUs) are measured and recognized over the vesting period and are based on the quoted market price of the Company’s stock on the grant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00"/>
          </w:cols>
          <w:pgMar w:left="440" w:top="297" w:right="459" w:bottom="1440" w:gutter="0" w:footer="0" w:header="0"/>
        </w:sectPr>
      </w:pPr>
    </w:p>
    <w:bookmarkStart w:id="170" w:name="page171"/>
    <w:bookmarkEnd w:id="170"/>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stock-based compensation expense is recorded in research and development expense or general and administrative expense in the Consolidated Statements of Operations and Comprehensive Loss, on the basis of the respective employee and nonemployee’s role within the Company.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included in the consolidated financial statements. Under this method, the Company determined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Basic and diluted net loss per common share is presented in conformity with ASC 260, </w:t>
      </w:r>
      <w:r>
        <w:rPr>
          <w:rFonts w:ascii="Times New Roman" w:cs="Times New Roman" w:eastAsia="Times New Roman" w:hAnsi="Times New Roman"/>
          <w:sz w:val="18"/>
          <w:szCs w:val="18"/>
          <w:i w:val="1"/>
          <w:iCs w:val="1"/>
          <w:color w:val="auto"/>
        </w:rPr>
        <w:t>Earning Per Share,</w:t>
      </w:r>
      <w:r>
        <w:rPr>
          <w:rFonts w:ascii="Times New Roman" w:cs="Times New Roman" w:eastAsia="Times New Roman" w:hAnsi="Times New Roman"/>
          <w:sz w:val="18"/>
          <w:szCs w:val="18"/>
          <w:color w:val="auto"/>
        </w:rPr>
        <w:t xml:space="preserve"> for all periods presented. In accordance with this guidance, basic and diluted net loss per common share is determined by dividing the net loss by the weighted-average number of common shares outstanding during the period. Basic net loss and diluted net loss per share are calculated without consideration of potentially dilutive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Company applies ASC 850, </w:t>
      </w:r>
      <w:r>
        <w:rPr>
          <w:rFonts w:ascii="Times New Roman" w:cs="Times New Roman" w:eastAsia="Times New Roman" w:hAnsi="Times New Roman"/>
          <w:sz w:val="18"/>
          <w:szCs w:val="18"/>
          <w:i w:val="1"/>
          <w:iCs w:val="1"/>
          <w:color w:val="auto"/>
        </w:rPr>
        <w:t>Related Party Disclosure</w:t>
      </w:r>
      <w:r>
        <w:rPr>
          <w:rFonts w:ascii="Times New Roman" w:cs="Times New Roman" w:eastAsia="Times New Roman" w:hAnsi="Times New Roman"/>
          <w:sz w:val="18"/>
          <w:szCs w:val="18"/>
          <w:color w:val="auto"/>
        </w:rPr>
        <w:t>s, for the identification of related parties and disclosure of related party transactions.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under its ASCs or other standard setting bodies and adopted by the Company as of the specified effective date, unless otherwise discussed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0980"/>
          </w:cols>
          <w:pgMar w:left="440" w:top="297"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Recently Issued Accounting Pronouncements Not Yet Adopted</w:t>
      </w:r>
    </w:p>
    <w:p>
      <w:pPr>
        <w:spacing w:after="0" w:line="11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 (“ASU 2024-03”), which requires disaggregated disclosure of certain income statement captions within the footnotes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The amendments in ASU 2024-03 are effective for fiscal years beginning after December 15, 2026, and early adoption is permitted. The Company is currently evaluating the impact of ASU 2023-09 on its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Nature of the Business</w:t>
      </w:r>
      <w:r>
        <w:rPr>
          <w:rFonts w:ascii="Times New Roman" w:cs="Times New Roman" w:eastAsia="Times New Roman" w:hAnsi="Times New Roman"/>
          <w:sz w:val="18"/>
          <w:szCs w:val="18"/>
          <w:color w:val="auto"/>
        </w:rPr>
        <w:t>,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part of the recapitalization, Legacy Tectonic recognized the assets and liabilities listed below:</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incurred transaction costs of $9.3 million which was recorded as a reduction to additional paid-in capital in the Consolidated Balance Sheet.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0940"/>
          </w:cols>
          <w:pgMar w:left="440" w:top="293" w:right="5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 FAIR VALUE MEASUREMENTS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9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139,610</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139,610</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139,610</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139,610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90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6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4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SAFE liabilities</w:t>
            </w:r>
          </w:p>
        </w:tc>
        <w:tc>
          <w:tcPr>
            <w:tcW w:w="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360" w:type="dxa"/>
            <w:vAlign w:val="bottom"/>
            <w:gridSpan w:val="5"/>
          </w:tcPr>
          <w:p>
            <w:pPr>
              <w:ind w:lef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in cash and cash equivalents on the Company’s Consolidated Balance Sheets and are classified within Level 1 of the fair value hierarchy because they are valued using quoted market prices.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transfers between the Level 1, Level 2 or Level 3 categories during the years ended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From October through December 2023, Legacy Tectonic entered into multiple SAFE agreements with certain existing investors and received proceeds of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Upon the closing of the Merger, the principal balance of the SAFE instruments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960"/>
          </w:cols>
          <w:pgMar w:left="440" w:top="293" w:right="499" w:bottom="1440" w:gutter="0" w:footer="0" w:header="0"/>
        </w:sectPr>
      </w:pPr>
    </w:p>
    <w:bookmarkStart w:id="173" w:name="page174"/>
    <w:bookmarkEnd w:id="17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presents activity for the SAFE liabilities that were measured at fair value using significant unobservable Level 3 inputs during the years ended December 31, 2024 and 2023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$ 4,590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furniture and fixtures</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(2,745)</w:t>
            </w:r>
          </w:p>
        </w:tc>
        <w:tc>
          <w:tcPr>
            <w:tcW w:w="11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$ 2,151</w:t>
            </w: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$ 3,122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was $1.2 million and $1.0 million for the years ended December 31, 2024 and 2023, respectively, and is primarily attributable to research and development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$3,585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2,787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7,850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8,141</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the Company’s amended and restated certificate of incorporation authorized the Company to issue up</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11,947,558 shares of $0.0001 par value common stock, of which, 2,634,246 shares were issued and outstanding. Voting, dividend and liquidation rights of the holders of common stock were subject to and qualified by the rights, powers and preferences of the holders of the Preferred Stock. Holders of common stock were entitled to one vote for each share of common stock; however, the holders of the common stock were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80"/>
          </w:cols>
          <w:pgMar w:left="440" w:top="297" w:right="479" w:bottom="1440" w:gutter="0" w:footer="0" w:header="0"/>
        </w:sectPr>
      </w:pPr>
    </w:p>
    <w:bookmarkStart w:id="174" w:name="page175"/>
    <w:bookmarkEnd w:id="17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 entitled to vote on any amendment to the amended and restated certificate of incorporation that related solely to the terms of one or more outstanding series of preferred stock. The Company had included in issued and outstanding common stock shares of restricted common stock granted by the Company. As of December 31, 2023, there were 2,634,246 common shares issued and outstanding, of which 2,598,752 relate to shares of unrestricted common stock.</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amended and restated its certificate of incorporation, effective June 20, 2024, in connection with the Merger. 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December 31, 2024, no dividends had been declared.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reserved common stock for future issuance as follows: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1,626,841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1,002,535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1,519,331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available for future issuance under the 2019 Equity Incentive Plan</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25,208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available for future issuance under the 2024 Equity Incentive Plan</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976,082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purchase under the 2024 Employee Stock Purchase Plan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147,343</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2,775,878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6,213,717</w:t>
            </w:r>
          </w:p>
        </w:tc>
      </w:tr>
      <w:tr>
        <w:trPr>
          <w:trHeight w:val="20"/>
        </w:trPr>
        <w:tc>
          <w:tcPr>
            <w:tcW w:w="6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Prior to the conversion upon the closing of the Merger, Legacy Tectonic issued Series A-1, A-2, A-3 and A-4 convertible preferred stock (the “Convertible Preferred Stock”). Upon the closing of the Merger, all outstanding shares of the Convertible Preferred Stock were converted into 3,647,675 shares of common stock. No shares of Convertible Preferred Stock are authorized for issuance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Merger, the Company authorized the issuance of 10,000,000 shares of undesignated preferred stock, however no such shares were issued or outstanding as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Structure</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Upon the closing of the Merger, all outstanding shares of convertible preferred stock were converted into an aggregate of 3,647,675 shares of the Company’s common stock and $80.6 million of mezzanine equity was reclassified to common stock and additional paid-in capital. As of December 31, 2024, there were no shares of convertible preferred stock issued or outstanding.</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principal balance of the SAFE instruments was automatically redeemed for 2,752,216 shares of Legacy Tectonic common stock at the conversion price of $12.40 per share immediately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00"/>
          </w:cols>
          <w:pgMar w:left="440" w:top="297" w:right="459" w:bottom="1440" w:gutter="0" w:footer="0" w:header="0"/>
        </w:sectPr>
      </w:pPr>
    </w:p>
    <w:bookmarkStart w:id="175" w:name="page176"/>
    <w:bookmarkEnd w:id="175"/>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prior to the Merger closing. At closing, shares of Legacy Tectonic common stock issued pursuant to the redemption of Legacy Tectonic SAFEs were converted into 1,470,839 shares of common stock based on the Exchange Ratio, pursuant to the Merger Agreement.</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common stock upon the closing of the Merger based on the exchange ratio, pursuant to the Merger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w:t>
      </w:r>
    </w:p>
    <w:p>
      <w:pPr>
        <w:spacing w:after="0" w:line="15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maximum number of shares of common stock that may be issued under the 2024 Plan pursuant to the exercise of incentive stock options shall not exceed three times the Initial Share Reserve.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maximum number of shares of common stock that may be issued under the 2024 ESPP will not 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 (y) 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December 31, 2024.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0"/>
          </w:cols>
          <w:pgMar w:left="440" w:top="297" w:right="459" w:bottom="1440" w:gutter="0" w:footer="0" w:header="0"/>
        </w:sectPr>
      </w:pPr>
    </w:p>
    <w:bookmarkStart w:id="176" w:name="page177"/>
    <w:bookmarkEnd w:id="176"/>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equity activity below reflects the reverse stock split and retroactive application of the exchange ratio as discussed in Note 1, </w:t>
      </w:r>
      <w:r>
        <w:rPr>
          <w:rFonts w:ascii="Times New Roman" w:cs="Times New Roman" w:eastAsia="Times New Roman" w:hAnsi="Times New Roman"/>
          <w:sz w:val="18"/>
          <w:szCs w:val="18"/>
          <w:i w:val="1"/>
          <w:iCs w:val="1"/>
          <w:color w:val="auto"/>
        </w:rPr>
        <w:t>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2019 Plan and 2024 Plan during the year ended December 31, 2024 (in thousands except share, contractual term and per share amounts):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1,002,485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982,980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18.25</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(335,894)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(115,210)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8.98</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1,534,361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12.49</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51,805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160" w:type="dxa"/>
            <w:vAlign w:val="bottom"/>
            <w:gridSpan w:val="2"/>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2.80</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15,809</w:t>
            </w: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364,472</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1,534,361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12.49</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for the options that were assumed from AVROBIO upon the Merger closing during the year ended December 31, 2024 (in thousands except share, contractual term and per share amounts):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assumed from AVROBIO upon Merger closing</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(52,833)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14.61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(220,115)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136.24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22.69</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22.69</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22.69</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options with a weighted-average grant-date fair value of $14.90 and $4.04 per share, respectively. The fair value of options that vested during the years ended December 31, 2024 and 2023 was $1.6 million and</w:t>
      </w:r>
    </w:p>
    <w:p>
      <w:pPr>
        <w:ind w:right="180"/>
        <w:spacing w:after="0" w:line="260" w:lineRule="auto"/>
        <w:rPr>
          <w:sz w:val="20"/>
          <w:szCs w:val="20"/>
          <w:color w:val="auto"/>
        </w:rPr>
      </w:pPr>
      <w:r>
        <w:rPr>
          <w:rFonts w:ascii="Times New Roman" w:cs="Times New Roman" w:eastAsia="Times New Roman" w:hAnsi="Times New Roman"/>
          <w:sz w:val="18"/>
          <w:szCs w:val="18"/>
          <w:color w:val="auto"/>
        </w:rPr>
        <w:t>$1.1 million, respectively. As of December 31, 2024, the total unrecognized stock-based compensation expense for stock options was $13.3 million, which is expected to be recognized over a weighted-average period of 3.3 years.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840"/>
          </w:cols>
          <w:pgMar w:left="440" w:top="295" w:right="619" w:bottom="1440" w:gutter="0" w:footer="0" w:header="0"/>
        </w:sectPr>
      </w:pPr>
    </w:p>
    <w:bookmarkStart w:id="177" w:name="page178"/>
    <w:bookmarkEnd w:id="1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discloses assumptions for the fair value of options granted:</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34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2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16.09 - $51.28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 $4.21</w:t>
            </w: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6.00 - 6.25</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5.81 - 6.04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 - 104.0%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93.4% - 111.2%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 - 4.26%</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 - 4.90%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year ended December 31, 2024 was as follows (in thousands, except share, contractual term, and per share data):</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0"/>
                <w:szCs w:val="10"/>
                <w:color w:val="auto"/>
              </w:rPr>
            </w:pPr>
          </w:p>
        </w:tc>
        <w:tc>
          <w:tcPr>
            <w:tcW w:w="12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44.62</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34.51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44.90</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expected to vest as of December 31, 2024</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25,612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44.90</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RSUs was $1.1 million, which is expected to be recognized over a weighted average period of 3.2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Legacy Tectonic granted restricted common stock to founders, employees and consultants. The purchase price of the restricted common stock is the estimated fair value on the grant date and the restricted stock is subject to various vesting schedules. Unvested restricted common stock is subject to repurchase rights held by the Company at the original issuance price in the event the restricted common stockholders’ service to the Company is terminated either voluntarily or involuntarily.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restricted common stock activity during the year ended December 31, 2024:</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 as of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Early exercise of options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(25,827)</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awards as of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97" w:right="539" w:bottom="1440" w:gutter="0" w:footer="0" w:header="0"/>
        </w:sectPr>
      </w:pPr>
    </w:p>
    <w:bookmarkStart w:id="178" w:name="page179"/>
    <w:bookmarkEnd w:id="178"/>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weighted-average grant date fair value and the weighted average value of the vested restricted common stock for the years ended December 31, 2024 and 2023 were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stock-based compensation expense by function recognized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2,309</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Certain Stock Options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July 2024, the Company entered into a separation agreement with the Company’s Chief Operating Officer (the “Former Executive”). As part of the termination of employment, the Former Executive will serve as an advisor to the Company through March 31, 2025 (“Consulting Period”) on an as needed basis. Pursuant to the separation agreement,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therefore, the continued vesting of these awards represents a modification to the original award.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 recorded stock compensation expense of $0.4 million for the modification of the stock options of the Former Executive. This amount is included in general and administrative expenses on the consolidated statement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(57,982)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8,490,171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1,268,512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(6.83)</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F-23</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179" w:name="page180"/>
    <w:bookmarkEnd w:id="17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outstanding shares of potentially dilutive securities were excluded from the computation of diluted net loss per share for the periods presented because including them would have been antidilutive:</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3,647,674</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1,626,841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1,002,535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and common stock</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25,612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1,519,331</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1,652,453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6,188,508</w:t>
            </w:r>
          </w:p>
        </w:tc>
      </w:tr>
      <w:tr>
        <w:trPr>
          <w:trHeight w:val="20"/>
        </w:trPr>
        <w:tc>
          <w:tcPr>
            <w:tcW w:w="6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2020, Legacy Tectonic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Legacy Tectonic has also entered into various financing leases for laboratory equipment used in research and development activities.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expense and other information are as follows (dollars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2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amortization of right-of-use assets</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of finance lease liabilities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1,608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911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8.49%</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9.76%</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346"/>
        </w:trPr>
        <w:tc>
          <w:tcPr>
            <w:tcW w:w="3840" w:type="dxa"/>
            <w:vAlign w:val="bottom"/>
          </w:tcPr>
          <w:p>
            <w:pPr>
              <w:spacing w:after="0"/>
              <w:rPr>
                <w:sz w:val="24"/>
                <w:szCs w:val="24"/>
                <w:color w:val="auto"/>
              </w:rPr>
            </w:pPr>
          </w:p>
        </w:tc>
        <w:tc>
          <w:tcPr>
            <w:tcW w:w="2380" w:type="dxa"/>
            <w:vAlign w:val="bottom"/>
            <w:gridSpan w:val="3"/>
          </w:tcPr>
          <w:p>
            <w:pPr>
              <w:jc w:val="right"/>
              <w:ind w:right="1770"/>
              <w:spacing w:after="0"/>
              <w:rPr>
                <w:sz w:val="20"/>
                <w:szCs w:val="20"/>
                <w:color w:val="auto"/>
              </w:rPr>
            </w:pPr>
            <w:r>
              <w:rPr>
                <w:rFonts w:ascii="Times New Roman" w:cs="Times New Roman" w:eastAsia="Times New Roman" w:hAnsi="Times New Roman"/>
                <w:sz w:val="18"/>
                <w:szCs w:val="18"/>
                <w:color w:val="auto"/>
              </w:rPr>
              <w:t>F-24</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180" w:name="page181"/>
    <w:bookmarkEnd w:id="18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Future commitments due under these lease agreements as of December 31, 2024 are as follows (in thousands):</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80"/>
        </w:trPr>
        <w:tc>
          <w:tcPr>
            <w:tcW w:w="6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80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5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2,396</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552</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2,948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the Company paid Harvard a one-time license fee of $170,000 and issued 227,486 shares of common stock with a fair market value of $0.4 million.</w:t>
      </w:r>
    </w:p>
    <w:p>
      <w:pPr>
        <w:spacing w:after="0" w:line="19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w:t>
      </w:r>
    </w:p>
    <w:p>
      <w:pPr>
        <w:spacing w:after="0" w:line="3"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color w:val="auto"/>
        </w:rPr>
        <w:t>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Know-How Enabled Products will terminate on the earlier of (i) ten years after the first commercial sale of the first Know-How Enabled Product and</w:t>
      </w:r>
    </w:p>
    <w:p>
      <w:pPr>
        <w:spacing w:after="0" w:line="21" w:lineRule="exact"/>
        <w:rPr>
          <w:sz w:val="20"/>
          <w:szCs w:val="20"/>
          <w:color w:val="auto"/>
        </w:rPr>
      </w:pPr>
    </w:p>
    <w:p>
      <w:pPr>
        <w:ind w:left="4" w:right="20" w:hanging="4"/>
        <w:spacing w:after="0" w:line="255" w:lineRule="auto"/>
        <w:tabs>
          <w:tab w:leader="none" w:pos="2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years after the first commercial sale of the first Licensed Product. The Company incurred expense of $0.4 million and $0.2 million related to the License Agreement during the years ended December 31, 2024 and 2023, respectively. No amounts were due to Harvard related to the License Agreement as of December 31, 2024 and 2023, respectively.</w:t>
      </w:r>
    </w:p>
    <w:p>
      <w:pPr>
        <w:spacing w:after="0" w:line="11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0924"/>
          </w:cols>
          <w:pgMar w:left="436" w:top="297" w:right="5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12. COMMITMENTS AND CONTINGENCIES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1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also party to commitments, which are described elsewhere in these consolidated financial statements: Lease commitments, as described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royalty and maintenance based commitments, as described in Note 11, </w:t>
      </w:r>
      <w:r>
        <w:rPr>
          <w:rFonts w:ascii="Times New Roman" w:cs="Times New Roman" w:eastAsia="Times New Roman" w:hAnsi="Times New Roman"/>
          <w:sz w:val="18"/>
          <w:szCs w:val="18"/>
          <w:i w:val="1"/>
          <w:iCs w:val="1"/>
          <w:color w:val="auto"/>
        </w:rPr>
        <w:t>License Agreements.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December 31, 2024, no receivables or liabilities were recorded on the Consolidated Balance Sheet relating to such contingent payments.</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December 31, 2024 and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did not record a federal or state income tax provision or benefit for the years ended December 31, 2024 and 2023, as it has been incurring net losses since inception. In addition, the net deferred tax assets generated from net operating losses are fully offset by a valuation allowance as the Company believes it is not more likely than not that the benefit will be realized.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00"/>
          </w:cols>
          <w:pgMar w:left="440" w:top="293" w:right="459" w:bottom="1440" w:gutter="0" w:footer="0" w:header="0"/>
        </w:sectPr>
      </w:pPr>
    </w:p>
    <w:bookmarkStart w:id="182" w:name="page183"/>
    <w:bookmarkEnd w:id="1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Income tax expense consists of the following (in thousands):</w:t>
      </w:r>
    </w:p>
    <w:p>
      <w:pPr>
        <w:spacing w:after="0" w:line="24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 (benefit):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expense (benefit):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11,207</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w:t>
            </w: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tax benefit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16,926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14,568</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change in 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(16,926)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(14,568)</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had an effective tax rate of 0% for the years ended December 31, 2024 and 2023. The provision for income taxes differs from the amount expected by applying the federal statutory rate to the loss before taxes as follows:</w:t>
      </w:r>
    </w:p>
    <w:p>
      <w:pPr>
        <w:spacing w:after="0" w:line="182"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364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0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4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liability fair value adjustment</w:t>
            </w:r>
          </w:p>
        </w:tc>
        <w:tc>
          <w:tcPr>
            <w:tcW w:w="4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9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36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404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F-27</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800"/>
          </w:cols>
          <w:pgMar w:left="440" w:top="297" w:right="65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components of the Company’s net deferred tax assets and liabilities as of December 31, 2024 and 2023, were as follows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109,392</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credits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13,946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40,742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14,595</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&amp; other</w:t>
            </w:r>
          </w:p>
        </w:tc>
        <w:tc>
          <w:tcPr>
            <w:tcW w:w="10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68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32,167</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(170,177</w:t>
            </w:r>
          </w:p>
        </w:tc>
        <w:tc>
          <w:tcPr>
            <w:tcW w:w="6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7"/>
              </w:rPr>
              <w:t>(30,228)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Deferred Tax Assets and Valuation Allowance</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carryforwards ultimately depends on the existence of sufficient taxable income within the carryforward period. As of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 The Company’s valuation allowance increased during the year by $140.0 million for the year ended December 31, 2024 due primarily to the generation of net operating losses.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NOL Carryforwards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Net operating loss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AVROBIO’s value immediately prior to the ownership change multiplied by the long-term tax exempt rate which is published monthly. Subsequent ownership changes may further affect the limitation in future years. The Company has not yet conducted a Section 382 study to assess whether the Reverse Merger resulted in an ownership change under Section 382 that could limit the ability to use the net operating loss carryforwards of AVROBIO and Tectonic. Nor has the Company completed a Section 382 study to assess whether an ownership change or changes has/have occurred related to Tectonic Therapeutic’s pre-merger activity. However, the Reverse Merger is expected to result in an ownership change for AVROBIO. Therefore, the Company does not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960"/>
          </w:cols>
          <w:pgMar w:left="440" w:top="297" w:right="499" w:bottom="1440" w:gutter="0" w:footer="0" w:header="0"/>
        </w:sectPr>
      </w:pPr>
    </w:p>
    <w:bookmarkStart w:id="184" w:name="page185"/>
    <w:bookmarkEnd w:id="18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expect to be able to utilize a material portion, if any, of the historic net operating losses and tax credit carryforwards from AVROBIO. The impact of this would not materially impact the financial statements, given the full valuation allowance.</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net operating loss carryforwards for federal and state tax reporting purposes of $399.3 million and $71.9 million, respectively. Net operating loss carryforwards generated after December 31, 2017 for federal tax reporting purposes of $399.3 million have an indefinite life. Net operating loss carryforwards for state purposes of $71.9 million, which begin to expire in 2040. As of December 31, 2024, the Company also has federal and state research and development tax credits of $10.5 million and $4.4 million, which being to expire in 2040 and 2035, respectively.</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Tax Cuts and Jobs Act (TCJA) resulted in significant changes to the treatment of research and development expenditures under Section 174. For tax years beginning after December 31, 2021, taxpayers are required to capitalize and amortize all research and development expenditures that are paid or incurred in connection with their trade or business. Specifically, costs for U.S.-based R&amp;D activities must be amortized over five years and costs for foreign research and development activities must be amortized over 15 years—both using a midyear convention. During the year ended December 31, 2024, the Company capitalized $40.3 million of research and development expenses.</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Uncertain Tax Position</w:t>
      </w:r>
    </w:p>
    <w:p>
      <w:pPr>
        <w:spacing w:after="0" w:line="11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evaluates its uncertain tax positions under ASC 740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w:t>
      </w:r>
    </w:p>
    <w:p>
      <w:pPr>
        <w:spacing w:after="0" w:line="176"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2020 for both federal and state. However, to the extent the Company utilizes net operating losses from years prior to 2020, the statute remains open to the extent of the net operating losses or other credits are utilized.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For each of the years ended December 31, 2024 and 2023, the Company incurred expense of $0.1 million for advisory services provided. There were no amounts due to this related party as of December 31, 2024 or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11,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incurred expense of $0.4 million and $0.2 million related to the License Agreement during the years ended December 31, 2024 and 2023, respectively. No amounts were due to Harvard related to the License Agreement as of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One member of the Company’s Board of Directors also services on the board of Adimab, LLC (“Adimab”), an antibody discovery company. In May 2023, Legacy Tectonic entered into a discovery agreement with Adimab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980"/>
          </w:cols>
          <w:pgMar w:left="440" w:top="297" w:right="479" w:bottom="1440" w:gutter="0" w:footer="0" w:header="0"/>
        </w:sectPr>
      </w:pPr>
    </w:p>
    <w:bookmarkStart w:id="185" w:name="page186"/>
    <w:bookmarkEnd w:id="18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whereby Legacy Tectonic and Adimab collaborated on human antibody discovery in accordance with an agreed upon research program. The Company incurred expense of $0.2 million during each of the years ended December 31, 2024 and 2023. The Company terminated the agreement with Adimab in July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From October through December 2023, Legacy Tectonic entered into multiple SAFE agreements with certain existing investors and received proceeds of $34.1 million.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 The SAFEs were redeemed for shares of Legacy Tectonic common stock in connection with the closing of the Merger.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As defined by the Plan, highly compensated employees are not eligible to receive the Nonelective Contribution. The Company contributed $0.2 million to the Plan in each of the years ended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spacing w:after="0" w:line="176"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The determination of a single segment is consistent with the consolidated financial information regularly reviewed by the Chief Executive Officer as chief operating decision maker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segment asset information is provided below as the CODM is focused on how expenses impact ending cash by period and overall cash runway.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review of segment assets, which would focus on cash and cash equivalents, would be at the same level as the consolidated balance sheet.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00"/>
          </w:cols>
          <w:pgMar w:left="440" w:top="297" w:right="459" w:bottom="1440" w:gutter="0" w:footer="0" w:header="0"/>
        </w:sectPr>
      </w:pPr>
    </w:p>
    <w:bookmarkStart w:id="186" w:name="page187"/>
    <w:bookmarkEnd w:id="186"/>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presents the segment net loss and significant segment expenses for the years ended December 31, 2024, and 2023 (in thousands):</w:t>
      </w:r>
    </w:p>
    <w:p>
      <w:pPr>
        <w:spacing w:after="0" w:line="18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4"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Employee-related expenses: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employee-related expenses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1"/>
              </w:rPr>
              <w:t>$ 11,135</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$ 10,351</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employee-related expenses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5,553</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pre-clinical expenses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8,477</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Clinical and development expenses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15,380</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 expenses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3,570</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 employee-related general and administrative expenses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8,733</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r>
      <w:tr>
        <w:trPr>
          <w:trHeight w:val="216"/>
        </w:trPr>
        <w:tc>
          <w:tcPr>
            <w:tcW w:w="6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5,134</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57,982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$ 42,823</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120" w:hanging="224"/>
        <w:spacing w:after="0" w:line="234" w:lineRule="auto"/>
        <w:tabs>
          <w:tab w:leader="none" w:pos="224" w:val="left"/>
        </w:tabs>
        <w:numPr>
          <w:ilvl w:val="0"/>
          <w:numId w:val="8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segment expenses include stock-based compensation, depreciation and amortization, changes in the fair value of the SAFE liabilities, loss on the issuance of SAFEs, interest income, and interest expense.</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 February 2025, the Company entered into a securities purchase agreement pursuant to which the Company issued an aggregate of 3,689,465 shares of common stock, at a price of $50.00 per share to fund investors and $54.14 per share to individual investors that are either an officer or director of the Company, in exchange for aggregate consideration of approximately $185.0 million.</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0944"/>
          </w:cols>
          <w:pgMar w:left="436" w:top="297" w:right="5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2907665</wp:posOffset>
            </wp:positionV>
            <wp:extent cx="1234440" cy="3257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34440" cy="32575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7,350.47*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150,000.00</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257,350.47</w:t>
            </w: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paid.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w:t>
      </w:r>
    </w:p>
    <w:p>
      <w:pPr>
        <w:spacing w:after="0" w:line="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Fourth Amended and Restated Certificate of Incorporation and the Amended and Restated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3"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or Rule 701 promulgated under Section 3(b) of the Securities Act.</w:t>
      </w:r>
    </w:p>
    <w:p>
      <w:pPr>
        <w:spacing w:after="0" w:line="282" w:lineRule="exact"/>
        <w:rPr>
          <w:sz w:val="20"/>
          <w:szCs w:val="20"/>
          <w:color w:val="auto"/>
        </w:rPr>
      </w:pPr>
    </w:p>
    <w:p>
      <w:pPr>
        <w:jc w:val="both"/>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Shares of Legacy Tectonic stock have not been adjusted to reflect the exchange for our common stock in the Merger and reflect actual shares issued by Legacy Tectonic.</w:t>
      </w:r>
    </w:p>
    <w:p>
      <w:pPr>
        <w:spacing w:after="0" w:line="5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March 2021, Legacy Tectonic (i) issued and sold to certain investors 2,883,654 shares of its Series A-1 Preferred Stock and Series A-2 Preferred Stock at a purchase price of $13.1876 per share for an aggregate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40"/>
          </w:cols>
          <w:pgMar w:left="320" w:top="482" w:right="5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purchase price of $38,028,475.61, (ii) issued 696,516 shares of its Series A-3 Preferred Stock upon the conversion of certain outstanding convertible notes at a conversion price of $10.55008 per share and (iii) issued 361,659 shares of its Series A-4 Preferred Stock upon the conversion of certain outstanding convertible notes at a conversion price of $11.20946 per share.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June 2022, the Legacy Tectonic Board determined that Legacy Tectonic had achieved the milestone events pursuant to the terms of its Series A Preferred Stock Purchase Agreement and issued and sold to certain investors (i) an aggregate additional 2,466,372 shares of Legacy Tectonic’s Series A-1 Preferred Stock, and (ii) an additional 437,282 shares of Legacy Tectonic’s Series A-2 Preferred Stock in a subsequent closing, at a purchase price of $13.1876 per share for an aggregate purchase price of $38,028,475.61.</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the Merger, Legacy Tectonic entered into a Subscription Agreement on January 30, 2024 with certain investors to consummate the Pre-Closing Financing. Pursuant to the Subscription Agreement, the investors agreed to purchase an aggregate of 7,790,889 shares of Legacy Tectonic common stock, at a price of $12.39908 per share, for aggregate gross proceeds of approximately $96.6 million. In addition, in connection with the closing of the Merger, Legacy Tectonic’s outstanding SAFEs converted into 2,752,216 shares of Legacy Tectonic common stock at a conversion price of $12.39908 per share. The aggregate purchase price between the Pre-Closing Financing and the SAFEs was approximately $130.7 million.</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February 3, 2025, we entered into a Securities Purchase Agreement with certain accredited investors, pursuant to which we agreed to issue and sell 3,689,465 shares of our common stock, $0.0001 par value per share, at a price of $50.00 per share to certain institutional accredited investors and $54.14 per share to individual accredited investors that are either an officer or director of the Company. Our total gross proceeds from the sale of the shares in the Private Placement were approximately $185.0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94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0" w:type="dxa"/>
            <w:vAlign w:val="bottom"/>
            <w:gridSpan w:val="1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5"/>
        </w:trPr>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gridSpan w:val="1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  2.1</w:t>
            </w:r>
          </w:p>
        </w:tc>
        <w:tc>
          <w:tcPr>
            <w:tcW w:w="320" w:type="dxa"/>
            <w:vAlign w:val="bottom"/>
          </w:tcPr>
          <w:p>
            <w:pPr>
              <w:spacing w:after="0"/>
              <w:rPr>
                <w:sz w:val="14"/>
                <w:szCs w:val="14"/>
                <w:color w:val="auto"/>
              </w:rPr>
            </w:pPr>
          </w:p>
        </w:tc>
        <w:tc>
          <w:tcPr>
            <w:tcW w:w="4560" w:type="dxa"/>
            <w:vAlign w:val="bottom"/>
            <w:tcBorders>
              <w:top w:val="single" w:sz="8" w:color="auto"/>
              <w:bottom w:val="single" w:sz="8" w:color="0000EE"/>
            </w:tcBorders>
            <w:gridSpan w:val="7"/>
          </w:tcPr>
          <w:p>
            <w:pPr>
              <w:spacing w:after="0" w:line="169"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Agreement and Plan of Merger and Reorganization, dated as of</w:t>
              </w:r>
            </w:hyperlink>
          </w:p>
        </w:tc>
        <w:tc>
          <w:tcPr>
            <w:tcW w:w="820" w:type="dxa"/>
            <w:vAlign w:val="bottom"/>
            <w:tcBorders>
              <w:top w:val="single" w:sz="8" w:color="auto"/>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001-38537</w:t>
            </w:r>
          </w:p>
        </w:tc>
        <w:tc>
          <w:tcPr>
            <w:tcW w:w="120" w:type="dxa"/>
            <w:vAlign w:val="bottom"/>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1/30/2024</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14"/>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January 30, 2024, by and among AVROBIO, Inc., Alpine Merger</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0">
              <w:r>
                <w:rPr>
                  <w:rFonts w:ascii="Times New Roman" w:cs="Times New Roman" w:eastAsia="Times New Roman" w:hAnsi="Times New Roman"/>
                  <w:sz w:val="18"/>
                  <w:szCs w:val="18"/>
                  <w:color w:val="0000EE"/>
                  <w:w w:val="98"/>
                </w:rPr>
                <w:t>Subsidiary, Inc. and Tectonic Therapeutic, Inc.</w:t>
              </w:r>
            </w:hyperlink>
          </w:p>
        </w:tc>
        <w:tc>
          <w:tcPr>
            <w:tcW w:w="1340" w:type="dxa"/>
            <w:vAlign w:val="bottom"/>
            <w:tcBorders>
              <w:top w:val="single" w:sz="8" w:color="0000EE"/>
            </w:tcBorders>
            <w:gridSpan w:val="5"/>
          </w:tcPr>
          <w:p>
            <w:pPr>
              <w:spacing w:after="0"/>
              <w:rPr>
                <w:sz w:val="17"/>
                <w:szCs w:val="17"/>
                <w:color w:val="auto"/>
              </w:rPr>
            </w:pPr>
          </w:p>
        </w:tc>
        <w:tc>
          <w:tcPr>
            <w:tcW w:w="8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4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Fourth Amended and Restated Certificate of Incorporation of the</w:t>
              </w:r>
            </w:hyperlink>
          </w:p>
        </w:tc>
        <w:tc>
          <w:tcPr>
            <w:tcW w:w="820" w:type="dxa"/>
            <w:vAlign w:val="bottom"/>
            <w:gridSpan w:val="6"/>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1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Company, as amended through June 20, 2024.</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5500" w:type="dxa"/>
            <w:vAlign w:val="bottom"/>
            <w:gridSpan w:val="14"/>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Amended and Restated Bylaws, as currently in effect.</w:t>
              </w:r>
            </w:hyperlink>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21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Description of Capital Stock.</w:t>
              </w:r>
            </w:hyperlink>
          </w:p>
        </w:tc>
        <w:tc>
          <w:tcPr>
            <w:tcW w:w="1760" w:type="dxa"/>
            <w:vAlign w:val="bottom"/>
            <w:tcBorders>
              <w:top w:val="single" w:sz="8" w:color="0000EE"/>
            </w:tcBorders>
            <w:gridSpan w:val="4"/>
          </w:tcPr>
          <w:p>
            <w:pPr>
              <w:spacing w:after="0"/>
              <w:rPr>
                <w:sz w:val="24"/>
                <w:szCs w:val="24"/>
                <w:color w:val="auto"/>
              </w:rPr>
            </w:pPr>
          </w:p>
        </w:tc>
        <w:tc>
          <w:tcPr>
            <w:tcW w:w="1640" w:type="dxa"/>
            <w:vAlign w:val="bottom"/>
            <w:gridSpan w:val="8"/>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3/20/2025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172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Opinion of Cooley LLP</w:t>
              </w:r>
            </w:hyperlink>
          </w:p>
        </w:tc>
        <w:tc>
          <w:tcPr>
            <w:tcW w:w="3780" w:type="dxa"/>
            <w:vAlign w:val="bottom"/>
            <w:gridSpan w:val="13"/>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333-280909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53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Contingent Value Rights Agreement dated June 20, 2024, by and between</w:t>
              </w:r>
            </w:hyperlink>
          </w:p>
        </w:tc>
        <w:tc>
          <w:tcPr>
            <w:tcW w:w="180" w:type="dxa"/>
            <w:vAlign w:val="bottom"/>
            <w:gridSpan w:val="2"/>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45">
              <w:r>
                <w:rPr>
                  <w:rFonts w:ascii="Times New Roman" w:cs="Times New Roman" w:eastAsia="Times New Roman" w:hAnsi="Times New Roman"/>
                  <w:sz w:val="18"/>
                  <w:szCs w:val="18"/>
                  <w:color w:val="0000EE"/>
                  <w:w w:val="98"/>
                </w:rPr>
                <w:t>Tectonic Therapeutic, Inc. and Computershare Trust Company, LLC</w:t>
              </w:r>
            </w:hyperlink>
          </w:p>
        </w:tc>
        <w:tc>
          <w:tcPr>
            <w:tcW w:w="5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5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Form of Indemnification Agreement between Tectonic Therapeutic, Inc.</w:t>
              </w:r>
            </w:hyperlink>
          </w:p>
        </w:tc>
        <w:tc>
          <w:tcPr>
            <w:tcW w:w="300" w:type="dxa"/>
            <w:vAlign w:val="bottom"/>
            <w:gridSpan w:val="3"/>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and each of its directors and executive officers.</w:t>
              </w:r>
            </w:hyperlink>
          </w:p>
        </w:tc>
        <w:tc>
          <w:tcPr>
            <w:tcW w:w="210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82"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2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1"/>
                <w:szCs w:val="11"/>
                <w:color w:val="auto"/>
              </w:rPr>
            </w:pP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vMerge w:val="restart"/>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6"/>
        </w:trPr>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0"/>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2"/>
                <w:szCs w:val="22"/>
                <w:color w:val="auto"/>
              </w:rPr>
            </w:pPr>
          </w:p>
        </w:tc>
        <w:tc>
          <w:tcPr>
            <w:tcW w:w="5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Subscription Agreement, dated as of January 29, 2024, by and among</w:t>
              </w:r>
            </w:hyperlink>
          </w:p>
        </w:tc>
        <w:tc>
          <w:tcPr>
            <w:tcW w:w="460" w:type="dxa"/>
            <w:vAlign w:val="bottom"/>
            <w:gridSpan w:val="12"/>
          </w:tcPr>
          <w:p>
            <w:pPr>
              <w:spacing w:after="0"/>
              <w:rPr>
                <w:sz w:val="22"/>
                <w:szCs w:val="22"/>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Tectonic Therapeutic, Inc. and the purchasers thereunder</w:t>
              </w:r>
            </w:hyperlink>
          </w:p>
        </w:tc>
        <w:tc>
          <w:tcPr>
            <w:tcW w:w="140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53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Tectonic Therapeutic, Inc. 2019 Equity Incentive Plan, and form of award</w:t>
              </w:r>
            </w:hyperlink>
          </w:p>
        </w:tc>
        <w:tc>
          <w:tcPr>
            <w:tcW w:w="160" w:type="dxa"/>
            <w:vAlign w:val="bottom"/>
            <w:gridSpan w:val="4"/>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agreements thereunder.</w:t>
              </w:r>
            </w:hyperlink>
          </w:p>
        </w:tc>
        <w:tc>
          <w:tcPr>
            <w:tcW w:w="3820" w:type="dxa"/>
            <w:vAlign w:val="bottom"/>
            <w:gridSpan w:val="23"/>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5500" w:type="dxa"/>
            <w:vAlign w:val="bottom"/>
            <w:gridSpan w:val="27"/>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Tectonic Therapeutic, Inc. 2024 Equity Incentive Plan.</w:t>
              </w:r>
            </w:hyperlink>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53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Forms of Option Grant Notice, Option Agreement and Notice of Exercise</w:t>
              </w:r>
            </w:hyperlink>
          </w:p>
        </w:tc>
        <w:tc>
          <w:tcPr>
            <w:tcW w:w="180" w:type="dxa"/>
            <w:vAlign w:val="bottom"/>
            <w:gridSpan w:val="5"/>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under Tectonic Therapeutic, Inc. 2024 Equity Incentive Plan.</w:t>
              </w:r>
            </w:hyperlink>
          </w:p>
        </w:tc>
        <w:tc>
          <w:tcPr>
            <w:tcW w:w="108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Tectonic Therapeutic, Inc. 2024 Employee Stock Purchase Plan.</w:t>
              </w:r>
            </w:hyperlink>
          </w:p>
        </w:tc>
        <w:tc>
          <w:tcPr>
            <w:tcW w:w="860" w:type="dxa"/>
            <w:vAlign w:val="bottom"/>
            <w:gridSpan w:val="16"/>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License Agreement, dated February 10, 2022, by and between Tectonic</w:t>
              </w:r>
            </w:hyperlink>
          </w:p>
        </w:tc>
        <w:tc>
          <w:tcPr>
            <w:tcW w:w="340" w:type="dxa"/>
            <w:vAlign w:val="bottom"/>
            <w:gridSpan w:val="8"/>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Therapeutic, Inc. and President and Fellows of Harvard College.</w:t>
              </w:r>
            </w:hyperlink>
          </w:p>
        </w:tc>
        <w:tc>
          <w:tcPr>
            <w:tcW w:w="840" w:type="dxa"/>
            <w:vAlign w:val="bottom"/>
            <w:gridSpan w:val="15"/>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Master Agreement for Early Phase Clinical Services, dated October 23,</w:t>
              </w:r>
            </w:hyperlink>
          </w:p>
        </w:tc>
        <w:tc>
          <w:tcPr>
            <w:tcW w:w="340" w:type="dxa"/>
            <w:vAlign w:val="bottom"/>
            <w:gridSpan w:val="8"/>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27"/>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2023, by and between Tectonic Therapeutic, Inc. and ARENSIA</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Exploratory Medicine GmbH.</w:t>
              </w:r>
            </w:hyperlink>
          </w:p>
        </w:tc>
        <w:tc>
          <w:tcPr>
            <w:tcW w:w="2460" w:type="dxa"/>
            <w:vAlign w:val="bottom"/>
            <w:tcBorders>
              <w:top w:val="single" w:sz="8" w:color="0000EE"/>
            </w:tcBorders>
            <w:gridSpan w:val="5"/>
          </w:tcPr>
          <w:p>
            <w:pPr>
              <w:spacing w:after="0"/>
              <w:rPr>
                <w:sz w:val="17"/>
                <w:szCs w:val="17"/>
                <w:color w:val="auto"/>
              </w:rPr>
            </w:pPr>
          </w:p>
        </w:tc>
        <w:tc>
          <w:tcPr>
            <w:tcW w:w="860" w:type="dxa"/>
            <w:vAlign w:val="bottom"/>
            <w:gridSpan w:val="16"/>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Master Contract Services Agreement, dated October 17, 2023, by and</w:t>
              </w:r>
            </w:hyperlink>
          </w:p>
        </w:tc>
        <w:tc>
          <w:tcPr>
            <w:tcW w:w="460" w:type="dxa"/>
            <w:vAlign w:val="bottom"/>
            <w:gridSpan w:val="12"/>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between Tectonic Therapeutic, Inc. and QPS Holdings, LLC.</w:t>
              </w:r>
            </w:hyperlink>
          </w:p>
        </w:tc>
        <w:tc>
          <w:tcPr>
            <w:tcW w:w="1100" w:type="dxa"/>
            <w:vAlign w:val="bottom"/>
            <w:gridSpan w:val="18"/>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Master Contract Services Agreement, dated February 16, 2022, by and</w:t>
              </w:r>
            </w:hyperlink>
          </w:p>
        </w:tc>
        <w:tc>
          <w:tcPr>
            <w:tcW w:w="380" w:type="dxa"/>
            <w:vAlign w:val="bottom"/>
            <w:gridSpan w:val="10"/>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between Tectonic Therapeutic, Inc. and ITR LABORATORIES CANADA</w:t>
              </w:r>
            </w:hyperlink>
          </w:p>
        </w:tc>
        <w:tc>
          <w:tcPr>
            <w:tcW w:w="1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27"/>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INC.</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500" w:type="dxa"/>
            <w:vAlign w:val="bottom"/>
            <w:gridSpan w:val="27"/>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Development and Manufacturing Services Agreement, dated May 6, 2022,</w:t>
              </w:r>
            </w:hyperlink>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by and between Tectonic Therapeutic, Inc. and WuXi Biologics (Hong</w:t>
              </w:r>
            </w:hyperlink>
          </w:p>
        </w:tc>
        <w:tc>
          <w:tcPr>
            <w:tcW w:w="28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27"/>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Kong) Limited.</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Master Clinical Contract Services Agreement, dated March 6, 2023, by</w:t>
              </w:r>
            </w:hyperlink>
          </w:p>
        </w:tc>
        <w:tc>
          <w:tcPr>
            <w:tcW w:w="360" w:type="dxa"/>
            <w:vAlign w:val="bottom"/>
            <w:gridSpan w:val="9"/>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gridSpan w:val="27"/>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and between Tectonic Therapeutic, Inc. and Novotech (Australia) Pty</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Limited CAN.</w:t>
              </w:r>
            </w:hyperlink>
          </w:p>
        </w:tc>
        <w:tc>
          <w:tcPr>
            <w:tcW w:w="50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24"/>
                <w:szCs w:val="24"/>
                <w:color w:val="auto"/>
              </w:rPr>
            </w:pPr>
          </w:p>
        </w:tc>
        <w:tc>
          <w:tcPr>
            <w:tcW w:w="5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Amended and Restated Employment Agreement, dated as of June 20,</w:t>
              </w:r>
            </w:hyperlink>
          </w:p>
        </w:tc>
        <w:tc>
          <w:tcPr>
            <w:tcW w:w="480" w:type="dxa"/>
            <w:vAlign w:val="bottom"/>
            <w:gridSpan w:val="13"/>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2024, by and between Tectonic Therapeutic, Inc. and Alise Reicin, M.D.</w:t>
              </w:r>
            </w:hyperlink>
          </w:p>
        </w:tc>
        <w:tc>
          <w:tcPr>
            <w:tcW w:w="2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tcPr>
          <w:p>
            <w:pPr>
              <w:spacing w:after="0"/>
              <w:rPr>
                <w:sz w:val="24"/>
                <w:szCs w:val="24"/>
                <w:color w:val="auto"/>
              </w:rPr>
            </w:pPr>
          </w:p>
        </w:tc>
        <w:tc>
          <w:tcPr>
            <w:tcW w:w="5500" w:type="dxa"/>
            <w:vAlign w:val="bottom"/>
            <w:gridSpan w:val="27"/>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Offer Letter dated June 16, 2021, by and between Tectonic Therapeutic,</w:t>
              </w:r>
            </w:hyperlink>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Inc. and Marcella Ruddy.</w:t>
              </w:r>
            </w:hyperlink>
          </w:p>
        </w:tc>
        <w:tc>
          <w:tcPr>
            <w:tcW w:w="3340" w:type="dxa"/>
            <w:vAlign w:val="bottom"/>
            <w:tcBorders>
              <w:top w:val="single" w:sz="8" w:color="0000EE"/>
            </w:tcBorders>
            <w:gridSpan w:val="15"/>
          </w:tcPr>
          <w:p>
            <w:pPr>
              <w:spacing w:after="0"/>
              <w:rPr>
                <w:sz w:val="17"/>
                <w:szCs w:val="17"/>
                <w:color w:val="auto"/>
              </w:rPr>
            </w:pPr>
          </w:p>
        </w:tc>
        <w:tc>
          <w:tcPr>
            <w:tcW w:w="32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6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1"/>
                <w:szCs w:val="11"/>
                <w:color w:val="auto"/>
              </w:rPr>
            </w:pPr>
          </w:p>
        </w:tc>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vMerge w:val="restart"/>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tcPr>
          <w:p>
            <w:pPr>
              <w:spacing w:after="0"/>
              <w:rPr>
                <w:sz w:val="22"/>
                <w:szCs w:val="22"/>
                <w:color w:val="auto"/>
              </w:rPr>
            </w:pPr>
          </w:p>
        </w:tc>
        <w:tc>
          <w:tcPr>
            <w:tcW w:w="4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Offer Letter dated May 28, 2025, by and between Tectonic</w:t>
              </w:r>
            </w:hyperlink>
          </w:p>
        </w:tc>
        <w:tc>
          <w:tcPr>
            <w:tcW w:w="940" w:type="dxa"/>
            <w:vAlign w:val="bottom"/>
            <w:gridSpan w:val="6"/>
          </w:tcPr>
          <w:p>
            <w:pPr>
              <w:spacing w:after="0"/>
              <w:rPr>
                <w:sz w:val="22"/>
                <w:szCs w:val="2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3/20/2025</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Therapeutic, Inc. and Daniel Lochner.</w:t>
              </w:r>
            </w:hyperlink>
          </w:p>
        </w:tc>
        <w:tc>
          <w:tcPr>
            <w:tcW w:w="244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tcPr>
          <w:p>
            <w:pPr>
              <w:spacing w:after="0"/>
              <w:rPr>
                <w:sz w:val="24"/>
                <w:szCs w:val="24"/>
                <w:color w:val="auto"/>
              </w:rPr>
            </w:pPr>
          </w:p>
        </w:tc>
        <w:tc>
          <w:tcPr>
            <w:tcW w:w="46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Form of Severance Plan and Form of Participation Agreement of</w:t>
              </w:r>
            </w:hyperlink>
          </w:p>
        </w:tc>
        <w:tc>
          <w:tcPr>
            <w:tcW w:w="500" w:type="dxa"/>
            <w:vAlign w:val="bottom"/>
            <w:gridSpan w:val="4"/>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333-277048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63">
              <w:r>
                <w:rPr>
                  <w:rFonts w:ascii="Times New Roman" w:cs="Times New Roman" w:eastAsia="Times New Roman" w:hAnsi="Times New Roman"/>
                  <w:sz w:val="18"/>
                  <w:szCs w:val="18"/>
                  <w:color w:val="0000EE"/>
                  <w:w w:val="98"/>
                </w:rPr>
                <w:t>Tectonic Therapeutic, Inc.</w:t>
              </w:r>
            </w:hyperlink>
          </w:p>
        </w:tc>
        <w:tc>
          <w:tcPr>
            <w:tcW w:w="328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tcPr>
          <w:p>
            <w:pPr>
              <w:spacing w:after="0"/>
              <w:rPr>
                <w:sz w:val="24"/>
                <w:szCs w:val="24"/>
                <w:color w:val="auto"/>
              </w:rPr>
            </w:pPr>
          </w:p>
        </w:tc>
        <w:tc>
          <w:tcPr>
            <w:tcW w:w="42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Non-Employee Director Compensation Policy of Tectonic</w:t>
              </w:r>
            </w:hyperlink>
          </w:p>
        </w:tc>
        <w:tc>
          <w:tcPr>
            <w:tcW w:w="980" w:type="dxa"/>
            <w:vAlign w:val="bottom"/>
            <w:gridSpan w:val="7"/>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3/20/2025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gridSpan w:val="20"/>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Therapeutic, Inc.</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20" w:type="dxa"/>
            <w:vAlign w:val="bottom"/>
          </w:tcPr>
          <w:p>
            <w:pPr>
              <w:spacing w:after="0"/>
              <w:rPr>
                <w:sz w:val="24"/>
                <w:szCs w:val="24"/>
                <w:color w:val="auto"/>
              </w:rPr>
            </w:pPr>
          </w:p>
        </w:tc>
        <w:tc>
          <w:tcPr>
            <w:tcW w:w="2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Form of Securities Purchase Agreement</w:t>
              </w:r>
            </w:hyperlink>
          </w:p>
        </w:tc>
        <w:tc>
          <w:tcPr>
            <w:tcW w:w="2280" w:type="dxa"/>
            <w:vAlign w:val="bottom"/>
            <w:gridSpan w:val="12"/>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2/3/2025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24"/>
                <w:szCs w:val="24"/>
                <w:color w:val="auto"/>
              </w:rPr>
            </w:pPr>
          </w:p>
        </w:tc>
        <w:tc>
          <w:tcPr>
            <w:tcW w:w="2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Form of Registration Rights Agreement</w:t>
              </w:r>
            </w:hyperlink>
          </w:p>
        </w:tc>
        <w:tc>
          <w:tcPr>
            <w:tcW w:w="2300" w:type="dxa"/>
            <w:vAlign w:val="bottom"/>
            <w:gridSpan w:val="13"/>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2/3/2025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24"/>
                <w:szCs w:val="24"/>
                <w:color w:val="auto"/>
              </w:rPr>
            </w:pPr>
          </w:p>
        </w:tc>
        <w:tc>
          <w:tcPr>
            <w:tcW w:w="5180" w:type="dxa"/>
            <w:vAlign w:val="bottom"/>
            <w:gridSpan w:val="20"/>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Separation Agreement, dated as of July 5, 2024, by and among</w:t>
              </w:r>
            </w:hyperlink>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Tectonic Therapeutic, Inc. and Christian Cortis</w:t>
              </w:r>
            </w:hyperlink>
          </w:p>
        </w:tc>
        <w:tc>
          <w:tcPr>
            <w:tcW w:w="6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4"/>
                <w:szCs w:val="24"/>
                <w:color w:val="auto"/>
              </w:rPr>
            </w:pPr>
          </w:p>
        </w:tc>
        <w:tc>
          <w:tcPr>
            <w:tcW w:w="5180" w:type="dxa"/>
            <w:vAlign w:val="bottom"/>
            <w:gridSpan w:val="20"/>
          </w:tcPr>
          <w:p>
            <w:pPr>
              <w:spacing w:after="0"/>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Insider Trading Policy of Tectonic Therapeutic, Inc.</w:t>
              </w:r>
            </w:hyperlink>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3/20/2025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37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List of Subsidiaries</w:t>
              </w:r>
            </w:hyperlink>
          </w:p>
        </w:tc>
        <w:tc>
          <w:tcPr>
            <w:tcW w:w="1440" w:type="dxa"/>
            <w:vAlign w:val="bottom"/>
            <w:gridSpan w:val="9"/>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333-280909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4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w:t>
            </w:r>
          </w:p>
        </w:tc>
        <w:tc>
          <w:tcPr>
            <w:tcW w:w="44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4"/>
                <w:szCs w:val="24"/>
                <w:color w:val="auto"/>
              </w:rPr>
            </w:pPr>
          </w:p>
        </w:tc>
        <w:tc>
          <w:tcPr>
            <w:tcW w:w="4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Consent of Cooley LLP (included in Exhibit 5.1 hereto).</w:t>
              </w:r>
            </w:hyperlink>
          </w:p>
        </w:tc>
        <w:tc>
          <w:tcPr>
            <w:tcW w:w="1100" w:type="dxa"/>
            <w:vAlign w:val="bottom"/>
            <w:gridSpan w:val="8"/>
          </w:tcPr>
          <w:p>
            <w:pPr>
              <w:spacing w:after="0"/>
              <w:rPr>
                <w:sz w:val="24"/>
                <w:szCs w:val="2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333-280909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4"/>
                <w:szCs w:val="24"/>
                <w:color w:val="auto"/>
              </w:rPr>
            </w:pPr>
          </w:p>
        </w:tc>
        <w:tc>
          <w:tcPr>
            <w:tcW w:w="5180" w:type="dxa"/>
            <w:vAlign w:val="bottom"/>
            <w:gridSpan w:val="20"/>
          </w:tcPr>
          <w:p>
            <w:pPr>
              <w:spacing w:after="0"/>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Power of Attorney (included on signature page).</w:t>
              </w:r>
            </w:hyperlink>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333-280909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40" w:type="dxa"/>
            <w:vAlign w:val="bottom"/>
            <w:tcBorders>
              <w:left w:val="single" w:sz="8" w:color="0000EE"/>
            </w:tcBorders>
            <w:gridSpan w:val="8"/>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24"/>
                <w:szCs w:val="24"/>
                <w:color w:val="auto"/>
              </w:rPr>
            </w:pPr>
          </w:p>
        </w:tc>
        <w:tc>
          <w:tcPr>
            <w:tcW w:w="5180" w:type="dxa"/>
            <w:vAlign w:val="bottom"/>
            <w:gridSpan w:val="20"/>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Incentive Compensation Recoupment Policy of Tectonic Therapeutic,</w:t>
              </w:r>
            </w:hyperlink>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001-38537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3/20/2025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71">
              <w:r>
                <w:rPr>
                  <w:rFonts w:ascii="Times New Roman" w:cs="Times New Roman" w:eastAsia="Times New Roman" w:hAnsi="Times New Roman"/>
                  <w:sz w:val="18"/>
                  <w:szCs w:val="18"/>
                  <w:color w:val="0000EE"/>
                  <w:w w:val="94"/>
                </w:rPr>
                <w:t>Inc.</w:t>
              </w:r>
            </w:hyperlink>
          </w:p>
        </w:tc>
        <w:tc>
          <w:tcPr>
            <w:tcW w:w="4740" w:type="dxa"/>
            <w:vAlign w:val="bottom"/>
            <w:tcBorders>
              <w:top w:val="single" w:sz="8" w:color="0000EE"/>
            </w:tcBorders>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1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5180" w:type="dxa"/>
            <w:vAlign w:val="bottom"/>
            <w:gridSpan w:val="20"/>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Filing Fee Table</w:t>
              </w:r>
            </w:hyperlink>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333-280909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confidential portions (i) are not material and (ii) is the type of information that the registrant treats as private or confidential.</w:t>
      </w:r>
    </w:p>
    <w:p>
      <w:pPr>
        <w:spacing w:after="0" w:line="9" w:lineRule="exact"/>
        <w:rPr>
          <w:sz w:val="20"/>
          <w:szCs w:val="20"/>
          <w:color w:val="auto"/>
        </w:rPr>
      </w:pPr>
    </w:p>
    <w:p>
      <w:pPr>
        <w:ind w:left="5480" w:right="4460" w:hanging="5364"/>
        <w:spacing w:after="0" w:line="433" w:lineRule="auto"/>
        <w:tabs>
          <w:tab w:leader="none" w:pos="53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 II-5</w:t>
      </w:r>
    </w:p>
    <w:p>
      <w:pPr>
        <w:sectPr>
          <w:pgSz w:w="11900" w:h="16838" w:orient="portrait"/>
          <w:cols w:equalWidth="0" w:num="1">
            <w:col w:w="11140"/>
          </w:cols>
          <w:pgMar w:left="320" w:top="482"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6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have been omitted pursuant to Item 601(b)(2) or 601(a)(5), as applicable, of Regulation S-K. The registrant agrees to furnish supplementally a copy of any omitted attachment to the SEC on a confidential basis upon request.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1080" w:hanging="532"/>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580" w:hanging="533"/>
        <w:spacing w:after="0" w:line="282" w:lineRule="auto"/>
        <w:tabs>
          <w:tab w:leader="none" w:pos="20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ind w:left="2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1" w:lineRule="exact"/>
        <w:rPr>
          <w:sz w:val="20"/>
          <w:szCs w:val="20"/>
          <w:color w:val="auto"/>
        </w:rPr>
      </w:pPr>
    </w:p>
    <w:p>
      <w:pPr>
        <w:ind w:left="1080" w:hanging="532"/>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20"/>
        <w:spacing w:after="0" w:line="256" w:lineRule="auto"/>
        <w:rPr>
          <w:sz w:val="20"/>
          <w:szCs w:val="20"/>
          <w:color w:val="auto"/>
        </w:rPr>
      </w:pPr>
      <w:r>
        <w:rPr>
          <w:rFonts w:ascii="Times New Roman" w:cs="Times New Roman" w:eastAsia="Times New Roman" w:hAnsi="Times New Roman"/>
          <w:sz w:val="18"/>
          <w:szCs w:val="18"/>
          <w:color w:val="auto"/>
        </w:rPr>
        <w:t>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3" w:lineRule="exact"/>
        <w:rPr>
          <w:sz w:val="20"/>
          <w:szCs w:val="20"/>
          <w:color w:val="auto"/>
        </w:rPr>
      </w:pPr>
    </w:p>
    <w:p>
      <w:pPr>
        <w:ind w:left="1080" w:hanging="532"/>
        <w:spacing w:after="0" w:line="258"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1080" w:right="80" w:hanging="532"/>
        <w:spacing w:after="0" w:line="254"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Watertown, Commonwealth of Massachusetts, on March 26,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7857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Alise Reicin</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Title: Chief Executive Officer, President and Director</w:t>
      </w:r>
    </w:p>
    <w:p>
      <w:pPr>
        <w:spacing w:after="0" w:line="20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6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8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Alise Reicin</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Alise Reicin</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Lochner</w:t>
            </w: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176"/>
        </w:trPr>
        <w:tc>
          <w:tcPr>
            <w:tcW w:w="4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Daniel Lochner</w:t>
            </w:r>
          </w:p>
        </w:tc>
        <w:tc>
          <w:tcPr>
            <w:tcW w:w="38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1460" w:type="dxa"/>
            <w:vAlign w:val="bottom"/>
          </w:tcPr>
          <w:p>
            <w:pPr>
              <w:spacing w:after="0"/>
              <w:rPr>
                <w:sz w:val="15"/>
                <w:szCs w:val="15"/>
                <w:color w:val="auto"/>
              </w:rPr>
            </w:pPr>
          </w:p>
        </w:tc>
      </w:tr>
      <w:tr>
        <w:trPr>
          <w:trHeight w:val="236"/>
        </w:trPr>
        <w:tc>
          <w:tcPr>
            <w:tcW w:w="4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460" w:type="dxa"/>
            <w:vAlign w:val="bottom"/>
          </w:tcPr>
          <w:p>
            <w:pPr>
              <w:spacing w:after="0"/>
              <w:rPr>
                <w:sz w:val="20"/>
                <w:szCs w:val="20"/>
                <w:color w:val="auto"/>
              </w:rPr>
            </w:pPr>
          </w:p>
        </w:tc>
      </w:tr>
      <w:tr>
        <w:trPr>
          <w:trHeight w:val="446"/>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3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Vitorovic</w:t>
            </w:r>
          </w:p>
        </w:tc>
        <w:tc>
          <w:tcPr>
            <w:tcW w:w="3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A. Springer</w:t>
            </w:r>
          </w:p>
        </w:tc>
        <w:tc>
          <w:tcPr>
            <w:tcW w:w="3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Praveen Tipirneni</w:t>
            </w:r>
          </w:p>
        </w:tc>
        <w:tc>
          <w:tcPr>
            <w:tcW w:w="3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2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3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Daniel Lochner</w:t>
            </w:r>
          </w:p>
        </w:tc>
        <w:tc>
          <w:tcPr>
            <w:tcW w:w="3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1"/>
        </w:trPr>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Lochner</w:t>
            </w:r>
          </w:p>
        </w:tc>
        <w:tc>
          <w:tcPr>
            <w:tcW w:w="5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5"/>
        </w:trPr>
        <w:tc>
          <w:tcPr>
            <w:tcW w:w="4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II-8</w:t>
            </w:r>
          </w:p>
        </w:tc>
        <w:tc>
          <w:tcPr>
            <w:tcW w:w="1460" w:type="dxa"/>
            <w:vAlign w:val="bottom"/>
          </w:tcPr>
          <w:p>
            <w:pPr>
              <w:spacing w:after="0"/>
              <w:rPr>
                <w:sz w:val="24"/>
                <w:szCs w:val="24"/>
                <w:color w:val="auto"/>
              </w:rPr>
            </w:pPr>
          </w:p>
        </w:tc>
      </w:tr>
    </w:tbl>
    <w:p>
      <w:pPr>
        <w:sectPr>
          <w:pgSz w:w="11900" w:h="16838" w:orient="portrait"/>
          <w:cols w:equalWidth="0" w:num="1">
            <w:col w:w="10940"/>
          </w:cols>
          <w:pgMar w:left="320" w:top="482" w:right="6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consent to the use in this Post-Effective Amendment No. 1 to Registration Statement No. 333-280909 on Form S-1 of our report dated March 20, 2025, relating to the financial statements of Tectonic Therapeutic, Inc.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lowerRoman"/>
      <w:start w:val="3"/>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lowerRoman"/>
      <w:start w:val="2"/>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upperLetter"/>
      <w:start w:val="35"/>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4"/>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lowerRoman"/>
      <w:start w:val="3"/>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3"/>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4"/>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2"/>
    </w:lvl>
  </w:abstractNum>
  <w:abstractNum w:abstractNumId="70">
    <w:nsid w:val="71EA1109"/>
    <w:multiLevelType w:val="hybridMultilevel"/>
    <w:lvl w:ilvl="0">
      <w:lvlJc w:val="left"/>
      <w:lvlText w:val="(%1)"/>
      <w:numFmt w:val="decimal"/>
      <w:start w:val="7"/>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2"/>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25"/>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1)"/>
      <w:numFmt w:val="decimal"/>
      <w:start w:val="2"/>
    </w:lvl>
  </w:abstractNum>
  <w:abstractNum w:abstractNumId="82">
    <w:nsid w:val="74DE0EE3"/>
    <w:multiLevelType w:val="hybridMultilevel"/>
    <w:lvl w:ilvl="0">
      <w:lvlJc w:val="left"/>
      <w:lvlText w:val="(%1)"/>
      <w:numFmt w:val="lowerRoman"/>
      <w:start w:val="1"/>
    </w:lvl>
  </w:abstractNum>
  <w:abstractNum w:abstractNumId="83">
    <w:nsid w:val="68EBC550"/>
    <w:multiLevelType w:val="hybridMultilevel"/>
    <w:lvl w:ilvl="0">
      <w:lvlJc w:val="left"/>
      <w:lvlText w:val="•"/>
      <w:numFmt w:val="bullet"/>
      <w:start w:val="1"/>
    </w:lvl>
    <w:lvl w:ilvl="1">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1)"/>
      <w:numFmt w:val="lowerRoman"/>
      <w:start w:val="2"/>
    </w:lvl>
  </w:abstractNum>
  <w:abstractNum w:abstractNumId="88">
    <w:nsid w:val="57FC4FBB"/>
    <w:multiLevelType w:val="hybridMultilevel"/>
    <w:lvl w:ilvl="0">
      <w:lvlJc w:val="left"/>
      <w:lvlText w:val="1"/>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3">
    <w:nsid w:val="7F01579B"/>
    <w:multiLevelType w:val="hybridMultilevel"/>
    <w:lvl w:ilvl="0">
      <w:lvlJc w:val="left"/>
      <w:lvlText w:val="(%1)"/>
      <w:numFmt w:val="decimal"/>
      <w:start w:val="2"/>
    </w:lvl>
    <w:lvl w:ilvl="1">
      <w:lvlJc w:val="left"/>
      <w:lvlText w:val="(%2)"/>
      <w:numFmt w:val="lowerRoman"/>
      <w:start w:val="1"/>
    </w:lvl>
  </w:abstractNum>
  <w:abstractNum w:abstractNumId="94">
    <w:nsid w:val="49DA307D"/>
    <w:multiLevelType w:val="hybridMultilevel"/>
    <w:lvl w:ilvl="0">
      <w:lvlJc w:val="left"/>
      <w:lvlText w:val="(%1)"/>
      <w:numFmt w:val="decimal"/>
      <w:start w:val="5"/>
    </w:lvl>
    <w:lvl w:ilvl="1">
      <w:lvlJc w:val="left"/>
      <w:lvlText w:val="(%2)"/>
      <w:numFmt w:val="lowerRoman"/>
      <w:start w:val="1"/>
    </w:lvl>
  </w:abstractNum>
  <w:abstractNum w:abstractNumId="95">
    <w:nsid w:val="7055A5F5"/>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7" Type="http://schemas.openxmlformats.org/officeDocument/2006/relationships/image" Target="media/image233.png"/><Relationship Id="rId261"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40" Type="http://schemas.openxmlformats.org/officeDocument/2006/relationships/hyperlink" Target="http://www.sec.gov/Archives/edgar/data/1681087/000119312524018812/d221662dex21.htm" TargetMode="External"/><Relationship Id="rId241" Type="http://schemas.openxmlformats.org/officeDocument/2006/relationships/hyperlink" Target="http://www.sec.gov/Archives/edgar/data/1681087/000119312524200609/d878693dex31.htm" TargetMode="External"/><Relationship Id="rId242" Type="http://schemas.openxmlformats.org/officeDocument/2006/relationships/hyperlink" Target="http://www.sec.gov/Archives/edgar/data/1681087/000119312518202460/d153924dex32.htm" TargetMode="External"/><Relationship Id="rId243" Type="http://schemas.openxmlformats.org/officeDocument/2006/relationships/hyperlink" Target="http://www.sec.gov/Archives/edgar/data/1681087/000095017025042648/tecx-ex4_1.htm" TargetMode="External"/><Relationship Id="rId244" Type="http://schemas.openxmlformats.org/officeDocument/2006/relationships/hyperlink" Target="http://www.sec.gov/Archives/edgar/data/1681087/000119312524181624/d214571dex51.htm" TargetMode="External"/><Relationship Id="rId245" Type="http://schemas.openxmlformats.org/officeDocument/2006/relationships/hyperlink" Target="http://www.sec.gov/Archives/edgar/data/1681087/000119312524164480/d852858dex101.htm" TargetMode="External"/><Relationship Id="rId246" Type="http://schemas.openxmlformats.org/officeDocument/2006/relationships/hyperlink" Target="http://www.sec.gov/Archives/edgar/data/1681087/000119312524164480/d852858dex102.htm" TargetMode="External"/><Relationship Id="rId248" Type="http://schemas.openxmlformats.org/officeDocument/2006/relationships/hyperlink" Target="http://www.sec.gov/Archives/edgar/data/1681087/000119312524164480/d852858dex103.htm" TargetMode="External"/><Relationship Id="rId249" Type="http://schemas.openxmlformats.org/officeDocument/2006/relationships/hyperlink" Target="http://www.sec.gov/Archives/edgar/data/1681087/000119312524034461/d770053dex1042.htm" TargetMode="External"/><Relationship Id="rId250" Type="http://schemas.openxmlformats.org/officeDocument/2006/relationships/hyperlink" Target="http://www.sec.gov/Archives/edgar/data/1681087/000119312524164480/d852858dex106.htm" TargetMode="External"/><Relationship Id="rId251" Type="http://schemas.openxmlformats.org/officeDocument/2006/relationships/hyperlink" Target="http://www.sec.gov/Archives/edgar/data/1681087/000119312524164480/d852858dex107.htm" TargetMode="External"/><Relationship Id="rId252" Type="http://schemas.openxmlformats.org/officeDocument/2006/relationships/hyperlink" Target="http://www.sec.gov/Archives/edgar/data/1681087/000119312524164480/d852858dex108.htm" TargetMode="External"/><Relationship Id="rId253" Type="http://schemas.openxmlformats.org/officeDocument/2006/relationships/hyperlink" Target="http://www.sec.gov/Archives/edgar/data/1681087/000119312524076669/d770053dex1035.htm" TargetMode="External"/><Relationship Id="rId254" Type="http://schemas.openxmlformats.org/officeDocument/2006/relationships/hyperlink" Target="http://www.sec.gov/Archives/edgar/data/1681087/000119312524076669/d770053dex1036.htm" TargetMode="External"/><Relationship Id="rId255" Type="http://schemas.openxmlformats.org/officeDocument/2006/relationships/hyperlink" Target="http://www.sec.gov/Archives/edgar/data/1681087/000119312524076669/d770053dex1037.htm" TargetMode="External"/><Relationship Id="rId256" Type="http://schemas.openxmlformats.org/officeDocument/2006/relationships/hyperlink" Target="http://www.sec.gov/Archives/edgar/data/1681087/000119312524076669/d770053dex1038.htm" TargetMode="External"/><Relationship Id="rId257" Type="http://schemas.openxmlformats.org/officeDocument/2006/relationships/hyperlink" Target="http://www.sec.gov/Archives/edgar/data/1681087/000119312524076669/d770053dex1039.htm" TargetMode="External"/><Relationship Id="rId258" Type="http://schemas.openxmlformats.org/officeDocument/2006/relationships/hyperlink" Target="http://www.sec.gov/Archives/edgar/data/1681087/000119312524076669/d770053dex1040.htm" TargetMode="External"/><Relationship Id="rId259" Type="http://schemas.openxmlformats.org/officeDocument/2006/relationships/hyperlink" Target="http://www.sec.gov/Archives/edgar/data/1681087/000119312524164480/d852858dex104.htm" TargetMode="External"/><Relationship Id="rId260" Type="http://schemas.openxmlformats.org/officeDocument/2006/relationships/hyperlink" Target="http://www.sec.gov/Archives/edgar/data/1681087/000119312524095517/d770053dex1043.htm" TargetMode="External"/><Relationship Id="rId262" Type="http://schemas.openxmlformats.org/officeDocument/2006/relationships/hyperlink" Target="http://www.sec.gov/Archives/edgar/data/1681087/000095017025042648/tecx-ex10_17.htm" TargetMode="External"/><Relationship Id="rId263" Type="http://schemas.openxmlformats.org/officeDocument/2006/relationships/hyperlink" Target="http://www.sec.gov/Archives/edgar/data/1681087/000119312524095517/d770053dex1047.htm" TargetMode="External"/><Relationship Id="rId264" Type="http://schemas.openxmlformats.org/officeDocument/2006/relationships/hyperlink" Target="http://www.sec.gov/Archives/edgar/data/1681087/000095017024125304/tecx-ex10_1.htm" TargetMode="External"/><Relationship Id="rId265" Type="http://schemas.openxmlformats.org/officeDocument/2006/relationships/hyperlink" Target="http://www.sec.gov/Archives/edgar/data/1681087/000119312525018840/d843684dex101.htm" TargetMode="External"/><Relationship Id="rId266" Type="http://schemas.openxmlformats.org/officeDocument/2006/relationships/hyperlink" Target="http://www.sec.gov/Archives/edgar/data/1681087/000119312525018840/d843684dex102.htm" TargetMode="External"/><Relationship Id="rId267" Type="http://schemas.openxmlformats.org/officeDocument/2006/relationships/hyperlink" Target="http://www.sec.gov/Archives/edgar/data/1681087/000119312524175599/d859790dex101.htm" TargetMode="External"/><Relationship Id="rId268" Type="http://schemas.openxmlformats.org/officeDocument/2006/relationships/hyperlink" Target="http://www.sec.gov/Archives/edgar/data/1681087/000095017025042648/tecx-ex19_1.htm" TargetMode="External"/><Relationship Id="rId269" Type="http://schemas.openxmlformats.org/officeDocument/2006/relationships/hyperlink" Target="http://www.sec.gov/Archives/edgar/data/1681087/000119312524181624/d214571dex211.htm" TargetMode="External"/><Relationship Id="rId270" Type="http://schemas.openxmlformats.org/officeDocument/2006/relationships/hyperlink" Target="http://www.sec.gov/ix?doc=/Archives/edgar/data/1681087/000119312524181624/d214571ds1.htm#sig" TargetMode="External"/><Relationship Id="rId271" Type="http://schemas.openxmlformats.org/officeDocument/2006/relationships/hyperlink" Target="http://www.sec.gov/Archives/edgar/data/1681087/000095017025042648/tecx-ex97_1.htm" TargetMode="External"/><Relationship Id="rId272" Type="http://schemas.openxmlformats.org/officeDocument/2006/relationships/hyperlink" Target="http://www.sec.gov/Archives/edgar/data/1681087/000119312524181624/d21457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2025-03-27T05:28:37Z</dcterms:created>
  <dcterms:modified xsi:type="dcterms:W3CDTF">2025-03-27T05:28:37Z</dcterms:modified>
</cp:coreProperties>
</file>